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May 23, 2019.</w:t>
      </w:r>
    </w:p>
    <w:p>
      <w:pPr>
        <w:spacing w:after="0" w:line="3" w:lineRule="exact"/>
        <w:rPr>
          <w:sz w:val="24"/>
          <w:szCs w:val="24"/>
          <w:color w:val="auto"/>
        </w:rPr>
      </w:pPr>
    </w:p>
    <w:p>
      <w:pPr>
        <w:ind w:left="94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62230</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104775</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114300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REGISTRATION STATEMENT</w:t>
      </w:r>
    </w:p>
    <w:p>
      <w:pPr>
        <w:jc w:val="center"/>
        <w:ind w:right="-199"/>
        <w:spacing w:after="0" w:line="229" w:lineRule="auto"/>
        <w:rPr>
          <w:sz w:val="20"/>
          <w:szCs w:val="20"/>
          <w:color w:val="auto"/>
        </w:rPr>
      </w:pPr>
      <w:r>
        <w:rPr>
          <w:rFonts w:ascii="Arial" w:cs="Arial" w:eastAsia="Arial" w:hAnsi="Arial"/>
          <w:sz w:val="15"/>
          <w:szCs w:val="15"/>
          <w:b w:val="1"/>
          <w:bCs w:val="1"/>
          <w:i w:val="1"/>
          <w:iCs w:val="1"/>
          <w:color w:val="auto"/>
        </w:rPr>
        <w:t>UNDER</w:t>
      </w:r>
    </w:p>
    <w:p>
      <w:pPr>
        <w:jc w:val="center"/>
        <w:ind w:right="-1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122555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PERSONALIS, INC.</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241"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(State or other jurisdiction of</w:t>
      </w:r>
    </w:p>
    <w:p>
      <w:pPr>
        <w:ind w:left="11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8071</w:t>
      </w:r>
    </w:p>
    <w:p>
      <w:pPr>
        <w:spacing w:after="0" w:line="2"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27-5411038</w:t>
      </w:r>
    </w:p>
    <w:p>
      <w:pPr>
        <w:jc w:val="center"/>
        <w:ind w:right="106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64" w:lineRule="exact"/>
        <w:rPr>
          <w:sz w:val="24"/>
          <w:szCs w:val="24"/>
          <w:color w:val="auto"/>
        </w:rPr>
      </w:pPr>
    </w:p>
    <w:p>
      <w:pPr>
        <w:sectPr>
          <w:pgSz w:w="11900" w:h="16838" w:orient="portrait"/>
          <w:cols w:equalWidth="0" w:num="3">
            <w:col w:w="4200" w:space="720"/>
            <w:col w:w="3100" w:space="720"/>
            <w:col w:w="2480"/>
          </w:cols>
          <w:pgMar w:left="240" w:top="230" w:right="439" w:bottom="1440" w:gutter="0" w:footer="0" w:header="0"/>
          <w:type w:val="continuous"/>
        </w:sectPr>
      </w:pPr>
    </w:p>
    <w:p>
      <w:pPr>
        <w:ind w:left="5240"/>
        <w:spacing w:after="0"/>
        <w:rPr>
          <w:sz w:val="20"/>
          <w:szCs w:val="20"/>
          <w:color w:val="auto"/>
        </w:rPr>
      </w:pPr>
      <w:r>
        <w:rPr>
          <w:rFonts w:ascii="Arial" w:cs="Arial" w:eastAsia="Arial" w:hAnsi="Arial"/>
          <w:sz w:val="14"/>
          <w:szCs w:val="14"/>
          <w:b w:val="1"/>
          <w:bCs w:val="1"/>
          <w:color w:val="auto"/>
        </w:rPr>
        <w:t>Personalis, Inc.</w:t>
      </w:r>
    </w:p>
    <w:p>
      <w:pPr>
        <w:ind w:left="5120"/>
        <w:spacing w:after="0" w:line="226" w:lineRule="auto"/>
        <w:rPr>
          <w:sz w:val="20"/>
          <w:szCs w:val="20"/>
          <w:color w:val="auto"/>
        </w:rPr>
      </w:pPr>
      <w:r>
        <w:rPr>
          <w:rFonts w:ascii="Arial" w:cs="Arial" w:eastAsia="Arial" w:hAnsi="Arial"/>
          <w:sz w:val="14"/>
          <w:szCs w:val="14"/>
          <w:b w:val="1"/>
          <w:bCs w:val="1"/>
          <w:color w:val="auto"/>
        </w:rPr>
        <w:t>1330 O’Brien Drive</w:t>
      </w:r>
    </w:p>
    <w:p>
      <w:pPr>
        <w:ind w:left="5020"/>
        <w:spacing w:after="0"/>
        <w:rPr>
          <w:sz w:val="20"/>
          <w:szCs w:val="20"/>
          <w:color w:val="auto"/>
        </w:rPr>
      </w:pPr>
      <w:r>
        <w:rPr>
          <w:rFonts w:ascii="Arial" w:cs="Arial" w:eastAsia="Arial" w:hAnsi="Arial"/>
          <w:sz w:val="13"/>
          <w:szCs w:val="13"/>
          <w:b w:val="1"/>
          <w:bCs w:val="1"/>
          <w:color w:val="auto"/>
        </w:rPr>
        <w:t>Menlo Park, CA 94025</w:t>
      </w:r>
    </w:p>
    <w:p>
      <w:pPr>
        <w:ind w:left="5260"/>
        <w:spacing w:after="0"/>
        <w:rPr>
          <w:sz w:val="20"/>
          <w:szCs w:val="20"/>
          <w:color w:val="auto"/>
        </w:rPr>
      </w:pPr>
      <w:r>
        <w:rPr>
          <w:rFonts w:ascii="Arial" w:cs="Arial" w:eastAsia="Arial" w:hAnsi="Arial"/>
          <w:sz w:val="14"/>
          <w:szCs w:val="14"/>
          <w:b w:val="1"/>
          <w:bCs w:val="1"/>
          <w:color w:val="auto"/>
        </w:rPr>
        <w:t>(650) 752-1300</w:t>
      </w:r>
    </w:p>
    <w:p>
      <w:pPr>
        <w:sectPr>
          <w:pgSz w:w="11900" w:h="16838" w:orient="portrait"/>
          <w:cols w:equalWidth="0" w:num="1">
            <w:col w:w="11220"/>
          </w:cols>
          <w:pgMar w:left="240" w:top="230" w:right="439" w:bottom="1440" w:gutter="0" w:footer="0" w:header="0"/>
          <w:type w:val="continuous"/>
        </w:sectPr>
      </w:pPr>
    </w:p>
    <w:p>
      <w:pPr>
        <w:jc w:val="center"/>
        <w:ind w:right="-219"/>
        <w:spacing w:after="0" w:line="234"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85090</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John West</w:t>
      </w:r>
    </w:p>
    <w:p>
      <w:pPr>
        <w:jc w:val="center"/>
        <w:ind w:right="-2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219"/>
        <w:spacing w:after="0" w:line="221" w:lineRule="auto"/>
        <w:rPr>
          <w:sz w:val="20"/>
          <w:szCs w:val="20"/>
          <w:color w:val="auto"/>
        </w:rPr>
      </w:pPr>
      <w:r>
        <w:rPr>
          <w:rFonts w:ascii="Arial" w:cs="Arial" w:eastAsia="Arial" w:hAnsi="Arial"/>
          <w:sz w:val="14"/>
          <w:szCs w:val="14"/>
          <w:b w:val="1"/>
          <w:bCs w:val="1"/>
          <w:color w:val="auto"/>
        </w:rPr>
        <w:t>Personalis, Inc.</w:t>
      </w:r>
    </w:p>
    <w:p>
      <w:pPr>
        <w:jc w:val="center"/>
        <w:ind w:right="-219"/>
        <w:spacing w:after="0" w:line="221" w:lineRule="auto"/>
        <w:rPr>
          <w:sz w:val="20"/>
          <w:szCs w:val="20"/>
          <w:color w:val="auto"/>
        </w:rPr>
      </w:pPr>
      <w:r>
        <w:rPr>
          <w:rFonts w:ascii="Arial" w:cs="Arial" w:eastAsia="Arial" w:hAnsi="Arial"/>
          <w:sz w:val="14"/>
          <w:szCs w:val="14"/>
          <w:b w:val="1"/>
          <w:bCs w:val="1"/>
          <w:color w:val="auto"/>
        </w:rPr>
        <w:t>1330 O’Brien Drive</w:t>
      </w:r>
    </w:p>
    <w:p>
      <w:pPr>
        <w:jc w:val="center"/>
        <w:ind w:right="-219"/>
        <w:spacing w:after="0" w:line="221" w:lineRule="auto"/>
        <w:rPr>
          <w:sz w:val="20"/>
          <w:szCs w:val="20"/>
          <w:color w:val="auto"/>
        </w:rPr>
      </w:pPr>
      <w:r>
        <w:rPr>
          <w:rFonts w:ascii="Arial" w:cs="Arial" w:eastAsia="Arial" w:hAnsi="Arial"/>
          <w:sz w:val="14"/>
          <w:szCs w:val="14"/>
          <w:b w:val="1"/>
          <w:bCs w:val="1"/>
          <w:color w:val="auto"/>
        </w:rPr>
        <w:t>Menlo Park, CA 94025</w:t>
      </w:r>
    </w:p>
    <w:p>
      <w:pPr>
        <w:jc w:val="center"/>
        <w:ind w:right="-219"/>
        <w:spacing w:after="0" w:line="222" w:lineRule="auto"/>
        <w:rPr>
          <w:sz w:val="20"/>
          <w:szCs w:val="20"/>
          <w:color w:val="auto"/>
        </w:rPr>
      </w:pPr>
      <w:r>
        <w:rPr>
          <w:rFonts w:ascii="Arial" w:cs="Arial" w:eastAsia="Arial" w:hAnsi="Arial"/>
          <w:sz w:val="14"/>
          <w:szCs w:val="14"/>
          <w:b w:val="1"/>
          <w:bCs w:val="1"/>
          <w:color w:val="auto"/>
        </w:rPr>
        <w:t>(650) 752-1300</w:t>
      </w: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85" w:lineRule="exact"/>
        <w:rPr>
          <w:sz w:val="24"/>
          <w:szCs w:val="24"/>
          <w:color w:val="auto"/>
        </w:rPr>
      </w:pPr>
    </w:p>
    <w:tbl>
      <w:tblPr>
        <w:tblLayout w:type="fixed"/>
        <w:tblInd w:w="234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4960" w:type="dxa"/>
            <w:vAlign w:val="bottom"/>
          </w:tcPr>
          <w:p>
            <w:pPr>
              <w:ind w:left="92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16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James C. Kitch</w:t>
            </w:r>
          </w:p>
        </w:tc>
        <w:tc>
          <w:tcPr>
            <w:tcW w:w="4960" w:type="dxa"/>
            <w:vAlign w:val="bottom"/>
          </w:tcPr>
          <w:p>
            <w:pPr>
              <w:jc w:val="center"/>
              <w:ind w:left="3108"/>
              <w:spacing w:after="0"/>
              <w:rPr>
                <w:sz w:val="20"/>
                <w:szCs w:val="20"/>
                <w:color w:val="auto"/>
              </w:rPr>
            </w:pPr>
            <w:r>
              <w:rPr>
                <w:rFonts w:ascii="Arial" w:cs="Arial" w:eastAsia="Arial" w:hAnsi="Arial"/>
                <w:sz w:val="14"/>
                <w:szCs w:val="14"/>
                <w:b w:val="1"/>
                <w:bCs w:val="1"/>
                <w:color w:val="auto"/>
                <w:w w:val="92"/>
              </w:rPr>
              <w:t>Alan F. Denenberg</w:t>
            </w:r>
          </w:p>
        </w:tc>
      </w:tr>
      <w:tr>
        <w:trPr>
          <w:trHeight w:val="148"/>
        </w:trPr>
        <w:tc>
          <w:tcPr>
            <w:tcW w:w="21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5"/>
              </w:rPr>
              <w:t>Michael Tenta</w:t>
            </w:r>
          </w:p>
        </w:tc>
        <w:tc>
          <w:tcPr>
            <w:tcW w:w="496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1"/>
              </w:rPr>
              <w:t>Stephen Salmon</w:t>
            </w:r>
          </w:p>
        </w:tc>
      </w:tr>
      <w:tr>
        <w:trPr>
          <w:trHeight w:val="148"/>
        </w:trPr>
        <w:tc>
          <w:tcPr>
            <w:tcW w:w="21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5"/>
              </w:rPr>
              <w:t>Peter N. Mandel</w:t>
            </w:r>
          </w:p>
        </w:tc>
        <w:tc>
          <w:tcPr>
            <w:tcW w:w="496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160" w:type="dxa"/>
            <w:vAlign w:val="bottom"/>
          </w:tcPr>
          <w:p>
            <w:pPr>
              <w:jc w:val="center"/>
              <w:ind w:right="8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96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auto"/>
                <w:w w:val="94"/>
              </w:rPr>
              <w:t>1600 El Camino Road</w:t>
            </w:r>
          </w:p>
        </w:tc>
      </w:tr>
      <w:tr>
        <w:trPr>
          <w:trHeight w:val="148"/>
        </w:trPr>
        <w:tc>
          <w:tcPr>
            <w:tcW w:w="2160" w:type="dxa"/>
            <w:vAlign w:val="bottom"/>
          </w:tcPr>
          <w:p>
            <w:pPr>
              <w:jc w:val="center"/>
              <w:ind w:right="8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496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6"/>
              </w:rPr>
              <w:t>Menlo Park, CA 94025</w:t>
            </w:r>
          </w:p>
        </w:tc>
      </w:tr>
      <w:tr>
        <w:trPr>
          <w:trHeight w:val="148"/>
        </w:trPr>
        <w:tc>
          <w:tcPr>
            <w:tcW w:w="21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4"/>
              </w:rPr>
              <w:t>Palo Alto, CA 94304</w:t>
            </w:r>
          </w:p>
        </w:tc>
        <w:tc>
          <w:tcPr>
            <w:tcW w:w="496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auto"/>
                <w:w w:val="93"/>
              </w:rPr>
              <w:t>(650) 752-2000</w:t>
            </w:r>
          </w:p>
        </w:tc>
      </w:tr>
      <w:tr>
        <w:trPr>
          <w:trHeight w:val="186"/>
        </w:trPr>
        <w:tc>
          <w:tcPr>
            <w:tcW w:w="216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(650) 843-5000</w:t>
            </w:r>
          </w:p>
        </w:tc>
        <w:tc>
          <w:tcPr>
            <w:tcW w:w="49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84455</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2"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72"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spacing w:after="0" w:line="19" w:lineRule="exact"/>
        <w:rPr>
          <w:sz w:val="24"/>
          <w:szCs w:val="24"/>
          <w:color w:val="auto"/>
        </w:rPr>
      </w:pPr>
    </w:p>
    <w:p>
      <w:pPr>
        <w:ind w:left="22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ind w:left="220" w:firstLine="33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2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220" w:right="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220" w:firstLine="33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20" w:type="dxa"/>
        <w:tblCellMar>
          <w:top w:w="0" w:type="dxa"/>
          <w:left w:w="0" w:type="dxa"/>
          <w:bottom w:w="0" w:type="dxa"/>
          <w:right w:w="0" w:type="dxa"/>
        </w:tblCellMar>
      </w:tblPr>
      <w:tr>
        <w:trPr>
          <w:trHeight w:val="175"/>
        </w:trPr>
        <w:tc>
          <w:tcPr>
            <w:tcW w:w="45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5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456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5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4560" w:type="dxa"/>
            <w:vAlign w:val="bottom"/>
          </w:tcPr>
          <w:p>
            <w:pPr>
              <w:spacing w:after="0"/>
              <w:rPr>
                <w:sz w:val="19"/>
                <w:szCs w:val="19"/>
                <w:color w:val="auto"/>
              </w:rPr>
            </w:pPr>
          </w:p>
        </w:tc>
        <w:tc>
          <w:tcPr>
            <w:tcW w:w="550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jc w:val="both"/>
        <w:ind w:left="220" w:right="20" w:firstLine="33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83185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4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7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3"/>
              </w:rPr>
              <w:t>Price(1)(2)</w:t>
            </w:r>
          </w:p>
        </w:tc>
        <w:tc>
          <w:tcPr>
            <w:tcW w:w="17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4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60" w:type="dxa"/>
            <w:vAlign w:val="bottom"/>
            <w:tcBorders>
              <w:bottom w:val="single" w:sz="8" w:color="auto"/>
              <w:right w:val="single" w:sz="8" w:color="auto"/>
            </w:tcBorders>
          </w:tcPr>
          <w:p>
            <w:pPr>
              <w:jc w:val="right"/>
              <w:ind w:right="371"/>
              <w:spacing w:after="0" w:line="142" w:lineRule="exact"/>
              <w:rPr>
                <w:sz w:val="20"/>
                <w:szCs w:val="20"/>
                <w:color w:val="auto"/>
              </w:rPr>
            </w:pPr>
            <w:r>
              <w:rPr>
                <w:rFonts w:ascii="Arial" w:cs="Arial" w:eastAsia="Arial" w:hAnsi="Arial"/>
                <w:sz w:val="14"/>
                <w:szCs w:val="14"/>
                <w:color w:val="auto"/>
              </w:rPr>
              <w:t>$115,000,000</w:t>
            </w:r>
          </w:p>
        </w:tc>
        <w:tc>
          <w:tcPr>
            <w:tcW w:w="17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$13,938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30"/>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40" w:hanging="33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81" w:lineRule="exact"/>
        <w:rPr>
          <w:sz w:val="24"/>
          <w:szCs w:val="24"/>
          <w:color w:val="auto"/>
        </w:rPr>
      </w:pPr>
    </w:p>
    <w:p>
      <w:pPr>
        <w:jc w:val="both"/>
        <w:ind w:left="220" w:firstLine="330"/>
        <w:spacing w:after="0" w:line="23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51435</wp:posOffset>
            </wp:positionV>
            <wp:extent cx="698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94615</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DE1A1E"/>
        </w:rPr>
        <w:t>PRELIMINARY PROSPECTUS (Subject to Completion)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DE1A1E"/>
        </w:rPr>
        <w:t>Issued May 23, 2019</w:t>
      </w:r>
    </w:p>
    <w:p>
      <w:pPr>
        <w:spacing w:after="0" w:line="257"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95885</wp:posOffset>
            </wp:positionV>
            <wp:extent cx="343471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471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153035</wp:posOffset>
            </wp:positionV>
            <wp:extent cx="147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20"/>
        <w:spacing w:after="0"/>
        <w:tabs>
          <w:tab w:leader="none" w:pos="3020" w:val="left"/>
        </w:tabs>
        <w:rPr>
          <w:sz w:val="20"/>
          <w:szCs w:val="20"/>
          <w:color w:val="auto"/>
        </w:rPr>
      </w:pPr>
      <w:r>
        <w:rPr>
          <w:rFonts w:ascii="Arial" w:cs="Arial" w:eastAsia="Arial" w:hAnsi="Arial"/>
          <w:sz w:val="18"/>
          <w:szCs w:val="18"/>
          <w:b w:val="1"/>
          <w:bCs w:val="1"/>
          <w:i w:val="1"/>
          <w:iCs w:val="1"/>
          <w:color w:val="auto"/>
        </w:rPr>
        <w:t>Personalis, Inc. is offering</w:t>
      </w:r>
      <w:r>
        <w:rPr>
          <w:sz w:val="20"/>
          <w:szCs w:val="20"/>
          <w:color w:val="auto"/>
        </w:rPr>
        <w:tab/>
      </w:r>
      <w:r>
        <w:rPr>
          <w:rFonts w:ascii="Arial" w:cs="Arial" w:eastAsia="Arial" w:hAnsi="Arial"/>
          <w:sz w:val="15"/>
          <w:szCs w:val="15"/>
          <w:b w:val="1"/>
          <w:bCs w:val="1"/>
          <w:i w:val="1"/>
          <w:iCs w:val="1"/>
          <w:color w:val="auto"/>
        </w:rPr>
        <w:t>shares of its common stock. This is our initial public offering and no public market currently exists for shares</w:t>
      </w:r>
    </w:p>
    <w:p>
      <w:pPr>
        <w:spacing w:after="0" w:line="23" w:lineRule="exact"/>
        <w:rPr>
          <w:sz w:val="20"/>
          <w:szCs w:val="20"/>
          <w:color w:val="auto"/>
        </w:rPr>
      </w:pPr>
    </w:p>
    <w:p>
      <w:pPr>
        <w:ind w:left="220"/>
        <w:spacing w:after="0"/>
        <w:tabs>
          <w:tab w:leader="none" w:pos="7340" w:val="left"/>
          <w:tab w:leader="none" w:pos="8300" w:val="left"/>
        </w:tabs>
        <w:rPr>
          <w:sz w:val="20"/>
          <w:szCs w:val="20"/>
          <w:color w:val="auto"/>
        </w:rPr>
      </w:pPr>
      <w:r>
        <w:rPr>
          <w:rFonts w:ascii="Arial" w:cs="Arial" w:eastAsia="Arial" w:hAnsi="Arial"/>
          <w:sz w:val="17"/>
          <w:szCs w:val="17"/>
          <w:b w:val="1"/>
          <w:bCs w:val="1"/>
          <w:i w:val="1"/>
          <w:iCs w:val="1"/>
          <w:color w:val="auto"/>
        </w:rPr>
        <w:t>of our common stock. We anticipate that the initial public offering price will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applied to list our common stock on The Nasdaq Global Market under the symbol “PSNL.”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160655</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the U.S.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210820</wp:posOffset>
            </wp:positionV>
            <wp:extent cx="1473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220" w:right="2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risks. See the section titled “</w:t>
      </w:r>
      <w:hyperlink w:anchor="page1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132715</wp:posOffset>
            </wp:positionV>
            <wp:extent cx="1473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322"/>
        </w:trPr>
        <w:tc>
          <w:tcPr>
            <w:tcW w:w="43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5"/>
                <w:szCs w:val="25"/>
                <w:i w:val="1"/>
                <w:iCs w:val="1"/>
                <w:color w:val="auto"/>
              </w:rPr>
              <w:t>$</w:t>
            </w:r>
          </w:p>
        </w:tc>
        <w:tc>
          <w:tcPr>
            <w:tcW w:w="960" w:type="dxa"/>
            <w:vAlign w:val="bottom"/>
          </w:tcPr>
          <w:p>
            <w:pPr>
              <w:ind w:left="100"/>
              <w:spacing w:after="0"/>
              <w:rPr>
                <w:sz w:val="20"/>
                <w:szCs w:val="20"/>
                <w:color w:val="auto"/>
              </w:rPr>
            </w:pPr>
            <w:r>
              <w:rPr>
                <w:rFonts w:ascii="Arial" w:cs="Arial" w:eastAsia="Arial" w:hAnsi="Arial"/>
                <w:sz w:val="18"/>
                <w:szCs w:val="18"/>
                <w:i w:val="1"/>
                <w:iCs w:val="1"/>
                <w:color w:val="auto"/>
              </w:rPr>
              <w:t>A SHARE</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i w:val="1"/>
                <w:iCs w:val="1"/>
                <w:color w:val="auto"/>
                <w:w w:val="92"/>
              </w:rPr>
              <w:t>Underwriting</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ind w:left="440"/>
              <w:spacing w:after="0" w:line="149" w:lineRule="exact"/>
              <w:rPr>
                <w:sz w:val="20"/>
                <w:szCs w:val="20"/>
                <w:color w:val="auto"/>
              </w:rPr>
            </w:pPr>
            <w:r>
              <w:rPr>
                <w:rFonts w:ascii="Arial" w:cs="Arial" w:eastAsia="Arial" w:hAnsi="Arial"/>
                <w:sz w:val="14"/>
                <w:szCs w:val="14"/>
                <w:b w:val="1"/>
                <w:bCs w:val="1"/>
                <w:i w:val="1"/>
                <w:iCs w:val="1"/>
                <w:color w:val="auto"/>
                <w:w w:val="97"/>
              </w:rPr>
              <w:t>Price to</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Proceeds to</w:t>
            </w:r>
          </w:p>
        </w:tc>
        <w:tc>
          <w:tcPr>
            <w:tcW w:w="0" w:type="dxa"/>
            <w:vAlign w:val="bottom"/>
          </w:tcPr>
          <w:p>
            <w:pPr>
              <w:spacing w:after="0"/>
              <w:rPr>
                <w:sz w:val="1"/>
                <w:szCs w:val="1"/>
                <w:color w:val="auto"/>
              </w:rPr>
            </w:pPr>
          </w:p>
        </w:tc>
      </w:tr>
      <w:tr>
        <w:trPr>
          <w:trHeight w:val="167"/>
        </w:trPr>
        <w:tc>
          <w:tcPr>
            <w:tcW w:w="5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960" w:type="dxa"/>
            <w:vAlign w:val="bottom"/>
          </w:tcPr>
          <w:p>
            <w:pPr>
              <w:ind w:left="480"/>
              <w:spacing w:after="0"/>
              <w:rPr>
                <w:sz w:val="20"/>
                <w:szCs w:val="20"/>
                <w:color w:val="auto"/>
              </w:rPr>
            </w:pPr>
            <w:r>
              <w:rPr>
                <w:rFonts w:ascii="Arial" w:cs="Arial" w:eastAsia="Arial" w:hAnsi="Arial"/>
                <w:sz w:val="14"/>
                <w:szCs w:val="14"/>
                <w:b w:val="1"/>
                <w:bCs w:val="1"/>
                <w:i w:val="1"/>
                <w:iCs w:val="1"/>
                <w:color w:val="auto"/>
              </w:rPr>
              <w:t>Public</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2"/>
          </w:tcPr>
          <w:p>
            <w:pPr>
              <w:jc w:val="center"/>
              <w:ind w:right="640"/>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7"/>
              </w:rPr>
              <w:t>Personalis</w:t>
            </w:r>
          </w:p>
        </w:tc>
        <w:tc>
          <w:tcPr>
            <w:tcW w:w="0" w:type="dxa"/>
            <w:vAlign w:val="bottom"/>
          </w:tcPr>
          <w:p>
            <w:pPr>
              <w:spacing w:after="0"/>
              <w:rPr>
                <w:sz w:val="1"/>
                <w:szCs w:val="1"/>
                <w:color w:val="auto"/>
              </w:rPr>
            </w:pPr>
          </w:p>
        </w:tc>
      </w:tr>
      <w:tr>
        <w:trPr>
          <w:trHeight w:val="195"/>
        </w:trPr>
        <w:tc>
          <w:tcPr>
            <w:tcW w:w="5700" w:type="dxa"/>
            <w:vAlign w:val="bottom"/>
            <w:gridSpan w:val="2"/>
            <w:vMerge w:val="continue"/>
          </w:tcPr>
          <w:p>
            <w:pPr>
              <w:spacing w:after="0"/>
              <w:rPr>
                <w:sz w:val="16"/>
                <w:szCs w:val="16"/>
                <w:color w:val="auto"/>
              </w:rPr>
            </w:pPr>
          </w:p>
        </w:tc>
        <w:tc>
          <w:tcPr>
            <w:tcW w:w="96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i w:val="1"/>
                <w:iCs w:val="1"/>
                <w:color w:val="auto"/>
              </w:rPr>
              <w:t>$</w:t>
            </w:r>
          </w:p>
        </w:tc>
        <w:tc>
          <w:tcPr>
            <w:tcW w:w="38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top w:val="single" w:sz="8" w:color="auto"/>
            </w:tcBorders>
          </w:tcPr>
          <w:p>
            <w:pPr>
              <w:jc w:val="right"/>
              <w:ind w:right="764"/>
              <w:spacing w:after="0" w:line="195" w:lineRule="exact"/>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6"/>
                <w:szCs w:val="16"/>
                <w:color w:val="auto"/>
              </w:rPr>
            </w:pPr>
          </w:p>
        </w:tc>
        <w:tc>
          <w:tcPr>
            <w:tcW w:w="1340" w:type="dxa"/>
            <w:vAlign w:val="bottom"/>
            <w:tcBorders>
              <w:top w:val="single" w:sz="8" w:color="auto"/>
            </w:tcBorders>
          </w:tcPr>
          <w:p>
            <w:pPr>
              <w:jc w:val="right"/>
              <w:ind w:right="739"/>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960" w:type="dxa"/>
            <w:vAlign w:val="bottom"/>
          </w:tcPr>
          <w:p>
            <w:pPr>
              <w:jc w:val="right"/>
              <w:ind w:right="617"/>
              <w:spacing w:after="0"/>
              <w:rPr>
                <w:sz w:val="20"/>
                <w:szCs w:val="20"/>
                <w:color w:val="auto"/>
              </w:rPr>
            </w:pPr>
            <w:r>
              <w:rPr>
                <w:rFonts w:ascii="Arial" w:cs="Arial" w:eastAsia="Arial" w:hAnsi="Arial"/>
                <w:sz w:val="18"/>
                <w:szCs w:val="18"/>
                <w:i w:val="1"/>
                <w:iCs w:val="1"/>
                <w:color w:val="auto"/>
              </w:rPr>
              <w:t>$</w:t>
            </w:r>
          </w:p>
        </w:tc>
        <w:tc>
          <w:tcPr>
            <w:tcW w:w="2360" w:type="dxa"/>
            <w:vAlign w:val="bottom"/>
            <w:gridSpan w:val="3"/>
          </w:tcPr>
          <w:p>
            <w:pPr>
              <w:jc w:val="right"/>
              <w:ind w:right="1004"/>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0"/>
                <w:szCs w:val="20"/>
                <w:color w:val="auto"/>
              </w:rPr>
            </w:pPr>
          </w:p>
        </w:tc>
        <w:tc>
          <w:tcPr>
            <w:tcW w:w="1340" w:type="dxa"/>
            <w:vAlign w:val="bottom"/>
          </w:tcPr>
          <w:p>
            <w:pPr>
              <w:jc w:val="right"/>
              <w:ind w:right="99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4" w:lineRule="exact"/>
        <w:rPr>
          <w:sz w:val="20"/>
          <w:szCs w:val="20"/>
          <w:color w:val="auto"/>
        </w:rPr>
      </w:pPr>
    </w:p>
    <w:p>
      <w:pPr>
        <w:ind w:left="640" w:hanging="430"/>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225" w:lineRule="exact"/>
        <w:rPr>
          <w:sz w:val="20"/>
          <w:szCs w:val="20"/>
          <w:color w:val="auto"/>
        </w:rPr>
      </w:pPr>
    </w:p>
    <w:p>
      <w:pPr>
        <w:ind w:left="220"/>
        <w:spacing w:after="0"/>
        <w:tabs>
          <w:tab w:leader="none" w:pos="5160" w:val="left"/>
        </w:tabs>
        <w:rPr>
          <w:sz w:val="20"/>
          <w:szCs w:val="20"/>
          <w:color w:val="auto"/>
        </w:rPr>
      </w:pPr>
      <w:r>
        <w:rPr>
          <w:rFonts w:ascii="Arial" w:cs="Arial" w:eastAsia="Arial" w:hAnsi="Arial"/>
          <w:sz w:val="18"/>
          <w:szCs w:val="18"/>
          <w:i w:val="1"/>
          <w:iCs w:val="1"/>
          <w:color w:val="auto"/>
        </w:rPr>
        <w:t>We have granted the underwriters the right to purchase up to</w:t>
      </w:r>
      <w:r>
        <w:rPr>
          <w:sz w:val="20"/>
          <w:szCs w:val="20"/>
          <w:color w:val="auto"/>
        </w:rPr>
        <w:tab/>
      </w:r>
      <w:r>
        <w:rPr>
          <w:rFonts w:ascii="Arial" w:cs="Arial" w:eastAsia="Arial" w:hAnsi="Arial"/>
          <w:sz w:val="16"/>
          <w:szCs w:val="16"/>
          <w:i w:val="1"/>
          <w:iCs w:val="1"/>
          <w:color w:val="auto"/>
        </w:rPr>
        <w:t>additional shares of common stock to cover over-allotments.</w:t>
      </w:r>
    </w:p>
    <w:p>
      <w:pPr>
        <w:spacing w:after="0" w:line="22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i w:val="1"/>
                <w:iCs w:val="1"/>
                <w:color w:val="auto"/>
                <w:w w:val="96"/>
              </w:rPr>
              <w:t>The underwriters expect to deliver the shares of common stock to purchasers on</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222885</wp:posOffset>
            </wp:positionV>
            <wp:extent cx="1473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4900" w:val="left"/>
          <w:tab w:leader="none" w:pos="1038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BofA MERRILL LYNCH</w:t>
      </w:r>
      <w:r>
        <w:rPr>
          <w:sz w:val="20"/>
          <w:szCs w:val="20"/>
          <w:color w:val="auto"/>
        </w:rPr>
        <w:tab/>
      </w:r>
      <w:r>
        <w:rPr>
          <w:rFonts w:ascii="Arial" w:cs="Arial" w:eastAsia="Arial" w:hAnsi="Arial"/>
          <w:sz w:val="21"/>
          <w:szCs w:val="21"/>
          <w:i w:val="1"/>
          <w:iCs w:val="1"/>
          <w:color w:val="auto"/>
        </w:rPr>
        <w:t>COWEN</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20"/>
          <w:szCs w:val="20"/>
          <w:i w:val="1"/>
          <w:iCs w:val="1"/>
          <w:color w:val="auto"/>
        </w:rPr>
        <w:t>OPPENHEIMER &amp; CO.</w:t>
      </w:r>
    </w:p>
    <w:p>
      <w:pPr>
        <w:sectPr>
          <w:pgSz w:w="11900" w:h="16838" w:orient="portrait"/>
          <w:cols w:equalWidth="0" w:num="1">
            <w:col w:w="11220"/>
          </w:cols>
          <w:pgMar w:left="240" w:top="459" w:right="439" w:bottom="1440" w:gutter="0" w:footer="0" w:header="0"/>
        </w:sect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 2019.</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Prospectus Summary</w:t>
              </w:r>
            </w:hyperlink>
          </w:p>
        </w:tc>
        <w:tc>
          <w:tcPr>
            <w:tcW w:w="1180" w:type="dxa"/>
            <w:vAlign w:val="bottom"/>
            <w:gridSpan w:val="4"/>
            <w:vMerge w:val="restart"/>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180" w:type="dxa"/>
            <w:vAlign w:val="bottom"/>
            <w:vMerge w:val="restart"/>
          </w:tcPr>
          <w:p>
            <w:pPr>
              <w:spacing w:after="0"/>
              <w:rPr>
                <w:sz w:val="14"/>
                <w:szCs w:val="14"/>
                <w:color w:val="auto"/>
              </w:rPr>
            </w:pPr>
          </w:p>
        </w:tc>
        <w:tc>
          <w:tcPr>
            <w:tcW w:w="5020" w:type="dxa"/>
            <w:vAlign w:val="bottom"/>
            <w:gridSpan w:val="15"/>
            <w:vMerge w:val="restart"/>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Certain Relationships and Related Party Transactions</w:t>
              </w:r>
            </w:hyperlink>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20" w:type="dxa"/>
            <w:vAlign w:val="bottom"/>
            <w:gridSpan w:val="7"/>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5020" w:type="dxa"/>
            <w:vAlign w:val="bottom"/>
            <w:gridSpan w:val="15"/>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tcBorders>
            <w:gridSpan w:val="4"/>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620" w:type="dxa"/>
            <w:vAlign w:val="bottom"/>
            <w:tcBorders>
              <w:top w:val="single" w:sz="8" w:color="0000EE"/>
            </w:tcBorders>
            <w:gridSpan w:val="3"/>
          </w:tcPr>
          <w:p>
            <w:pPr>
              <w:spacing w:after="0"/>
              <w:rPr>
                <w:sz w:val="17"/>
                <w:szCs w:val="17"/>
                <w:color w:val="auto"/>
              </w:rPr>
            </w:pPr>
          </w:p>
        </w:tc>
        <w:tc>
          <w:tcPr>
            <w:tcW w:w="11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3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Stockholders</w:t>
              </w:r>
            </w:hyperlink>
          </w:p>
        </w:tc>
        <w:tc>
          <w:tcPr>
            <w:tcW w:w="11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Special Note Regarding Forward-Looking Statements</w:t>
              </w:r>
            </w:hyperlink>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59</w:t>
            </w:r>
          </w:p>
        </w:tc>
        <w:tc>
          <w:tcPr>
            <w:tcW w:w="5200" w:type="dxa"/>
            <w:vAlign w:val="bottom"/>
            <w:gridSpan w:val="16"/>
          </w:tcPr>
          <w:p>
            <w:pPr>
              <w:ind w:left="18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10"/>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Market, Industry, and Other Data</w:t>
              </w:r>
            </w:hyperlink>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320" w:type="dxa"/>
            <w:vAlign w:val="bottom"/>
            <w:tcBorders>
              <w:bottom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4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Material U.S. Federal Income Tax Consequences to Non-U.S.</w:t>
              </w:r>
            </w:hyperlink>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5020" w:type="dxa"/>
            <w:vAlign w:val="bottom"/>
            <w:gridSpan w:val="15"/>
          </w:tcPr>
          <w:p>
            <w:pPr>
              <w:ind w:left="180"/>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Holders of Our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Capitalization</w:t>
              </w:r>
            </w:hyperlink>
          </w:p>
        </w:tc>
        <w:tc>
          <w:tcPr>
            <w:tcW w:w="154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65</w:t>
            </w:r>
          </w:p>
        </w:tc>
        <w:tc>
          <w:tcPr>
            <w:tcW w:w="5200" w:type="dxa"/>
            <w:vAlign w:val="bottom"/>
            <w:gridSpan w:val="16"/>
          </w:tcPr>
          <w:p>
            <w:pPr>
              <w:ind w:left="180"/>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Dilution</w:t>
              </w:r>
            </w:hyperlink>
          </w:p>
        </w:tc>
        <w:tc>
          <w:tcPr>
            <w:tcW w:w="400" w:type="dxa"/>
            <w:vAlign w:val="bottom"/>
            <w:gridSpan w:val="3"/>
          </w:tcPr>
          <w:p>
            <w:pPr>
              <w:spacing w:after="0"/>
              <w:rPr>
                <w:sz w:val="17"/>
                <w:szCs w:val="17"/>
                <w:color w:val="auto"/>
              </w:rPr>
            </w:pPr>
          </w:p>
        </w:tc>
        <w:tc>
          <w:tcPr>
            <w:tcW w:w="170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Legal Matters</w:t>
              </w:r>
            </w:hyperlink>
          </w:p>
        </w:tc>
        <w:tc>
          <w:tcPr>
            <w:tcW w:w="40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Selected Consolidated Financial Data</w:t>
              </w:r>
            </w:hyperlink>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w:t>
            </w:r>
          </w:p>
        </w:tc>
        <w:tc>
          <w:tcPr>
            <w:tcW w:w="1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Experts</w:t>
              </w:r>
            </w:hyperlink>
          </w:p>
        </w:tc>
        <w:tc>
          <w:tcPr>
            <w:tcW w:w="44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14"/>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Management’s Discussion and Analysis of Financial Condition</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Changes in 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and Results of Operations</w:t>
              </w:r>
            </w:hyperlink>
          </w:p>
        </w:tc>
        <w:tc>
          <w:tcPr>
            <w:tcW w:w="660" w:type="dxa"/>
            <w:vAlign w:val="bottom"/>
            <w:tcBorders>
              <w:top w:val="single" w:sz="8" w:color="0000EE"/>
            </w:tcBorders>
            <w:gridSpan w:val="2"/>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72</w:t>
            </w:r>
          </w:p>
        </w:tc>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Where You Can Find More Information</w:t>
              </w:r>
            </w:hyperlink>
          </w:p>
        </w:tc>
        <w:tc>
          <w:tcPr>
            <w:tcW w:w="1460" w:type="dxa"/>
            <w:vAlign w:val="bottom"/>
            <w:tcBorders>
              <w:top w:val="single" w:sz="8" w:color="0000EE"/>
            </w:tcBorders>
            <w:gridSpan w:val="3"/>
          </w:tcPr>
          <w:p>
            <w:pPr>
              <w:spacing w:after="0"/>
              <w:rPr>
                <w:sz w:val="17"/>
                <w:szCs w:val="17"/>
                <w:color w:val="auto"/>
              </w:rPr>
            </w:pPr>
          </w:p>
        </w:tc>
        <w:tc>
          <w:tcPr>
            <w:tcW w:w="6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4"/>
              </w:rPr>
            </w:pPr>
            <w:hyperlink w:anchor="page95">
              <w:r>
                <w:rPr>
                  <w:rFonts w:ascii="Arial" w:cs="Arial" w:eastAsia="Arial" w:hAnsi="Arial"/>
                  <w:sz w:val="18"/>
                  <w:szCs w:val="18"/>
                  <w:color w:val="0000EE"/>
                  <w:w w:val="84"/>
                </w:rPr>
                <w:t>Business</w:t>
              </w:r>
            </w:hyperlink>
          </w:p>
        </w:tc>
        <w:tc>
          <w:tcPr>
            <w:tcW w:w="206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92</w:t>
            </w:r>
          </w:p>
        </w:tc>
        <w:tc>
          <w:tcPr>
            <w:tcW w:w="1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Index to Consolidated Financial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Management</w:t>
              </w:r>
            </w:hyperlink>
          </w:p>
        </w:tc>
        <w:tc>
          <w:tcPr>
            <w:tcW w:w="170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gridSpan w:val="1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Executive Compensation</w:t>
              </w:r>
            </w:hyperlink>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80" w:type="dxa"/>
            <w:vAlign w:val="bottom"/>
          </w:tcPr>
          <w:p>
            <w:pPr>
              <w:spacing w:after="0"/>
              <w:rPr>
                <w:sz w:val="24"/>
                <w:szCs w:val="24"/>
                <w:color w:val="auto"/>
              </w:rPr>
            </w:pPr>
          </w:p>
        </w:tc>
        <w:tc>
          <w:tcPr>
            <w:tcW w:w="252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8280" w:type="dxa"/>
            <w:vAlign w:val="bottom"/>
            <w:gridSpan w:val="24"/>
          </w:tcPr>
          <w:p>
            <w:pPr>
              <w:ind w:left="820"/>
              <w:spacing w:after="0"/>
              <w:rPr>
                <w:sz w:val="20"/>
                <w:szCs w:val="20"/>
                <w:color w:val="auto"/>
              </w:rPr>
            </w:pPr>
            <w:r>
              <w:rPr>
                <w:rFonts w:ascii="Arial" w:cs="Arial" w:eastAsia="Arial" w:hAnsi="Arial"/>
                <w:sz w:val="18"/>
                <w:szCs w:val="18"/>
                <w:b w:val="1"/>
                <w:bCs w:val="1"/>
                <w:color w:val="auto"/>
                <w:w w:val="91"/>
              </w:rPr>
              <w:t>, 2019 (the 25th day after the date of this prospectus), all dealers effecting transactions in these</w:t>
            </w:r>
          </w:p>
        </w:tc>
        <w:tc>
          <w:tcPr>
            <w:tcW w:w="0" w:type="dxa"/>
            <w:vAlign w:val="bottom"/>
          </w:tcPr>
          <w:p>
            <w:pPr>
              <w:spacing w:after="0"/>
              <w:rPr>
                <w:sz w:val="1"/>
                <w:szCs w:val="1"/>
                <w:color w:val="auto"/>
              </w:rPr>
            </w:pPr>
          </w:p>
        </w:tc>
      </w:tr>
    </w:tbl>
    <w:p>
      <w:pPr>
        <w:jc w:val="both"/>
        <w:ind w:left="220" w:right="20"/>
        <w:spacing w:after="0" w:line="260" w:lineRule="auto"/>
        <w:rPr>
          <w:sz w:val="20"/>
          <w:szCs w:val="20"/>
          <w:color w:val="auto"/>
        </w:rPr>
      </w:pPr>
      <w:r>
        <w:rPr>
          <w:rFonts w:ascii="Arial" w:cs="Arial" w:eastAsia="Arial" w:hAnsi="Arial"/>
          <w:sz w:val="18"/>
          <w:szCs w:val="18"/>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143510</wp:posOffset>
            </wp:positionV>
            <wp:extent cx="1473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future growth prospects may have changed since that date.</w:t>
      </w:r>
    </w:p>
    <w:p>
      <w:pPr>
        <w:spacing w:after="0" w:line="19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3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58375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400" w:firstLine="426"/>
        <w:spacing w:after="0" w:line="296"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Our fiscal year ends on December 31. Unless the context otherwise requires, all references in this prospectus to “we,” “us,” “our,” “our company,” and “Personalis” refer to Personalis, Inc.</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PERSONALIS, INC.</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0" w:firstLine="426"/>
        <w:spacing w:after="0" w:line="269" w:lineRule="auto"/>
        <w:rPr>
          <w:sz w:val="20"/>
          <w:szCs w:val="20"/>
          <w:color w:val="auto"/>
        </w:rPr>
      </w:pPr>
      <w:r>
        <w:rPr>
          <w:rFonts w:ascii="Arial" w:cs="Arial" w:eastAsia="Arial" w:hAnsi="Arial"/>
          <w:sz w:val="17"/>
          <w:szCs w:val="17"/>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We are also developing a complementary liquid biopsy assay that analyzes all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are also planning to release a diagnostic based on our NeXT Platform that we envision being used initially by biopharmaceutical customers and clinical collaborators. Since inception, we have provided our services to more than 45 biopharmaceutical customers, including several of the largest pharmaceutical companies in the world.</w:t>
      </w:r>
    </w:p>
    <w:p>
      <w:pPr>
        <w:spacing w:after="0" w:line="180" w:lineRule="exact"/>
        <w:rPr>
          <w:sz w:val="20"/>
          <w:szCs w:val="20"/>
          <w:color w:val="auto"/>
        </w:rPr>
      </w:pPr>
    </w:p>
    <w:p>
      <w:pPr>
        <w:jc w:val="both"/>
        <w:ind w:left="400" w:firstLine="426"/>
        <w:spacing w:after="0" w:line="268" w:lineRule="auto"/>
        <w:rPr>
          <w:sz w:val="20"/>
          <w:szCs w:val="20"/>
          <w:color w:val="auto"/>
        </w:rPr>
      </w:pPr>
      <w:r>
        <w:rPr>
          <w:rFonts w:ascii="Arial" w:cs="Arial" w:eastAsia="Arial" w:hAnsi="Arial"/>
          <w:sz w:val="17"/>
          <w:szCs w:val="17"/>
          <w:color w:val="auto"/>
        </w:rPr>
        <w:t>In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While tumor molecular profiling technologies have enhanced research and development efforts, most current tumor biopsy and liquid biopsy tests analyze a relatively narrow set of roughly 50 to 500 tumor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86" w:lineRule="exact"/>
        <w:rPr>
          <w:sz w:val="20"/>
          <w:szCs w:val="20"/>
          <w:color w:val="auto"/>
        </w:rPr>
      </w:pPr>
    </w:p>
    <w:p>
      <w:pPr>
        <w:jc w:val="both"/>
        <w:ind w:left="400" w:firstLine="426"/>
        <w:spacing w:after="0" w:line="311" w:lineRule="auto"/>
        <w:rPr>
          <w:sz w:val="20"/>
          <w:szCs w:val="20"/>
          <w:color w:val="auto"/>
        </w:rPr>
      </w:pPr>
      <w:r>
        <w:rPr>
          <w:rFonts w:ascii="Arial" w:cs="Arial" w:eastAsia="Arial" w:hAnsi="Arial"/>
          <w:sz w:val="16"/>
          <w:szCs w:val="16"/>
          <w:color w:val="auto"/>
        </w:rPr>
        <w:t>Our platform helps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w:t>
      </w:r>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557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6557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spacing w:after="0" w:line="293" w:lineRule="auto"/>
        <w:rPr>
          <w:sz w:val="20"/>
          <w:szCs w:val="20"/>
          <w:color w:val="auto"/>
        </w:rPr>
      </w:pPr>
      <w:r>
        <w:rPr>
          <w:rFonts w:ascii="Arial" w:cs="Arial" w:eastAsia="Arial" w:hAnsi="Arial"/>
          <w:sz w:val="16"/>
          <w:szCs w:val="16"/>
          <w:color w:val="auto"/>
        </w:rPr>
        <w:t>analytics. NeXT represents the next step of our existing ACE platform, allowing customers to move up the value chain by gaining more information from a single sample. We believe that our platform has the potential to enable a research, development, and treatment paradigm that is dynamic and adaptive to the evolving genomic and immune system landscape of patients’ tumors over time. We believe our technology will drive this evolving paradigm, which will enable our customers to develop safer and more efficacious therapeutics (see Figure 1). As the clinical utility of our platform increases, we expect to grow our diagnostic capabilities, including the ability to guide therapy based on a patient’s changing tumor and immune system, supporting the commercialization of therapeutics developed by our biopharmaceutical customers.</w:t>
      </w:r>
    </w:p>
    <w:p>
      <w:pPr>
        <w:spacing w:after="0" w:line="163"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Figure 1. Personalis NeXT Platform addresses the increasingly complex understanding of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Personalis: The Genomics Engine for Next-Generation Cancer Therapies</w:t>
      </w:r>
    </w:p>
    <w:p>
      <w:pPr>
        <w:spacing w:after="0" w:line="121" w:lineRule="exact"/>
        <w:rPr>
          <w:sz w:val="20"/>
          <w:szCs w:val="20"/>
          <w:color w:val="auto"/>
        </w:rPr>
      </w:pPr>
    </w:p>
    <w:p>
      <w:pPr>
        <w:jc w:val="both"/>
        <w:ind w:left="400" w:right="20" w:firstLine="426"/>
        <w:spacing w:after="0" w:line="341" w:lineRule="auto"/>
        <w:rPr>
          <w:sz w:val="20"/>
          <w:szCs w:val="20"/>
          <w:color w:val="auto"/>
        </w:rPr>
      </w:pPr>
      <w:r>
        <w:rPr>
          <w:rFonts w:ascii="Arial" w:cs="Arial" w:eastAsia="Arial" w:hAnsi="Arial"/>
          <w:sz w:val="16"/>
          <w:szCs w:val="16"/>
          <w:color w:val="auto"/>
        </w:rPr>
        <w:t>Biopharmaceutical customers use our comprehensive platform across a diverse set of therapeutic approaches to cancer. We generate and analyze data from patients who participated in clinical trials, which we believe will enable these customers to develop more effective therapies.</w:t>
      </w:r>
    </w:p>
    <w:p>
      <w:pPr>
        <w:spacing w:after="0" w:line="125" w:lineRule="exact"/>
        <w:rPr>
          <w:sz w:val="20"/>
          <w:szCs w:val="20"/>
          <w:color w:val="auto"/>
        </w:rPr>
      </w:pPr>
    </w:p>
    <w:p>
      <w:pPr>
        <w:jc w:val="both"/>
        <w:ind w:left="400" w:firstLine="426"/>
        <w:spacing w:after="0" w:line="296" w:lineRule="auto"/>
        <w:rPr>
          <w:sz w:val="20"/>
          <w:szCs w:val="20"/>
          <w:color w:val="auto"/>
        </w:rPr>
      </w:pPr>
      <w:r>
        <w:rPr>
          <w:rFonts w:ascii="Arial" w:cs="Arial" w:eastAsia="Arial" w:hAnsi="Arial"/>
          <w:sz w:val="16"/>
          <w:szCs w:val="16"/>
          <w:color w:val="auto"/>
        </w:rPr>
        <w:t>The information we generate is important to our customers developing three major classes of next-generation therapeutics: immunotherapies, targeted therapies, and personalized cancer therapies. Based on the approximately 195,000 patients who are currently expected to enroll in the over 1,600 immunotherapy, targeted therapy, and personalized therapy clinical trials that commenced in 2018, we estimate the total addressable market for multiple time point comprehensive tissue and liquid biopsy testing in clinical trials is over $5.0 billion annually. See the section titled “Market, Industry, and Other Data” for additional information regarding the data, sources, and assumptions we used for this estimate.</w:t>
      </w:r>
    </w:p>
    <w:p>
      <w:pPr>
        <w:spacing w:after="0" w:line="62" w:lineRule="exact"/>
        <w:rPr>
          <w:sz w:val="20"/>
          <w:szCs w:val="20"/>
          <w:color w:val="auto"/>
        </w:rPr>
      </w:pPr>
    </w:p>
    <w:p>
      <w:pPr>
        <w:jc w:val="both"/>
        <w:ind w:left="1220" w:right="20" w:hanging="409"/>
        <w:spacing w:after="0" w:line="314"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Immunotherapies: </w:t>
      </w:r>
      <w:r>
        <w:rPr>
          <w:rFonts w:ascii="Arial" w:cs="Arial" w:eastAsia="Arial" w:hAnsi="Arial"/>
          <w:sz w:val="16"/>
          <w:szCs w:val="16"/>
          <w:color w:val="auto"/>
        </w:rPr>
        <w:t>Over the past decade, a number of drugs have emerged based on the discovery that the immune system plays a key</w:t>
      </w:r>
      <w:r>
        <w:rPr>
          <w:rFonts w:ascii="Arial" w:cs="Arial" w:eastAsia="Arial" w:hAnsi="Arial"/>
          <w:sz w:val="16"/>
          <w:szCs w:val="16"/>
          <w:b w:val="1"/>
          <w:bCs w:val="1"/>
          <w:color w:val="auto"/>
        </w:rPr>
        <w:t xml:space="preserve"> </w:t>
      </w:r>
      <w:r>
        <w:rPr>
          <w:rFonts w:ascii="Arial" w:cs="Arial" w:eastAsia="Arial" w:hAnsi="Arial"/>
          <w:sz w:val="16"/>
          <w:szCs w:val="16"/>
          <w:color w:val="auto"/>
        </w:rPr>
        <w:t>role in addressing cancer. Checkpoint inhibitors, a specific type of immunotherapy, generated worldwide sales of over $16.6 billion in 2018, up from approximately $1.4 billion in 2014. The commercial success of these drugs has shown the potential of</w:t>
      </w: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23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59232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spacing w:after="0" w:line="275" w:lineRule="auto"/>
        <w:rPr>
          <w:sz w:val="20"/>
          <w:szCs w:val="20"/>
          <w:color w:val="auto"/>
        </w:rPr>
      </w:pPr>
      <w:r>
        <w:rPr>
          <w:rFonts w:ascii="Arial" w:cs="Arial" w:eastAsia="Arial" w:hAnsi="Arial"/>
          <w:sz w:val="17"/>
          <w:szCs w:val="17"/>
          <w:color w:val="auto"/>
        </w:rPr>
        <w:t>immunotherapy; however, the development of new therapies in this category has been challenged by difficulties understanding the precise interaction between cancer and the immune system. The number of clinical trials in this space involving at least one cancer immunotherapy drug has grown from 123 that started in 2012 to 1,000 that started in 2018. Since our platform provides comprehensive insights on tumor and immune biology, including in both innate and adaptive immune cells, we believe it will enable biopharmaceutical companies to better understand how therapeutics are working in patients.</w:t>
      </w:r>
    </w:p>
    <w:p>
      <w:pPr>
        <w:spacing w:after="0" w:line="77" w:lineRule="exact"/>
        <w:rPr>
          <w:sz w:val="20"/>
          <w:szCs w:val="20"/>
          <w:color w:val="auto"/>
        </w:rPr>
      </w:pPr>
    </w:p>
    <w:p>
      <w:pPr>
        <w:jc w:val="both"/>
        <w:ind w:left="1220" w:right="20" w:hanging="409"/>
        <w:spacing w:after="0" w:line="27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Targeted Therapies: </w:t>
      </w:r>
      <w:r>
        <w:rPr>
          <w:rFonts w:ascii="Arial" w:cs="Arial" w:eastAsia="Arial" w:hAnsi="Arial"/>
          <w:sz w:val="17"/>
          <w:szCs w:val="17"/>
          <w:color w:val="auto"/>
        </w:rPr>
        <w:t>A growing category of successful cancer treatments consists of therapies that target specific genes or molecular</w:t>
      </w:r>
      <w:r>
        <w:rPr>
          <w:rFonts w:ascii="Arial" w:cs="Arial" w:eastAsia="Arial" w:hAnsi="Arial"/>
          <w:sz w:val="17"/>
          <w:szCs w:val="17"/>
          <w:b w:val="1"/>
          <w:bCs w:val="1"/>
          <w:color w:val="auto"/>
        </w:rPr>
        <w:t xml:space="preserve"> </w:t>
      </w:r>
      <w:r>
        <w:rPr>
          <w:rFonts w:ascii="Arial" w:cs="Arial" w:eastAsia="Arial" w:hAnsi="Arial"/>
          <w:sz w:val="17"/>
          <w:szCs w:val="17"/>
          <w:color w:val="auto"/>
        </w:rPr>
        <w:t>mechanisms of cancer. These drugs are not designed to influence the immune system directly, but the success of immunotherapies has brought acknowledgment that the immune system has a significant effect on their efficacy.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which of these therapies a patient may respond to. We believe that more comprehensive coverage of all of the approximately 20,000 genes positions us competitively against existing cancer panels that cover roughly 50 to 500 genes. We are positioning our company to be a leading provider of the complex information that we believe will continue to inform the development of targeted cancer therapies.</w:t>
      </w:r>
    </w:p>
    <w:p>
      <w:pPr>
        <w:spacing w:after="0" w:line="84" w:lineRule="exact"/>
        <w:rPr>
          <w:rFonts w:ascii="Arial" w:cs="Arial" w:eastAsia="Arial" w:hAnsi="Arial"/>
          <w:sz w:val="17"/>
          <w:szCs w:val="17"/>
          <w:color w:val="auto"/>
        </w:rPr>
      </w:pPr>
    </w:p>
    <w:p>
      <w:pPr>
        <w:jc w:val="both"/>
        <w:ind w:left="1220" w:right="20" w:hanging="409"/>
        <w:spacing w:after="0" w:line="26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Personalized Cancer Therapies: </w:t>
      </w:r>
      <w:r>
        <w:rPr>
          <w:rFonts w:ascii="Arial" w:cs="Arial" w:eastAsia="Arial" w:hAnsi="Arial"/>
          <w:sz w:val="17"/>
          <w:szCs w:val="17"/>
          <w:color w:val="auto"/>
        </w:rPr>
        <w:t>Many biopharmaceutical companies are pursuing personalized cancer therapies, which are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and manufactured, individually, for each patient based on genomic alterations in a given patient’s tumor. While there are many potential approaches to developing these therapies including neoantigen-based vaccines and T-cell therapies, all of them can potentially benefit from the data and analytics that our platform can generate about a patient’s tumor. Given the more than 700,000 cancer patients projected to be diagnosed with late-stage disease in the United States in 2019, we estimate that the total addressable market for our data and analytics for personalized cancer therapy could reach as much as $20 billion in the United States and as much as $40 billion worldwide. See the section titled “Market, Industry, and Other Data” for additional information regarding the data, sources, and assumptions we used for this estimate. Many of our customers have leveraged our U.S. Food and Drug Administration (the “FDA”) Device Master File as a component of their investigational new drug (“IND”) filings with the FDA. We anticipate that if drugs are approved that used our platform in the clinical trials forming the basis for approval, we may be able to derive revenue in connection with the sale of these drugs. We believe we are working with the majority of companies developing neoantigen-targeted personalized cancer therapies.</w:t>
      </w:r>
    </w:p>
    <w:p>
      <w:pPr>
        <w:spacing w:after="0" w:line="181" w:lineRule="exact"/>
        <w:rPr>
          <w:sz w:val="20"/>
          <w:szCs w:val="20"/>
          <w:color w:val="auto"/>
        </w:rPr>
      </w:pPr>
    </w:p>
    <w:p>
      <w:pPr>
        <w:jc w:val="both"/>
        <w:ind w:left="400" w:firstLine="426"/>
        <w:spacing w:after="0" w:line="256" w:lineRule="auto"/>
        <w:rPr>
          <w:sz w:val="20"/>
          <w:szCs w:val="20"/>
          <w:color w:val="auto"/>
        </w:rPr>
      </w:pPr>
      <w:r>
        <w:rPr>
          <w:rFonts w:ascii="Arial" w:cs="Arial" w:eastAsia="Arial" w:hAnsi="Arial"/>
          <w:sz w:val="18"/>
          <w:szCs w:val="18"/>
          <w:color w:val="auto"/>
        </w:rPr>
        <w:t>We anticipate that as the clinical utility of our platform is validated, we will have opportunities in connection with diagnostics and the commercialization of cancer therapeutics, which are significantly larger than our initial clinical-trial focused markets. Over time, we expect our biopharmaceutical customers and research collaborators to build evidence of clinical utility for our platform as a diagnostic for advanced cancer therapies. Separately, we are also acquiring samples and are building a database which will hold value for our biopharmaceutical customers and may ultimately allow us to discover new mechanisms of cancer treatment.</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NeXT Platform</w:t>
      </w:r>
    </w:p>
    <w:p>
      <w:pPr>
        <w:spacing w:after="0" w:line="121" w:lineRule="exact"/>
        <w:rPr>
          <w:sz w:val="20"/>
          <w:szCs w:val="20"/>
          <w:color w:val="auto"/>
        </w:rPr>
      </w:pPr>
    </w:p>
    <w:p>
      <w:pPr>
        <w:jc w:val="both"/>
        <w:ind w:left="400" w:firstLine="426"/>
        <w:spacing w:after="0" w:line="296" w:lineRule="auto"/>
        <w:rPr>
          <w:sz w:val="20"/>
          <w:szCs w:val="20"/>
          <w:color w:val="auto"/>
        </w:rPr>
      </w:pPr>
      <w:r>
        <w:rPr>
          <w:rFonts w:ascii="Arial" w:cs="Arial" w:eastAsia="Arial" w:hAnsi="Arial"/>
          <w:sz w:val="16"/>
          <w:szCs w:val="16"/>
          <w:color w:val="auto"/>
        </w:rPr>
        <w:t>Our NeXT Platform is designed to provide comprehensive analysis of both a tumor and its immune microenvironment from a single limited tissue sample. Our platform covers the deoxyribonucleic acid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200" w:lineRule="exact"/>
        <w:rPr>
          <w:sz w:val="20"/>
          <w:szCs w:val="20"/>
          <w:color w:val="auto"/>
        </w:rPr>
      </w:pP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firstLine="426"/>
        <w:spacing w:after="0" w:line="254" w:lineRule="auto"/>
        <w:rPr>
          <w:sz w:val="20"/>
          <w:szCs w:val="20"/>
          <w:color w:val="auto"/>
        </w:rPr>
      </w:pPr>
      <w:r>
        <w:rPr>
          <w:rFonts w:ascii="Arial" w:cs="Arial" w:eastAsia="Arial" w:hAnsi="Arial"/>
          <w:sz w:val="18"/>
          <w:szCs w:val="18"/>
          <w:color w:val="auto"/>
        </w:rPr>
        <w:t>Given the practical challenges in obtaining high-quality tumor samples via biopsy, we have developed our platform to work with a limited tumor tissue sample. Biopharmaceutical companies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platform is composed of multiple proprietary technologies, many of which we have developed from the ground up. The breadth of the assays that we have integrated into our platform, our proprietary sample preparation process, and the comprehensiveness of our platform allow us to maximize the utility of often limited tumor tissue samples that our customers have from their clinical trials.</w:t>
      </w:r>
    </w:p>
    <w:p>
      <w:pPr>
        <w:spacing w:after="0" w:line="193" w:lineRule="exact"/>
        <w:rPr>
          <w:sz w:val="20"/>
          <w:szCs w:val="20"/>
          <w:color w:val="auto"/>
        </w:rPr>
      </w:pPr>
    </w:p>
    <w:p>
      <w:pPr>
        <w:jc w:val="both"/>
        <w:ind w:left="400" w:firstLine="426"/>
        <w:spacing w:after="0" w:line="289" w:lineRule="auto"/>
        <w:rPr>
          <w:sz w:val="20"/>
          <w:szCs w:val="20"/>
          <w:color w:val="auto"/>
        </w:rPr>
      </w:pPr>
      <w:r>
        <w:rPr>
          <w:rFonts w:ascii="Arial" w:cs="Arial" w:eastAsia="Arial" w:hAnsi="Arial"/>
          <w:sz w:val="16"/>
          <w:szCs w:val="16"/>
          <w:color w:val="auto"/>
        </w:rPr>
        <w:t>We have also shown that our technology can analyze cell-free DNA (“cfDNA”) obtained from blood plasma, also known as a liquid biopsy. As with a tissue biopsy, we plan to analyze all of the approximately 20,000 human genes in each plasma sample, in contrast to currently marketed liquid biopsy panels. We expect this cfDNA to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plan to launch our first liquid biopsy assay designed to analyze all human genes so as to detect potential neoantigens and tumor escape mechanisms that arise under therapeutic pressure. Although we believe our cfDNA test will offer new insights, we believe it will be most useful for our biopharmaceutical customers alongside our primary tumor biopsy product, given that a tumor biopsy is required to analyze gene expression and elucidate tumor-infiltrating lymphocytes, which are critical to understanding cancer’s interaction with the immune system.</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Robust Operational Infrastructure to Scale with Our Customers</w:t>
      </w:r>
    </w:p>
    <w:p>
      <w:pPr>
        <w:spacing w:after="0" w:line="121" w:lineRule="exact"/>
        <w:rPr>
          <w:sz w:val="20"/>
          <w:szCs w:val="20"/>
          <w:color w:val="auto"/>
        </w:rPr>
      </w:pPr>
    </w:p>
    <w:p>
      <w:pPr>
        <w:jc w:val="both"/>
        <w:ind w:left="400" w:firstLine="426"/>
        <w:spacing w:after="0" w:line="296" w:lineRule="auto"/>
        <w:rPr>
          <w:sz w:val="20"/>
          <w:szCs w:val="20"/>
          <w:color w:val="auto"/>
        </w:rPr>
      </w:pPr>
      <w:r>
        <w:rPr>
          <w:rFonts w:ascii="Arial" w:cs="Arial" w:eastAsia="Arial" w:hAnsi="Arial"/>
          <w:sz w:val="16"/>
          <w:szCs w:val="16"/>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 processes, ensures consistency across all components used for the duration of each clinical trial, is traceable for compliance purposes, and allows us to scale while maintaining rapid turnaround times.</w:t>
      </w:r>
    </w:p>
    <w:p>
      <w:pPr>
        <w:spacing w:after="0" w:line="160" w:lineRule="exact"/>
        <w:rPr>
          <w:sz w:val="20"/>
          <w:szCs w:val="20"/>
          <w:color w:val="auto"/>
        </w:rPr>
      </w:pPr>
    </w:p>
    <w:p>
      <w:pPr>
        <w:jc w:val="both"/>
        <w:ind w:left="400" w:firstLine="426"/>
        <w:spacing w:after="0" w:line="255" w:lineRule="auto"/>
        <w:rPr>
          <w:sz w:val="20"/>
          <w:szCs w:val="20"/>
          <w:color w:val="auto"/>
        </w:rPr>
      </w:pPr>
      <w:r>
        <w:rPr>
          <w:rFonts w:ascii="Arial" w:cs="Arial" w:eastAsia="Arial" w:hAnsi="Arial"/>
          <w:sz w:val="18"/>
          <w:szCs w:val="18"/>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191" w:lineRule="exact"/>
        <w:rPr>
          <w:sz w:val="20"/>
          <w:szCs w:val="20"/>
          <w:color w:val="auto"/>
        </w:rPr>
      </w:pPr>
    </w:p>
    <w:p>
      <w:pPr>
        <w:jc w:val="both"/>
        <w:ind w:left="400" w:right="20" w:firstLine="426"/>
        <w:spacing w:after="0" w:line="263" w:lineRule="auto"/>
        <w:rPr>
          <w:sz w:val="20"/>
          <w:szCs w:val="20"/>
          <w:color w:val="auto"/>
        </w:rPr>
      </w:pPr>
      <w:r>
        <w:rPr>
          <w:rFonts w:ascii="Arial" w:cs="Arial" w:eastAsia="Arial" w:hAnsi="Arial"/>
          <w:sz w:val="18"/>
          <w:szCs w:val="18"/>
          <w:color w:val="auto"/>
        </w:rPr>
        <w:t>We are sequencing and analyzing up to 100 trillion bases of DNA per week in our facility. We believe this capacity is already larger than most cancer genomics companies and we are building the automation and other infrastructure to scale further as demand increases and in support of the planned 2020 launch of our NeXT liquid biopsy assay.</w:t>
      </w:r>
    </w:p>
    <w:p>
      <w:pPr>
        <w:spacing w:after="0" w:line="183" w:lineRule="exact"/>
        <w:rPr>
          <w:sz w:val="20"/>
          <w:szCs w:val="20"/>
          <w:color w:val="auto"/>
        </w:rPr>
      </w:pPr>
    </w:p>
    <w:p>
      <w:pPr>
        <w:jc w:val="both"/>
        <w:ind w:left="400" w:firstLine="426"/>
        <w:spacing w:after="0" w:line="259" w:lineRule="auto"/>
        <w:rPr>
          <w:sz w:val="20"/>
          <w:szCs w:val="20"/>
          <w:color w:val="auto"/>
        </w:rPr>
      </w:pPr>
      <w:r>
        <w:rPr>
          <w:rFonts w:ascii="Arial" w:cs="Arial" w:eastAsia="Arial" w:hAnsi="Arial"/>
          <w:sz w:val="18"/>
          <w:szCs w:val="18"/>
          <w:color w:val="auto"/>
        </w:rPr>
        <w:t>Since 2012, we have been contracted to provide DNA sequencing and data analysis services to the U.S. Department of Veterans Affairs’ (the “VA”) Million Veteran Program (the “VA MVP”). The VA MVP began collecting samples in 2011 and is a landmark research effort aimed at better understanding how genetic variations affect health. Up to a million veterans are expected to enroll in the VA MVP study by 2021. With approximately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03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58032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750,000 enrollees to date, the VA MVP exceeds the enrollment numbers of any single VA study or research program in the past, and is in fact one of the largest research cohorts of its kind. In September 2017, we entered into a one-year contract with three one-year renewal option periods with the VA for the VA MVP, and received orders under this contract in September 2017 and 2018. This relationship with the VA MVP has enabled us to innovate, scale our operational infrastructure, and achieve greater efficiencies in our lab. It has also supported our development of industry-leading, large-scale cancer genomic testing. The substantial experience that we have and expect to continue to develop in whole genome sequencing also optimally positions us for what we anticipate to be the longer-term strategic direction of the cancer genomics industry, which may include whole genome sequencing of tumors.</w:t>
      </w:r>
    </w:p>
    <w:p>
      <w:pPr>
        <w:spacing w:after="0" w:line="193" w:lineRule="exact"/>
        <w:rPr>
          <w:sz w:val="20"/>
          <w:szCs w:val="20"/>
          <w:color w:val="auto"/>
        </w:rPr>
      </w:pPr>
    </w:p>
    <w:p>
      <w:pPr>
        <w:jc w:val="both"/>
        <w:ind w:left="400" w:right="20" w:firstLine="426"/>
        <w:spacing w:after="0" w:line="273" w:lineRule="auto"/>
        <w:rPr>
          <w:sz w:val="20"/>
          <w:szCs w:val="20"/>
          <w:color w:val="auto"/>
        </w:rPr>
      </w:pPr>
      <w:r>
        <w:rPr>
          <w:rFonts w:ascii="Arial" w:cs="Arial" w:eastAsia="Arial" w:hAnsi="Arial"/>
          <w:sz w:val="17"/>
          <w:szCs w:val="17"/>
          <w:color w:val="auto"/>
        </w:rPr>
        <w:t>We believe our platform is well positioned to scale rapidly and substantially as the field of personalized cancer therapies matures. We believe that our platform could be essential to the composition and manufacture of any personalized cancer therapy developed using our platform. Furthermore, we expect that patients would be tested at multiple time 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uses our NeXT Platform achieves regulatory approval, we believe that our commercial opportunity may increase substantially.</w:t>
      </w:r>
    </w:p>
    <w:p>
      <w:pPr>
        <w:spacing w:after="0" w:line="28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Personalis is Valuable to Biopharmaceutical Companies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our platform is valuable to our customers because:</w:t>
      </w:r>
    </w:p>
    <w:p>
      <w:pPr>
        <w:spacing w:after="0" w:line="126" w:lineRule="exact"/>
        <w:rPr>
          <w:sz w:val="20"/>
          <w:szCs w:val="20"/>
          <w:color w:val="auto"/>
        </w:rPr>
      </w:pPr>
    </w:p>
    <w:p>
      <w:pPr>
        <w:jc w:val="both"/>
        <w:ind w:left="1220" w:right="20" w:hanging="409"/>
        <w:spacing w:after="0" w:line="260"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Our tumor and immune molecular profiling capabilities provide an unprecedented breadth of data from a single limited tumor sample. </w:t>
      </w:r>
      <w:r>
        <w:rPr>
          <w:rFonts w:ascii="Arial" w:cs="Arial" w:eastAsia="Arial" w:hAnsi="Arial"/>
          <w:sz w:val="18"/>
          <w:szCs w:val="18"/>
          <w:color w:val="auto"/>
        </w:rPr>
        <w:t>We provide information on all of the approximately 20,000 human genes, as well as gene expression, the immune system,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elements of cancer biology, in contrast to other currently marketed panels that cover a limited range of roughly 50 to 500 genes and do not focus on immune cells.</w:t>
      </w:r>
    </w:p>
    <w:p>
      <w:pPr>
        <w:spacing w:after="0" w:line="87" w:lineRule="exact"/>
        <w:rPr>
          <w:rFonts w:ascii="Arial" w:cs="Arial" w:eastAsia="Arial" w:hAnsi="Arial"/>
          <w:sz w:val="18"/>
          <w:szCs w:val="18"/>
          <w:color w:val="auto"/>
        </w:rPr>
      </w:pPr>
    </w:p>
    <w:p>
      <w:pPr>
        <w:jc w:val="both"/>
        <w:ind w:left="1220" w:right="20" w:hanging="409"/>
        <w:spacing w:after="0" w:line="25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Our platform enhances the opportunity to conduct translational research by analyzing tumor tissues from patients in clinical trials, rather than animal models or in vitro cancer cell lines, which have historically limited cancer research. </w:t>
      </w:r>
      <w:r>
        <w:rPr>
          <w:rFonts w:ascii="Arial" w:cs="Arial" w:eastAsia="Arial" w:hAnsi="Arial"/>
          <w:sz w:val="18"/>
          <w:szCs w:val="18"/>
          <w:color w:val="auto"/>
        </w:rPr>
        <w:t>While conventional</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model systems, such as animal models and cancer cell lines, have been instrumental in early-stage cancer research and drug development, translation of results to the clinic has been limited and remains a significant barrier to progress, in part because these models do not sufficiently reflect the complexity of human cancer and the human immune system. Over recent years, tools used to study tissue from patients have improved and the utilization of tissue from trials has increased. We believe our platform represents the next step in this transition by further enabling biopharmaceutical companies to address the historical limitations of analyzing patient tissue comprehensively.</w:t>
      </w:r>
    </w:p>
    <w:p>
      <w:pPr>
        <w:spacing w:after="0" w:line="95" w:lineRule="exact"/>
        <w:rPr>
          <w:rFonts w:ascii="Arial" w:cs="Arial" w:eastAsia="Arial" w:hAnsi="Arial"/>
          <w:sz w:val="18"/>
          <w:szCs w:val="18"/>
          <w:color w:val="auto"/>
        </w:rPr>
      </w:pPr>
    </w:p>
    <w:p>
      <w:pPr>
        <w:jc w:val="both"/>
        <w:ind w:left="1220" w:right="20" w:hanging="409"/>
        <w:spacing w:after="0" w:line="258"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 information we provide to personalized cancer therapy companies can be used to design therapeutics. </w:t>
      </w:r>
      <w:r>
        <w:rPr>
          <w:rFonts w:ascii="Arial" w:cs="Arial" w:eastAsia="Arial" w:hAnsi="Arial"/>
          <w:sz w:val="18"/>
          <w:szCs w:val="18"/>
          <w:color w:val="auto"/>
        </w:rPr>
        <w:t>Many</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companies are pursuing personalized cancer therapies, which are designed and manufactured, individually, for each patient based on genomic alterations in a given patient’s tumor. While there are many potential approaches to developing these therapies including neoantigen-based vaccines and T-cells therapies, all of them can potentially benefit from the data and analytics that our platform can generate about a patient’s tumor.</w:t>
      </w:r>
    </w:p>
    <w:p>
      <w:pPr>
        <w:spacing w:after="0" w:line="88" w:lineRule="exact"/>
        <w:rPr>
          <w:rFonts w:ascii="Arial" w:cs="Arial" w:eastAsia="Arial" w:hAnsi="Arial"/>
          <w:sz w:val="18"/>
          <w:szCs w:val="18"/>
          <w:color w:val="auto"/>
        </w:rPr>
      </w:pPr>
    </w:p>
    <w:p>
      <w:pPr>
        <w:jc w:val="both"/>
        <w:ind w:left="1220" w:right="20" w:hanging="409"/>
        <w:spacing w:after="0" w:line="314"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Our enterprise-grade operational infrastructure is scalable, enables rapid turnaround times, and is tailored to meet the unique workflow needs of our customers. </w:t>
      </w:r>
      <w:r>
        <w:rPr>
          <w:rFonts w:ascii="Arial" w:cs="Arial" w:eastAsia="Arial" w:hAnsi="Arial"/>
          <w:sz w:val="16"/>
          <w:szCs w:val="16"/>
          <w:color w:val="auto"/>
        </w:rPr>
        <w:t>We have invested significant resources to develop an operational infrastructure that allows us to</w:t>
      </w:r>
      <w:r>
        <w:rPr>
          <w:rFonts w:ascii="Arial" w:cs="Arial" w:eastAsia="Arial" w:hAnsi="Arial"/>
          <w:sz w:val="16"/>
          <w:szCs w:val="16"/>
          <w:b w:val="1"/>
          <w:bCs w:val="1"/>
          <w:color w:val="auto"/>
        </w:rPr>
        <w:t xml:space="preserve"> </w:t>
      </w:r>
      <w:r>
        <w:rPr>
          <w:rFonts w:ascii="Arial" w:cs="Arial" w:eastAsia="Arial" w:hAnsi="Arial"/>
          <w:sz w:val="16"/>
          <w:szCs w:val="16"/>
          <w:color w:val="auto"/>
        </w:rPr>
        <w:t>easily customize our services for each of our customers and scale rapidly to meet their potential research and commercial demands.</w:t>
      </w: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231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6231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20" w:right="20" w:hanging="409"/>
        <w:spacing w:after="0" w:line="303"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We are developing a complementary liquid biopsy test, which also offers broad 20,000-gene coverage versus more narrowly focused liquid biopsy tests that are currently available. </w:t>
      </w:r>
      <w:r>
        <w:rPr>
          <w:rFonts w:ascii="Arial" w:cs="Arial" w:eastAsia="Arial" w:hAnsi="Arial"/>
          <w:sz w:val="16"/>
          <w:szCs w:val="16"/>
          <w:color w:val="auto"/>
        </w:rPr>
        <w:t>While tumor biopsies are necessary to provide tumor immune</w:t>
      </w:r>
      <w:r>
        <w:rPr>
          <w:rFonts w:ascii="Arial" w:cs="Arial" w:eastAsia="Arial" w:hAnsi="Arial"/>
          <w:sz w:val="16"/>
          <w:szCs w:val="16"/>
          <w:b w:val="1"/>
          <w:bCs w:val="1"/>
          <w:color w:val="auto"/>
        </w:rPr>
        <w:t xml:space="preserve"> </w:t>
      </w:r>
      <w:r>
        <w:rPr>
          <w:rFonts w:ascii="Arial" w:cs="Arial" w:eastAsia="Arial" w:hAnsi="Arial"/>
          <w:sz w:val="16"/>
          <w:szCs w:val="16"/>
          <w:color w:val="auto"/>
        </w:rPr>
        <w:t>microenvironment and gene expression information that current liquid biopsy panels do not provide, we believe a comprehensive liquid biopsy test used in concert with our tissue test can provide complementary information across multiple time points.</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00" w:right="20" w:firstLine="426"/>
        <w:spacing w:after="0" w:line="277" w:lineRule="auto"/>
        <w:rPr>
          <w:sz w:val="20"/>
          <w:szCs w:val="20"/>
          <w:color w:val="auto"/>
        </w:rPr>
      </w:pPr>
      <w:r>
        <w:rPr>
          <w:rFonts w:ascii="Arial" w:cs="Arial" w:eastAsia="Arial" w:hAnsi="Arial"/>
          <w:sz w:val="18"/>
          <w:szCs w:val="18"/>
          <w:color w:val="auto"/>
        </w:rPr>
        <w:t>Our mission is to transform the development of next generation cancer therapies by providing more comprehensive molecular data about each patient’s tumor. To achieve this mission, our strategy is to:</w:t>
      </w:r>
    </w:p>
    <w:p>
      <w:pPr>
        <w:spacing w:after="0" w:line="71" w:lineRule="exact"/>
        <w:rPr>
          <w:sz w:val="20"/>
          <w:szCs w:val="20"/>
          <w:color w:val="auto"/>
        </w:rPr>
      </w:pPr>
    </w:p>
    <w:p>
      <w:pPr>
        <w:ind w:left="1220" w:hanging="409"/>
        <w:spacing w:after="0"/>
        <w:tabs>
          <w:tab w:leader="none" w:pos="12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Drive adoption of our platform by establishing and expanding relationships with leading developers of oncology therapeutics;</w:t>
      </w:r>
    </w:p>
    <w:p>
      <w:pPr>
        <w:spacing w:after="0" w:line="153" w:lineRule="exact"/>
        <w:rPr>
          <w:rFonts w:ascii="Arial" w:cs="Arial" w:eastAsia="Arial" w:hAnsi="Arial"/>
          <w:sz w:val="16"/>
          <w:szCs w:val="16"/>
          <w:b w:val="1"/>
          <w:bCs w:val="1"/>
          <w:color w:val="auto"/>
        </w:rPr>
      </w:pPr>
    </w:p>
    <w:p>
      <w:pPr>
        <w:ind w:left="1220" w:hanging="409"/>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 in new product innovations and enhancements to maintain our leading position;</w:t>
      </w:r>
    </w:p>
    <w:p>
      <w:pPr>
        <w:spacing w:after="0" w:line="130" w:lineRule="exact"/>
        <w:rPr>
          <w:rFonts w:ascii="Arial" w:cs="Arial" w:eastAsia="Arial" w:hAnsi="Arial"/>
          <w:sz w:val="18"/>
          <w:szCs w:val="18"/>
          <w:b w:val="1"/>
          <w:bCs w:val="1"/>
          <w:color w:val="auto"/>
        </w:rPr>
      </w:pPr>
    </w:p>
    <w:p>
      <w:pPr>
        <w:ind w:left="1220" w:hanging="409"/>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build a body of evidence demonstrating the utility of comprehensive genomic data;</w:t>
      </w:r>
    </w:p>
    <w:p>
      <w:pPr>
        <w:spacing w:after="0" w:line="130" w:lineRule="exact"/>
        <w:rPr>
          <w:rFonts w:ascii="Arial" w:cs="Arial" w:eastAsia="Arial" w:hAnsi="Arial"/>
          <w:sz w:val="18"/>
          <w:szCs w:val="18"/>
          <w:b w:val="1"/>
          <w:bCs w:val="1"/>
          <w:color w:val="auto"/>
        </w:rPr>
      </w:pPr>
    </w:p>
    <w:p>
      <w:pPr>
        <w:ind w:left="1220" w:hanging="409"/>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grow our relationship with the VA MVP to innovate and scale our operational infrastructure;</w:t>
      </w:r>
    </w:p>
    <w:p>
      <w:pPr>
        <w:spacing w:after="0" w:line="130" w:lineRule="exact"/>
        <w:rPr>
          <w:rFonts w:ascii="Arial" w:cs="Arial" w:eastAsia="Arial" w:hAnsi="Arial"/>
          <w:sz w:val="18"/>
          <w:szCs w:val="18"/>
          <w:b w:val="1"/>
          <w:bCs w:val="1"/>
          <w:color w:val="auto"/>
        </w:rPr>
      </w:pPr>
    </w:p>
    <w:p>
      <w:pPr>
        <w:ind w:left="1220" w:hanging="409"/>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Leverage a growing body of evidence from our platform to develop a diagnostic; and</w:t>
      </w:r>
    </w:p>
    <w:p>
      <w:pPr>
        <w:spacing w:after="0" w:line="130" w:lineRule="exact"/>
        <w:rPr>
          <w:rFonts w:ascii="Arial" w:cs="Arial" w:eastAsia="Arial" w:hAnsi="Arial"/>
          <w:sz w:val="18"/>
          <w:szCs w:val="18"/>
          <w:b w:val="1"/>
          <w:bCs w:val="1"/>
          <w:color w:val="auto"/>
        </w:rPr>
      </w:pPr>
    </w:p>
    <w:p>
      <w:pPr>
        <w:ind w:left="1220" w:hanging="409"/>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Build out a comprehensive tumor-genomics database.</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jc w:val="both"/>
        <w:ind w:left="400" w:firstLine="426"/>
        <w:spacing w:after="0" w:line="263" w:lineRule="auto"/>
        <w:rPr>
          <w:sz w:val="20"/>
          <w:szCs w:val="20"/>
          <w:color w:val="auto"/>
        </w:rPr>
      </w:pPr>
      <w:r>
        <w:rPr>
          <w:rFonts w:ascii="Arial" w:cs="Arial" w:eastAsia="Arial" w:hAnsi="Arial"/>
          <w:sz w:val="18"/>
          <w:szCs w:val="18"/>
          <w:color w:val="auto"/>
        </w:rPr>
        <w:t>We have assembled a multidisciplinary team of experienced industry leaders to drive continuous innovation. Scientific and operational excellence is a guiding principle for our employees. We have invested not only in the technology to provide information of sufficient quality for clinical use, but also in the people to continuously innovate for the industry’s growing and changing demands.</w:t>
      </w:r>
    </w:p>
    <w:p>
      <w:pPr>
        <w:spacing w:after="0" w:line="183" w:lineRule="exact"/>
        <w:rPr>
          <w:sz w:val="20"/>
          <w:szCs w:val="20"/>
          <w:color w:val="auto"/>
        </w:rPr>
      </w:pPr>
    </w:p>
    <w:p>
      <w:pPr>
        <w:jc w:val="both"/>
        <w:ind w:left="400" w:firstLine="426"/>
        <w:spacing w:after="0" w:line="273" w:lineRule="auto"/>
        <w:rPr>
          <w:sz w:val="20"/>
          <w:szCs w:val="20"/>
          <w:color w:val="auto"/>
        </w:rPr>
      </w:pPr>
      <w:r>
        <w:rPr>
          <w:rFonts w:ascii="Arial" w:cs="Arial" w:eastAsia="Arial" w:hAnsi="Arial"/>
          <w:sz w:val="17"/>
          <w:szCs w:val="17"/>
          <w:color w:val="auto"/>
        </w:rPr>
        <w:t>Our President and Chief Executive Officer, John West, co-founded our company in 2011 in conjunction with four Stanford professors, Euan Ashley, M.D., Ph.D., Atul Butte, M.D., Ph.D., Russ Altman, M.D., Ph.D., and Michael Snyder, Ph.D. More broadly, our executive officers and management team members have had previous experience at a variety of genomics, pharmaceuticals, biotechnology, diagnostics, data analytics, service, enterprise software, and technology companies including Agilent Technologies, Inc., Applied Biosystems Inc., ARMO Biosciences, Inc., Illumina, Inc., Informatica LLC, Ingenuity Systems, Inc., Lumentum Holdings Inc., Merck &amp; Co., Inc., Molecular Dynamics, Inc., Natera, Inc., Novartis Pharmaceuticals Corp., Pacific Biosciences of California, Inc., RainDance Technologies, Inc., and Solexa, Ltd.</w:t>
      </w:r>
    </w:p>
    <w:p>
      <w:pPr>
        <w:spacing w:after="0" w:line="28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jc w:val="both"/>
        <w:ind w:left="400" w:right="20" w:firstLine="426"/>
        <w:spacing w:after="0" w:line="279" w:lineRule="auto"/>
        <w:rPr>
          <w:sz w:val="20"/>
          <w:szCs w:val="20"/>
          <w:color w:val="auto"/>
        </w:rPr>
      </w:pPr>
      <w:r>
        <w:rPr>
          <w:rFonts w:ascii="Arial" w:cs="Arial" w:eastAsia="Arial" w:hAnsi="Arial"/>
          <w:sz w:val="17"/>
          <w:szCs w:val="17"/>
          <w:color w:val="auto"/>
        </w:rPr>
        <w:t>Our revenues have grown rapidly as our penetration of clinical trials in advanced oncology therapeutics has expanded, consistent with our reputation as a leader in the field. We generated revenues of $9.4 million, $37.8 million, and $14.1 million for the years ended December 31, 2017 and 2018 and the three months ended March 31, 2019, respectively. We also incurred net losses of $23.6 million, $19.9 million, and $5.7 million for the years ended December 31, 2017 and 2018 and the three months ended March 31, 2019, respectively.</w:t>
      </w:r>
    </w:p>
    <w:p>
      <w:pPr>
        <w:spacing w:after="0" w:line="170" w:lineRule="exact"/>
        <w:rPr>
          <w:sz w:val="20"/>
          <w:szCs w:val="20"/>
          <w:color w:val="auto"/>
        </w:rPr>
      </w:pPr>
    </w:p>
    <w:p>
      <w:pPr>
        <w:jc w:val="both"/>
        <w:ind w:left="400" w:firstLine="426"/>
        <w:spacing w:after="0" w:line="259" w:lineRule="auto"/>
        <w:rPr>
          <w:sz w:val="20"/>
          <w:szCs w:val="20"/>
          <w:color w:val="auto"/>
        </w:rPr>
      </w:pPr>
      <w:r>
        <w:rPr>
          <w:rFonts w:ascii="Arial" w:cs="Arial" w:eastAsia="Arial" w:hAnsi="Arial"/>
          <w:sz w:val="18"/>
          <w:szCs w:val="18"/>
          <w:color w:val="auto"/>
        </w:rPr>
        <w:t>As of March 31, 2019, we had $33.2 million of cash and cash equivalents, an increase of $11.4 million from March 31, 2018. Our revenues are primarily generated through sales of our services to biopharmaceutical companies and the VA MVP. Unlike diagnostic or therapeutic companies, we have not sought reimbursement through traditional healthcare payors. We have raised $89.6 million in preferred stock equity financing to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351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6351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400" w:firstLine="426"/>
        <w:spacing w:after="0" w:line="263" w:lineRule="auto"/>
        <w:rPr>
          <w:sz w:val="20"/>
          <w:szCs w:val="20"/>
          <w:color w:val="auto"/>
        </w:rPr>
      </w:pPr>
      <w:r>
        <w:rPr>
          <w:rFonts w:ascii="Arial" w:cs="Arial" w:eastAsia="Arial" w:hAnsi="Arial"/>
          <w:sz w:val="18"/>
          <w:szCs w:val="18"/>
          <w:color w:val="auto"/>
        </w:rPr>
        <w:t>Investing in our common stock involves numerous risks, including the risks described in the section titled “Risk Factors” and elsewhere in this prospectus. You should carefully consider these risks before making an investment. The following are some of these risks, any of which could have an adverse effect on our business financial condition, operating results, or prospects.</w:t>
      </w:r>
    </w:p>
    <w:p>
      <w:pPr>
        <w:spacing w:after="0" w:line="88" w:lineRule="exact"/>
        <w:rPr>
          <w:sz w:val="20"/>
          <w:szCs w:val="20"/>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as our costs increase, we expect to incur significant losses for the foreseeable future and may not be able to generate sufficient revenue to achieve or sustain profitability.</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increase sales of our current services or successfully develop and commercialize other services, our revenues will be insufficient for us to achieve profitability.</w:t>
      </w:r>
    </w:p>
    <w:p>
      <w:pPr>
        <w:spacing w:after="0" w:line="75" w:lineRule="exact"/>
        <w:rPr>
          <w:rFonts w:ascii="Arial" w:cs="Arial" w:eastAsia="Arial" w:hAnsi="Arial"/>
          <w:sz w:val="18"/>
          <w:szCs w:val="18"/>
          <w:color w:val="auto"/>
        </w:rPr>
      </w:pPr>
    </w:p>
    <w:p>
      <w:pPr>
        <w:jc w:val="both"/>
        <w:ind w:left="122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88"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execute our sales and marketing strategy for our services and are unable to gain sufficient acceptance in the market, we may be unable to generate sufficient revenue to sustain our business.</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cannot compete successfully with our competitors, we may be unable to increase or sustain our revenues or achieve and sustain profitability.</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raise additional capital on acceptable terms in the future may limit our ability to continue to operate our business and further expand our operations.</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substantial customer concentration, with a limited number of customers accounting for a substantial portion of our 2018 revenues and accounts receivable.</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tests may be subject to regulatory action if regulatory agencies determine that our tests do not appropriately comply with statutory and regulatory requirements enforced by the FDA and/or CLIA requirements for quality laboratory testing.</w:t>
      </w:r>
    </w:p>
    <w:p>
      <w:pPr>
        <w:spacing w:after="0" w:line="75" w:lineRule="exact"/>
        <w:rPr>
          <w:rFonts w:ascii="Arial" w:cs="Arial" w:eastAsia="Arial" w:hAnsi="Arial"/>
          <w:sz w:val="18"/>
          <w:szCs w:val="18"/>
          <w:color w:val="auto"/>
        </w:rPr>
      </w:pPr>
    </w:p>
    <w:p>
      <w:pPr>
        <w:jc w:val="both"/>
        <w:ind w:left="122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88" w:lineRule="exact"/>
        <w:rPr>
          <w:rFonts w:ascii="Arial" w:cs="Arial" w:eastAsia="Arial" w:hAnsi="Arial"/>
          <w:sz w:val="18"/>
          <w:szCs w:val="18"/>
          <w:color w:val="auto"/>
        </w:rPr>
      </w:pPr>
    </w:p>
    <w:p>
      <w:pPr>
        <w:jc w:val="both"/>
        <w:ind w:left="122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88" w:lineRule="exact"/>
        <w:rPr>
          <w:rFonts w:ascii="Arial" w:cs="Arial" w:eastAsia="Arial" w:hAnsi="Arial"/>
          <w:sz w:val="18"/>
          <w:szCs w:val="18"/>
          <w:color w:val="auto"/>
        </w:rPr>
      </w:pPr>
    </w:p>
    <w:p>
      <w:pPr>
        <w:ind w:left="1220" w:hanging="40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Insiders will exercise significant control over our company and will be able to influence corporate matters.</w:t>
      </w: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40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in February 2011 under the name Personalis, Inc. Our principal executive offices are located at 1330 O’Brien Drive, Menlo Park, California 94025. Our telephone number is (650) 752-1300. Our website address is https://www.personalis.com.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629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4629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right="20" w:firstLine="426"/>
        <w:spacing w:after="0" w:line="263" w:lineRule="auto"/>
        <w:rPr>
          <w:sz w:val="20"/>
          <w:szCs w:val="20"/>
          <w:color w:val="auto"/>
        </w:rPr>
      </w:pPr>
      <w:r>
        <w:rPr>
          <w:rFonts w:ascii="Arial" w:cs="Arial" w:eastAsia="Arial" w:hAnsi="Arial"/>
          <w:sz w:val="18"/>
          <w:szCs w:val="18"/>
          <w:color w:val="auto"/>
        </w:rPr>
        <w:t>Personalis, the Personalis logo, and our other registered or common law trade names, trademarks, or service marks appearing in this prospectus are the property of Personalis, Inc. Trade names, trademarks, and service marks of other companies appearing in this prospectus are the property of their respective owners.</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4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54" w:lineRule="exact"/>
        <w:rPr>
          <w:sz w:val="20"/>
          <w:szCs w:val="20"/>
          <w:color w:val="auto"/>
        </w:rPr>
      </w:pPr>
    </w:p>
    <w:p>
      <w:pPr>
        <w:ind w:left="1220" w:right="2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w:t>
      </w:r>
    </w:p>
    <w:p>
      <w:pPr>
        <w:spacing w:after="0" w:line="75" w:lineRule="exact"/>
        <w:rPr>
          <w:rFonts w:ascii="Arial" w:cs="Arial" w:eastAsia="Arial" w:hAnsi="Arial"/>
          <w:sz w:val="18"/>
          <w:szCs w:val="18"/>
          <w:color w:val="auto"/>
        </w:rPr>
      </w:pPr>
    </w:p>
    <w:p>
      <w:pPr>
        <w:ind w:left="1220" w:right="2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20" w:right="2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jc w:val="both"/>
        <w:ind w:left="400" w:firstLine="426"/>
        <w:spacing w:after="0" w:line="287"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common stock in this offering. However, if certain events occur prior to the end of such five-year period, including if (i) we become a “large accelerated filer,” with at least $700 million of equity securities held by non-affiliates; (ii) our annual gross revenues exceed $1.07 billion; or</w:t>
      </w:r>
    </w:p>
    <w:p>
      <w:pPr>
        <w:spacing w:after="0" w:line="2" w:lineRule="exact"/>
        <w:rPr>
          <w:sz w:val="20"/>
          <w:szCs w:val="20"/>
          <w:color w:val="auto"/>
        </w:rPr>
      </w:pPr>
    </w:p>
    <w:p>
      <w:pPr>
        <w:ind w:left="400" w:right="20" w:hanging="7"/>
        <w:spacing w:after="0" w:line="260"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issue more than $1.0 billion of non-convertible debt in any three-year period, we will cease to be an emerging growth company prior to the end of such five-year period.</w:t>
      </w:r>
    </w:p>
    <w:p>
      <w:pPr>
        <w:spacing w:after="0" w:line="185" w:lineRule="exact"/>
        <w:rPr>
          <w:sz w:val="20"/>
          <w:szCs w:val="20"/>
          <w:color w:val="auto"/>
        </w:rPr>
      </w:pPr>
    </w:p>
    <w:p>
      <w:pPr>
        <w:jc w:val="both"/>
        <w:ind w:left="400" w:right="2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8" w:lineRule="exact"/>
        <w:rPr>
          <w:sz w:val="20"/>
          <w:szCs w:val="20"/>
          <w:color w:val="auto"/>
        </w:rPr>
      </w:pPr>
    </w:p>
    <w:p>
      <w:pPr>
        <w:jc w:val="both"/>
        <w:ind w:left="400" w:firstLine="426"/>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28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3890" cy="5828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060" w:type="dxa"/>
            <w:vAlign w:val="bottom"/>
          </w:tcPr>
          <w:p>
            <w:pPr>
              <w:ind w:left="300"/>
              <w:spacing w:after="0"/>
              <w:rPr>
                <w:sz w:val="20"/>
                <w:szCs w:val="20"/>
                <w:color w:val="auto"/>
              </w:rPr>
            </w:pPr>
            <w:r>
              <w:rPr>
                <w:rFonts w:ascii="Arial" w:cs="Arial" w:eastAsia="Arial" w:hAnsi="Arial"/>
                <w:sz w:val="18"/>
                <w:szCs w:val="18"/>
                <w:b w:val="1"/>
                <w:bCs w:val="1"/>
                <w:color w:val="auto"/>
              </w:rPr>
              <w:t>THE OFFERING</w:t>
            </w: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6"/>
        </w:trPr>
        <w:tc>
          <w:tcPr>
            <w:tcW w:w="43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0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8"/>
              </w:rPr>
              <w:t>shares</w:t>
            </w: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20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8"/>
              </w:rPr>
              <w:t>shares</w:t>
            </w: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Over-allotment option to purchase additional shares</w:t>
            </w:r>
          </w:p>
        </w:tc>
        <w:tc>
          <w:tcPr>
            <w:tcW w:w="20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8"/>
              </w:rPr>
              <w:t>shares</w:t>
            </w: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89"/>
              </w:rPr>
              <w:t>We estimate that the net proceeds from the sale of our common stock</w:t>
            </w:r>
          </w:p>
        </w:tc>
      </w:tr>
      <w:tr>
        <w:trPr>
          <w:trHeight w:val="216"/>
        </w:trPr>
        <w:tc>
          <w:tcPr>
            <w:tcW w:w="4320" w:type="dxa"/>
            <w:vAlign w:val="bottom"/>
          </w:tcPr>
          <w:p>
            <w:pPr>
              <w:spacing w:after="0"/>
              <w:rPr>
                <w:sz w:val="18"/>
                <w:szCs w:val="18"/>
                <w:color w:val="auto"/>
              </w:rPr>
            </w:pPr>
          </w:p>
        </w:tc>
        <w:tc>
          <w:tcPr>
            <w:tcW w:w="2580" w:type="dxa"/>
            <w:vAlign w:val="bottom"/>
            <w:gridSpan w:val="2"/>
          </w:tcPr>
          <w:p>
            <w:pPr>
              <w:ind w:left="1320"/>
              <w:spacing w:after="0"/>
              <w:rPr>
                <w:sz w:val="20"/>
                <w:szCs w:val="20"/>
                <w:color w:val="auto"/>
              </w:rPr>
            </w:pPr>
            <w:r>
              <w:rPr>
                <w:rFonts w:ascii="Arial" w:cs="Arial" w:eastAsia="Arial" w:hAnsi="Arial"/>
                <w:sz w:val="18"/>
                <w:szCs w:val="18"/>
                <w:color w:val="auto"/>
              </w:rPr>
              <w:t>in this offering</w:t>
            </w:r>
          </w:p>
        </w:tc>
        <w:tc>
          <w:tcPr>
            <w:tcW w:w="2420" w:type="dxa"/>
            <w:vAlign w:val="bottom"/>
          </w:tcPr>
          <w:p>
            <w:pPr>
              <w:ind w:left="60"/>
              <w:spacing w:after="0"/>
              <w:rPr>
                <w:sz w:val="20"/>
                <w:szCs w:val="20"/>
                <w:color w:val="auto"/>
              </w:rPr>
            </w:pPr>
            <w:r>
              <w:rPr>
                <w:rFonts w:ascii="Arial" w:cs="Arial" w:eastAsia="Arial" w:hAnsi="Arial"/>
                <w:sz w:val="18"/>
                <w:szCs w:val="18"/>
                <w:color w:val="auto"/>
              </w:rPr>
              <w:t>will be approximately $</w:t>
            </w:r>
          </w:p>
        </w:tc>
        <w:tc>
          <w:tcPr>
            <w:tcW w:w="130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4320" w:type="dxa"/>
            <w:vAlign w:val="bottom"/>
          </w:tcPr>
          <w:p>
            <w:pPr>
              <w:spacing w:after="0"/>
              <w:rPr>
                <w:sz w:val="18"/>
                <w:szCs w:val="18"/>
                <w:color w:val="auto"/>
              </w:rPr>
            </w:pPr>
          </w:p>
        </w:tc>
        <w:tc>
          <w:tcPr>
            <w:tcW w:w="2580" w:type="dxa"/>
            <w:vAlign w:val="bottom"/>
            <w:gridSpan w:val="2"/>
          </w:tcPr>
          <w:p>
            <w:pPr>
              <w:ind w:left="1320"/>
              <w:spacing w:after="0"/>
              <w:rPr>
                <w:sz w:val="20"/>
                <w:szCs w:val="20"/>
                <w:color w:val="auto"/>
              </w:rPr>
            </w:pPr>
            <w:r>
              <w:rPr>
                <w:rFonts w:ascii="Arial" w:cs="Arial" w:eastAsia="Arial" w:hAnsi="Arial"/>
                <w:sz w:val="18"/>
                <w:szCs w:val="18"/>
                <w:color w:val="auto"/>
                <w:w w:val="97"/>
              </w:rPr>
              <w:t>approximately $</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million if the underwriters exercise their over-</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2"/>
              </w:rPr>
              <w:t>allotment option in full), based on the assumed initial public offering</w:t>
            </w:r>
          </w:p>
        </w:tc>
      </w:tr>
      <w:tr>
        <w:trPr>
          <w:trHeight w:val="216"/>
        </w:trPr>
        <w:tc>
          <w:tcPr>
            <w:tcW w:w="4320" w:type="dxa"/>
            <w:vAlign w:val="bottom"/>
          </w:tcPr>
          <w:p>
            <w:pPr>
              <w:spacing w:after="0"/>
              <w:rPr>
                <w:sz w:val="18"/>
                <w:szCs w:val="18"/>
                <w:color w:val="auto"/>
              </w:rPr>
            </w:pPr>
          </w:p>
        </w:tc>
        <w:tc>
          <w:tcPr>
            <w:tcW w:w="2060" w:type="dxa"/>
            <w:vAlign w:val="bottom"/>
          </w:tcPr>
          <w:p>
            <w:pPr>
              <w:ind w:left="1320"/>
              <w:spacing w:after="0"/>
              <w:rPr>
                <w:sz w:val="20"/>
                <w:szCs w:val="20"/>
                <w:color w:val="auto"/>
              </w:rPr>
            </w:pPr>
            <w:r>
              <w:rPr>
                <w:rFonts w:ascii="Arial" w:cs="Arial" w:eastAsia="Arial" w:hAnsi="Arial"/>
                <w:sz w:val="18"/>
                <w:szCs w:val="18"/>
                <w:color w:val="auto"/>
                <w:w w:val="97"/>
              </w:rPr>
              <w:t>price of $</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per share and after deducting estimated underwriting</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89"/>
              </w:rPr>
              <w:t>discounts and commissions and estimated offering expenses payable</w:t>
            </w:r>
          </w:p>
        </w:tc>
      </w:tr>
      <w:tr>
        <w:trPr>
          <w:trHeight w:val="230"/>
        </w:trPr>
        <w:tc>
          <w:tcPr>
            <w:tcW w:w="4320" w:type="dxa"/>
            <w:vAlign w:val="bottom"/>
          </w:tcPr>
          <w:p>
            <w:pPr>
              <w:spacing w:after="0"/>
              <w:rPr>
                <w:sz w:val="20"/>
                <w:szCs w:val="20"/>
                <w:color w:val="auto"/>
              </w:rPr>
            </w:pPr>
          </w:p>
        </w:tc>
        <w:tc>
          <w:tcPr>
            <w:tcW w:w="2060" w:type="dxa"/>
            <w:vAlign w:val="bottom"/>
          </w:tcPr>
          <w:p>
            <w:pPr>
              <w:ind w:left="1320"/>
              <w:spacing w:after="0"/>
              <w:rPr>
                <w:sz w:val="20"/>
                <w:szCs w:val="20"/>
                <w:color w:val="auto"/>
              </w:rPr>
            </w:pPr>
            <w:r>
              <w:rPr>
                <w:rFonts w:ascii="Arial" w:cs="Arial" w:eastAsia="Arial" w:hAnsi="Arial"/>
                <w:sz w:val="18"/>
                <w:szCs w:val="18"/>
                <w:color w:val="auto"/>
              </w:rPr>
              <w:t>by us.</w:t>
            </w: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4"/>
        </w:trPr>
        <w:tc>
          <w:tcPr>
            <w:tcW w:w="4320" w:type="dxa"/>
            <w:vAlign w:val="bottom"/>
          </w:tcPr>
          <w:p>
            <w:pPr>
              <w:spacing w:after="0"/>
              <w:rPr>
                <w:sz w:val="24"/>
                <w:szCs w:val="24"/>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9"/>
              </w:rPr>
              <w:t>The  principal  purposes  of  this  offering  are  to  increase  our</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4"/>
              </w:rPr>
              <w:t>capitalization and financial flexibility and create a public market for</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3"/>
              </w:rPr>
              <w:t>our common stock. We currently intend to use the net proceeds we</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3"/>
              </w:rPr>
              <w:t>receive from this offering for expanded research and development,</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7"/>
              </w:rPr>
              <w:t>infrastructure expansion, facilities expansion, headcount growth,</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2"/>
              </w:rPr>
              <w:t>sales  and  marketing  expenditures,  public  company  costs,  other</w:t>
            </w:r>
          </w:p>
        </w:tc>
      </w:tr>
      <w:tr>
        <w:trPr>
          <w:trHeight w:val="216"/>
        </w:trPr>
        <w:tc>
          <w:tcPr>
            <w:tcW w:w="4320" w:type="dxa"/>
            <w:vAlign w:val="bottom"/>
          </w:tcPr>
          <w:p>
            <w:pPr>
              <w:spacing w:after="0"/>
              <w:rPr>
                <w:sz w:val="18"/>
                <w:szCs w:val="18"/>
                <w:color w:val="auto"/>
              </w:rPr>
            </w:pP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w w:val="91"/>
              </w:rPr>
              <w:t>capital expenditures, and working capital. See the section titled “Use</w:t>
            </w:r>
          </w:p>
        </w:tc>
      </w:tr>
      <w:tr>
        <w:trPr>
          <w:trHeight w:val="230"/>
        </w:trPr>
        <w:tc>
          <w:tcPr>
            <w:tcW w:w="4320" w:type="dxa"/>
            <w:vAlign w:val="bottom"/>
          </w:tcPr>
          <w:p>
            <w:pPr>
              <w:spacing w:after="0"/>
              <w:rPr>
                <w:sz w:val="20"/>
                <w:szCs w:val="20"/>
                <w:color w:val="auto"/>
              </w:rPr>
            </w:pPr>
          </w:p>
        </w:tc>
        <w:tc>
          <w:tcPr>
            <w:tcW w:w="5000" w:type="dxa"/>
            <w:vAlign w:val="bottom"/>
            <w:gridSpan w:val="3"/>
          </w:tcPr>
          <w:p>
            <w:pPr>
              <w:ind w:left="1320"/>
              <w:spacing w:after="0"/>
              <w:rPr>
                <w:sz w:val="20"/>
                <w:szCs w:val="20"/>
                <w:color w:val="auto"/>
              </w:rPr>
            </w:pPr>
            <w:r>
              <w:rPr>
                <w:rFonts w:ascii="Arial" w:cs="Arial" w:eastAsia="Arial" w:hAnsi="Arial"/>
                <w:sz w:val="18"/>
                <w:szCs w:val="18"/>
                <w:color w:val="auto"/>
              </w:rPr>
              <w:t>of Proceeds” for additional information.</w:t>
            </w:r>
          </w:p>
        </w:tc>
        <w:tc>
          <w:tcPr>
            <w:tcW w:w="1300" w:type="dxa"/>
            <w:vAlign w:val="bottom"/>
          </w:tcPr>
          <w:p>
            <w:pPr>
              <w:spacing w:after="0"/>
              <w:rPr>
                <w:sz w:val="20"/>
                <w:szCs w:val="20"/>
                <w:color w:val="auto"/>
              </w:rPr>
            </w:pPr>
          </w:p>
        </w:tc>
      </w:tr>
      <w:tr>
        <w:trPr>
          <w:trHeight w:val="297"/>
        </w:trPr>
        <w:tc>
          <w:tcPr>
            <w:tcW w:w="4320" w:type="dxa"/>
            <w:vAlign w:val="bottom"/>
          </w:tcPr>
          <w:p>
            <w:pPr>
              <w:spacing w:after="0"/>
              <w:rPr>
                <w:sz w:val="20"/>
                <w:szCs w:val="20"/>
                <w:color w:val="auto"/>
              </w:rPr>
            </w:pPr>
            <w:r>
              <w:rPr>
                <w:rFonts w:ascii="Arial" w:cs="Arial" w:eastAsia="Arial" w:hAnsi="Arial"/>
                <w:sz w:val="18"/>
                <w:szCs w:val="18"/>
                <w:color w:val="auto"/>
              </w:rPr>
              <w:t>Risk factors</w:t>
            </w:r>
          </w:p>
        </w:tc>
        <w:tc>
          <w:tcPr>
            <w:tcW w:w="6300" w:type="dxa"/>
            <w:vAlign w:val="bottom"/>
            <w:gridSpan w:val="4"/>
          </w:tcPr>
          <w:p>
            <w:pPr>
              <w:ind w:left="1320"/>
              <w:spacing w:after="0"/>
              <w:rPr>
                <w:sz w:val="20"/>
                <w:szCs w:val="20"/>
                <w:color w:val="auto"/>
              </w:rPr>
            </w:pPr>
            <w:r>
              <w:rPr>
                <w:rFonts w:ascii="Arial" w:cs="Arial" w:eastAsia="Arial" w:hAnsi="Arial"/>
                <w:sz w:val="18"/>
                <w:szCs w:val="18"/>
                <w:color w:val="auto"/>
              </w:rPr>
              <w:t>See the section titled “Risk Factors” for additional information.</w:t>
            </w: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w w:val="96"/>
              </w:rPr>
              <w:t>Proposed trading symbol on The Nasdaq Global Market</w:t>
            </w:r>
          </w:p>
        </w:tc>
        <w:tc>
          <w:tcPr>
            <w:tcW w:w="2060" w:type="dxa"/>
            <w:vAlign w:val="bottom"/>
          </w:tcPr>
          <w:p>
            <w:pPr>
              <w:ind w:left="1320"/>
              <w:spacing w:after="0"/>
              <w:rPr>
                <w:sz w:val="20"/>
                <w:szCs w:val="20"/>
                <w:color w:val="auto"/>
              </w:rPr>
            </w:pPr>
            <w:r>
              <w:rPr>
                <w:rFonts w:ascii="Arial" w:cs="Arial" w:eastAsia="Arial" w:hAnsi="Arial"/>
                <w:sz w:val="18"/>
                <w:szCs w:val="18"/>
                <w:color w:val="auto"/>
              </w:rPr>
              <w:t>“PSNL”</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1" w:lineRule="exact"/>
        <w:rPr>
          <w:sz w:val="20"/>
          <w:szCs w:val="20"/>
          <w:color w:val="auto"/>
        </w:rPr>
      </w:pPr>
    </w:p>
    <w:p>
      <w:pPr>
        <w:jc w:val="both"/>
        <w:ind w:left="400" w:firstLine="426"/>
        <w:spacing w:after="0" w:line="263" w:lineRule="auto"/>
        <w:rPr>
          <w:sz w:val="20"/>
          <w:szCs w:val="20"/>
          <w:color w:val="auto"/>
        </w:rPr>
      </w:pPr>
      <w:r>
        <w:rPr>
          <w:rFonts w:ascii="Arial" w:cs="Arial" w:eastAsia="Arial" w:hAnsi="Arial"/>
          <w:sz w:val="18"/>
          <w:szCs w:val="18"/>
          <w:color w:val="auto"/>
        </w:rPr>
        <w:t>The number of shares of our common stock that will be outstanding after this offering is based on 87,318,814 shares of our common stock (including shares of our redeemable convertible preferred stock on an as-converted basis, and assuming the exercise of a warrant to purchase 754,573 shares of our common stock) outstanding as of March 31, 2019, and excludes:</w:t>
      </w:r>
    </w:p>
    <w:p>
      <w:pPr>
        <w:spacing w:after="0" w:line="88" w:lineRule="exact"/>
        <w:rPr>
          <w:sz w:val="20"/>
          <w:szCs w:val="20"/>
          <w:color w:val="auto"/>
        </w:rPr>
      </w:pPr>
    </w:p>
    <w:p>
      <w:pPr>
        <w:jc w:val="both"/>
        <w:ind w:left="1220" w:right="20" w:hanging="409"/>
        <w:spacing w:after="0" w:line="263"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17,527,536 shares of our common stock issuable upon the exercise of options to purchase shares of our common stock granted under our 2011 Equity Incentive Plan (the “2011 Plan”), and outstanding as of March 31, 2019, with a weighted-average exercise price of $0.9049 per share;</w:t>
      </w:r>
    </w:p>
    <w:p>
      <w:pPr>
        <w:spacing w:after="0" w:line="88" w:lineRule="exact"/>
        <w:rPr>
          <w:rFonts w:ascii="Arial" w:cs="Arial" w:eastAsia="Arial" w:hAnsi="Arial"/>
          <w:sz w:val="18"/>
          <w:szCs w:val="18"/>
          <w:color w:val="auto"/>
        </w:rPr>
      </w:pPr>
    </w:p>
    <w:p>
      <w:pPr>
        <w:ind w:left="1220" w:right="20" w:hanging="409"/>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1,453,788 shares of our common stock issuable upon the exercise of options to purchase shares of our common stock granted under our 2011 Plan after March 31, 2019, with an exercise price of $3.30 per share;</w:t>
      </w:r>
    </w:p>
    <w:p>
      <w:pPr>
        <w:spacing w:after="0" w:line="75" w:lineRule="exact"/>
        <w:rPr>
          <w:rFonts w:ascii="Arial" w:cs="Arial" w:eastAsia="Arial" w:hAnsi="Arial"/>
          <w:sz w:val="18"/>
          <w:szCs w:val="18"/>
          <w:color w:val="auto"/>
        </w:rPr>
      </w:pPr>
    </w:p>
    <w:p>
      <w:pPr>
        <w:jc w:val="both"/>
        <w:ind w:left="1220" w:right="20" w:hanging="409"/>
        <w:spacing w:after="0" w:line="341"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338,341 shares of our redeemable convertible preferred stock issuable upon the exercise of warrants to purchase shares of our redeemable convertible preferred stock outstanding as of March 31, 2019, with a weighted-average exercise price of $1.7836 per share;</w:t>
      </w:r>
    </w:p>
    <w:p>
      <w:pPr>
        <w:spacing w:after="0" w:line="30" w:lineRule="exact"/>
        <w:rPr>
          <w:rFonts w:ascii="Arial" w:cs="Arial" w:eastAsia="Arial" w:hAnsi="Arial"/>
          <w:sz w:val="16"/>
          <w:szCs w:val="16"/>
          <w:color w:val="auto"/>
        </w:rPr>
      </w:pPr>
    </w:p>
    <w:p>
      <w:pPr>
        <w:ind w:left="1220" w:right="20" w:hanging="409"/>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262,008 shares of our common stock issuable upon the exercise of a warrant to purchase shares of our common stock outstanding as of March 31, 2019, with an exercise price of $2.29 per share;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3996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3890" cy="399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20" w:hanging="409"/>
        <w:spacing w:after="0" w:line="255"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29,762,095 shares of our common stock reserved for future issuance under our 2019 Equity Incentive Plan (the “2019 Plan”), (including up to 21,762,095 shares of our common stock comprised of (i) the shares reserved and remaining available for issuance under our 2011 Plan that will be added to our 2019 Plan reserve upon its effectiveness plus (ii) the number of shares subject to stock options or other stock awards granted under our 2011 Plan that would have otherwise returned to our 2011 Plan, which will be added as they become available (e.g., due to forfeiture of the underlying 2011 Plan award)) which includes an annual evergreen increase and will become effective in connection with this offering; and</w:t>
      </w:r>
    </w:p>
    <w:p>
      <w:pPr>
        <w:spacing w:after="0" w:line="96"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1,000,000 shares of our common stock reserved for future issuance under our 2019 Employee Stock Purchase Plan (the “ESPP”), which includes an annual evergreen increase and will become effective in connection with this offering.</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30" w:lineRule="exact"/>
        <w:rPr>
          <w:sz w:val="20"/>
          <w:szCs w:val="20"/>
          <w:color w:val="auto"/>
        </w:rPr>
      </w:pPr>
    </w:p>
    <w:p>
      <w:pPr>
        <w:ind w:left="1220" w:hanging="409"/>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into 73,898,975 shares of our common stock immediately prior to the closing of this offering;</w:t>
      </w:r>
    </w:p>
    <w:p>
      <w:pPr>
        <w:spacing w:after="0" w:line="75" w:lineRule="exact"/>
        <w:rPr>
          <w:rFonts w:ascii="Arial" w:cs="Arial" w:eastAsia="Arial" w:hAnsi="Arial"/>
          <w:sz w:val="18"/>
          <w:szCs w:val="18"/>
          <w:color w:val="auto"/>
        </w:rPr>
      </w:pPr>
    </w:p>
    <w:p>
      <w:pPr>
        <w:ind w:left="1220" w:hanging="40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30" w:lineRule="exact"/>
        <w:rPr>
          <w:rFonts w:ascii="Arial" w:cs="Arial" w:eastAsia="Arial" w:hAnsi="Arial"/>
          <w:sz w:val="18"/>
          <w:szCs w:val="18"/>
          <w:color w:val="auto"/>
        </w:rPr>
      </w:pPr>
    </w:p>
    <w:p>
      <w:pPr>
        <w:ind w:left="1220" w:hanging="40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exercise of an outstanding warrant to purchase 754,573 shares of our common stock;</w:t>
      </w:r>
    </w:p>
    <w:p>
      <w:pPr>
        <w:spacing w:after="0" w:line="130" w:lineRule="exact"/>
        <w:rPr>
          <w:rFonts w:ascii="Arial" w:cs="Arial" w:eastAsia="Arial" w:hAnsi="Arial"/>
          <w:sz w:val="18"/>
          <w:szCs w:val="18"/>
          <w:color w:val="auto"/>
        </w:rPr>
      </w:pPr>
    </w:p>
    <w:p>
      <w:pPr>
        <w:ind w:left="1220" w:hanging="409"/>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warrants to purchase shares of our redeemable convertible preferred stock described above and the automatic conversion of such warrants into warrants exercisable for 338,341 shares of our common stock;</w:t>
      </w:r>
    </w:p>
    <w:p>
      <w:pPr>
        <w:spacing w:after="0" w:line="75" w:lineRule="exact"/>
        <w:rPr>
          <w:rFonts w:ascii="Arial" w:cs="Arial" w:eastAsia="Arial" w:hAnsi="Arial"/>
          <w:sz w:val="18"/>
          <w:szCs w:val="18"/>
          <w:color w:val="auto"/>
        </w:rPr>
      </w:pPr>
    </w:p>
    <w:p>
      <w:pPr>
        <w:ind w:left="1220" w:hanging="40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an outstanding warrant to purchase 262,008 shares of our common stock described above;</w:t>
      </w:r>
    </w:p>
    <w:p>
      <w:pPr>
        <w:spacing w:after="0" w:line="130" w:lineRule="exact"/>
        <w:rPr>
          <w:sz w:val="20"/>
          <w:szCs w:val="20"/>
          <w:color w:val="auto"/>
        </w:rPr>
      </w:pPr>
    </w:p>
    <w:p>
      <w:pPr>
        <w:ind w:left="820"/>
        <w:spacing w:after="0"/>
        <w:tabs>
          <w:tab w:leader="none" w:pos="1200" w:val="left"/>
          <w:tab w:leader="none" w:pos="7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of the underwriters’ option to purchase up to an additional</w:t>
      </w:r>
      <w:r>
        <w:rPr>
          <w:sz w:val="20"/>
          <w:szCs w:val="20"/>
          <w:color w:val="auto"/>
        </w:rPr>
        <w:tab/>
      </w:r>
      <w:r>
        <w:rPr>
          <w:rFonts w:ascii="Arial" w:cs="Arial" w:eastAsia="Arial" w:hAnsi="Arial"/>
          <w:sz w:val="16"/>
          <w:szCs w:val="16"/>
          <w:color w:val="auto"/>
        </w:rPr>
        <w:t>shares of common stock to cover over-allotments; and</w:t>
      </w:r>
    </w:p>
    <w:p>
      <w:pPr>
        <w:spacing w:after="0" w:line="130" w:lineRule="exact"/>
        <w:rPr>
          <w:sz w:val="20"/>
          <w:szCs w:val="20"/>
          <w:color w:val="auto"/>
        </w:rPr>
      </w:pPr>
    </w:p>
    <w:p>
      <w:pPr>
        <w:ind w:left="1220" w:hanging="409"/>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28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3890" cy="5828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400" w:firstLine="426"/>
        <w:spacing w:after="0" w:line="287" w:lineRule="auto"/>
        <w:rPr>
          <w:sz w:val="20"/>
          <w:szCs w:val="20"/>
          <w:color w:val="auto"/>
        </w:rPr>
      </w:pPr>
      <w:r>
        <w:rPr>
          <w:rFonts w:ascii="Arial" w:cs="Arial" w:eastAsia="Arial" w:hAnsi="Arial"/>
          <w:sz w:val="16"/>
          <w:szCs w:val="16"/>
          <w:color w:val="auto"/>
        </w:rPr>
        <w:t>The summary consolidated statements of operations data for the years ended December 31, 2017 and 2018 has been derived from our audited consolidated financial statements included elsewhere in this prospectus. The summary consolidated statements of operations and comprehensive loss data for the three months ended March 31, 2018 and 2019 and the summary consolidated balance sheet data as of March 31, 2019 are derived from our unaudited interim condensed consolidated financial statements included elsewhere in this prospectus. We have prepared the unaudited interim condensed consolidated financial statements on the same basis as the audited financial statements and have included, in our opinion, all adjustments, consisting only of normal recurring adjustments that we consider necessary for a fair statement of the financial information set forth in those statements.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Our historical results are not necessarily indicative of the results that may be expected for any other period in the future and our interim results for the three months ended March 31, 2019 are not necessarily indicative of results to be expected for the full year ending December 31, 2019, or any other period.</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5"/>
              </w:rPr>
              <w:t>(in thousands, except share and per share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9,393</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37,774</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4,164</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Costs of revenues</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19,506</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(2)</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12,126,544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12,252,629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12,206,325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12,365,371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basic and diluted (unaudited)</w:t>
            </w:r>
            <w:r>
              <w:rPr>
                <w:rFonts w:ascii="Arial" w:cs="Arial" w:eastAsia="Arial" w:hAnsi="Arial"/>
                <w:sz w:val="15"/>
                <w:szCs w:val="15"/>
                <w:color w:val="auto"/>
                <w:w w:val="96"/>
              </w:rPr>
              <w:t>(2)</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Pro forma weighted-average shares outstanding, basic and</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(2)</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81,934,173</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87,018,919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stock-based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557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3890" cy="65570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60" w:type="dxa"/>
            <w:vAlign w:val="bottom"/>
            <w:gridSpan w:val="7"/>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Costs of revenues</w:t>
            </w:r>
          </w:p>
        </w:tc>
        <w:tc>
          <w:tcPr>
            <w:tcW w:w="5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w:t>
            </w: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400" w:type="dxa"/>
            <w:vAlign w:val="bottom"/>
            <w:gridSpan w:val="2"/>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Research and development</w:t>
            </w:r>
          </w:p>
        </w:tc>
        <w:tc>
          <w:tcPr>
            <w:tcW w:w="52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225</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429</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Selling, general, and administrative</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454</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711</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55"/>
        </w:trPr>
        <w:tc>
          <w:tcPr>
            <w:tcW w:w="4820" w:type="dxa"/>
            <w:vAlign w:val="bottom"/>
          </w:tcPr>
          <w:p>
            <w:pPr>
              <w:ind w:left="20"/>
              <w:spacing w:after="0" w:line="155" w:lineRule="exact"/>
              <w:rPr>
                <w:sz w:val="20"/>
                <w:szCs w:val="20"/>
                <w:color w:val="auto"/>
              </w:rPr>
            </w:pPr>
            <w:r>
              <w:rPr>
                <w:rFonts w:ascii="Arial" w:cs="Arial" w:eastAsia="Arial" w:hAnsi="Arial"/>
                <w:sz w:val="14"/>
                <w:szCs w:val="14"/>
                <w:color w:val="auto"/>
              </w:rPr>
              <w:t>Total stock-based compensation expense</w:t>
            </w:r>
          </w:p>
        </w:tc>
        <w:tc>
          <w:tcPr>
            <w:tcW w:w="5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753</w:t>
            </w:r>
          </w:p>
        </w:tc>
        <w:tc>
          <w:tcPr>
            <w:tcW w:w="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hanging="307"/>
        <w:spacing w:after="0" w:line="244" w:lineRule="auto"/>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the consolidated statements of operations and Note 15 to our consolidated financial statements included elsewhere in this prospectus for an explanation of the method used to compute the historical and pro forma net loss per share and the number of shares used in the computation of the per share amounts.</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Consolidated Balance Sheet Data:</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Cash and cash equivalents</w:t>
      </w:r>
    </w:p>
    <w:p>
      <w:pPr>
        <w:ind w:left="400"/>
        <w:spacing w:after="0" w:line="188" w:lineRule="auto"/>
        <w:rPr>
          <w:sz w:val="20"/>
          <w:szCs w:val="20"/>
          <w:color w:val="auto"/>
        </w:rPr>
      </w:pPr>
      <w:r>
        <w:rPr>
          <w:rFonts w:ascii="Arial" w:cs="Arial" w:eastAsia="Arial" w:hAnsi="Arial"/>
          <w:sz w:val="16"/>
          <w:szCs w:val="16"/>
          <w:color w:val="auto"/>
        </w:rPr>
        <w:t>Working capital</w:t>
      </w:r>
      <w:r>
        <w:rPr>
          <w:rFonts w:ascii="Arial" w:cs="Arial" w:eastAsia="Arial" w:hAnsi="Arial"/>
          <w:sz w:val="27"/>
          <w:szCs w:val="27"/>
          <w:color w:val="auto"/>
          <w:vertAlign w:val="superscript"/>
        </w:rPr>
        <w:t>(4)</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assets</w:t>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Redeemable convertible preferred stock warrant liability</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 paid-in capital</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stockholders’ deficit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 of March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00" w:type="dxa"/>
            <w:vAlign w:val="bottom"/>
            <w:tcBorders>
              <w:top w:val="single" w:sz="8" w:color="auto"/>
            </w:tcBorders>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156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220" w:type="dxa"/>
            <w:vAlign w:val="bottom"/>
            <w:tcBorders>
              <w:top w:val="single" w:sz="8" w:color="auto"/>
            </w:tcBorders>
          </w:tcPr>
          <w:p>
            <w:pPr>
              <w:ind w:left="380"/>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12"/>
                <w:szCs w:val="12"/>
                <w:b w:val="1"/>
                <w:bCs w:val="1"/>
                <w:color w:val="auto"/>
                <w:w w:val="90"/>
              </w:rPr>
              <w:t>(2)(3)</w:t>
            </w: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(unaudited)</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w w:val="93"/>
              </w:rPr>
              <w:t>(in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1000" w:type="dxa"/>
            <w:vAlign w:val="bottom"/>
          </w:tcPr>
          <w:p>
            <w:pPr>
              <w:jc w:val="right"/>
              <w:ind w:right="260"/>
              <w:spacing w:after="0"/>
              <w:rPr>
                <w:sz w:val="20"/>
                <w:szCs w:val="20"/>
                <w:color w:val="auto"/>
              </w:rPr>
            </w:pPr>
            <w:r>
              <w:rPr>
                <w:rFonts w:ascii="Arial" w:cs="Arial" w:eastAsia="Arial" w:hAnsi="Arial"/>
                <w:sz w:val="16"/>
                <w:szCs w:val="16"/>
                <w:color w:val="auto"/>
                <w:w w:val="95"/>
              </w:rPr>
              <w:t>$  33,237</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62"/>
              <w:spacing w:after="0"/>
              <w:rPr>
                <w:sz w:val="20"/>
                <w:szCs w:val="20"/>
                <w:color w:val="auto"/>
              </w:rPr>
            </w:pPr>
            <w:r>
              <w:rPr>
                <w:rFonts w:ascii="Arial" w:cs="Arial" w:eastAsia="Arial" w:hAnsi="Arial"/>
                <w:sz w:val="16"/>
                <w:szCs w:val="16"/>
                <w:color w:val="auto"/>
              </w:rPr>
              <w:t>33,245</w:t>
            </w:r>
          </w:p>
        </w:tc>
        <w:tc>
          <w:tcPr>
            <w:tcW w:w="1220" w:type="dxa"/>
            <w:vAlign w:val="bottom"/>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(15,348)</w:t>
            </w:r>
          </w:p>
        </w:tc>
        <w:tc>
          <w:tcPr>
            <w:tcW w:w="420" w:type="dxa"/>
            <w:vAlign w:val="bottom"/>
          </w:tcPr>
          <w:p>
            <w:pPr>
              <w:spacing w:after="0"/>
              <w:rPr>
                <w:sz w:val="18"/>
                <w:szCs w:val="18"/>
                <w:color w:val="auto"/>
              </w:rPr>
            </w:pP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(15,340)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57,647</w:t>
            </w:r>
          </w:p>
        </w:tc>
        <w:tc>
          <w:tcPr>
            <w:tcW w:w="420" w:type="dxa"/>
            <w:vAlign w:val="bottom"/>
          </w:tcPr>
          <w:p>
            <w:pPr>
              <w:spacing w:after="0"/>
              <w:rPr>
                <w:sz w:val="18"/>
                <w:szCs w:val="18"/>
                <w:color w:val="auto"/>
              </w:rPr>
            </w:pPr>
          </w:p>
        </w:tc>
        <w:tc>
          <w:tcPr>
            <w:tcW w:w="1140" w:type="dxa"/>
            <w:vAlign w:val="bottom"/>
          </w:tcPr>
          <w:p>
            <w:pPr>
              <w:jc w:val="right"/>
              <w:ind w:right="362"/>
              <w:spacing w:after="0"/>
              <w:rPr>
                <w:sz w:val="20"/>
                <w:szCs w:val="20"/>
                <w:color w:val="auto"/>
              </w:rPr>
            </w:pPr>
            <w:r>
              <w:rPr>
                <w:rFonts w:ascii="Arial" w:cs="Arial" w:eastAsia="Arial" w:hAnsi="Arial"/>
                <w:sz w:val="16"/>
                <w:szCs w:val="16"/>
                <w:color w:val="auto"/>
              </w:rPr>
              <w:t>57,655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817</w:t>
            </w:r>
          </w:p>
        </w:tc>
        <w:tc>
          <w:tcPr>
            <w:tcW w:w="420" w:type="dxa"/>
            <w:vAlign w:val="bottom"/>
          </w:tcPr>
          <w:p>
            <w:pPr>
              <w:spacing w:after="0"/>
              <w:rPr>
                <w:sz w:val="18"/>
                <w:szCs w:val="18"/>
                <w:color w:val="auto"/>
              </w:rPr>
            </w:pPr>
          </w:p>
        </w:tc>
        <w:tc>
          <w:tcPr>
            <w:tcW w:w="11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10,666</w:t>
            </w:r>
          </w:p>
        </w:tc>
        <w:tc>
          <w:tcPr>
            <w:tcW w:w="420" w:type="dxa"/>
            <w:vAlign w:val="bottom"/>
          </w:tcPr>
          <w:p>
            <w:pPr>
              <w:spacing w:after="0"/>
              <w:rPr>
                <w:sz w:val="18"/>
                <w:szCs w:val="18"/>
                <w:color w:val="auto"/>
              </w:rPr>
            </w:pPr>
          </w:p>
        </w:tc>
        <w:tc>
          <w:tcPr>
            <w:tcW w:w="1140" w:type="dxa"/>
            <w:vAlign w:val="bottom"/>
          </w:tcPr>
          <w:p>
            <w:pPr>
              <w:jc w:val="right"/>
              <w:ind w:right="362"/>
              <w:spacing w:after="0"/>
              <w:rPr>
                <w:sz w:val="20"/>
                <w:szCs w:val="20"/>
                <w:color w:val="auto"/>
              </w:rPr>
            </w:pPr>
            <w:r>
              <w:rPr>
                <w:rFonts w:ascii="Arial" w:cs="Arial" w:eastAsia="Arial" w:hAnsi="Arial"/>
                <w:sz w:val="16"/>
                <w:szCs w:val="16"/>
                <w:color w:val="auto"/>
              </w:rPr>
              <w:t>101,778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(121,190)</w:t>
            </w:r>
          </w:p>
        </w:tc>
        <w:tc>
          <w:tcPr>
            <w:tcW w:w="420" w:type="dxa"/>
            <w:vAlign w:val="bottom"/>
          </w:tcPr>
          <w:p>
            <w:pPr>
              <w:spacing w:after="0"/>
              <w:rPr>
                <w:sz w:val="18"/>
                <w:szCs w:val="18"/>
                <w:color w:val="auto"/>
              </w:rPr>
            </w:pP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(122,080)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(110,523)</w:t>
            </w:r>
          </w:p>
        </w:tc>
        <w:tc>
          <w:tcPr>
            <w:tcW w:w="420" w:type="dxa"/>
            <w:vAlign w:val="bottom"/>
          </w:tcPr>
          <w:p>
            <w:pPr>
              <w:spacing w:after="0"/>
              <w:rPr>
                <w:sz w:val="17"/>
                <w:szCs w:val="17"/>
                <w:color w:val="auto"/>
              </w:rPr>
            </w:pP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(20,294)</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2">
            <w:col w:w="6480" w:space="720"/>
            <w:col w:w="3820"/>
          </w:cols>
          <w:pgMar w:left="240" w:top="459" w:right="639" w:bottom="1440" w:gutter="0" w:footer="0" w:header="0"/>
          <w:type w:val="continuous"/>
        </w:sectPr>
      </w:pPr>
    </w:p>
    <w:p>
      <w:pPr>
        <w:jc w:val="both"/>
        <w:ind w:left="820" w:hanging="427"/>
        <w:spacing w:after="0" w:line="266"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gives effect to (i) the automatic conversion of all of our outstanding shares of redeemable convertible preferred stock as of March 31, 2019 into 73,898,975 shares of our common stock immediately prior to the closing of this offering, (ii) the assumed cash exercise of a warrant to purchase 754,573 shares of our common stock, (iii) the automatic conversion of two warrants to purchase an aggregate of 338,341 shares of our redeemable convertible preferred stock, outstanding as of March 31, 2019, into warrants to purchase an equivalent number of shares of our common stock, and the related reclassification of redeemable convertible preferred stock warrant liability to stockholders’ equity, (iv) stock-based compensation expense of $0.9 million associated with outstanding stock options subject to a performance condition for which the service-based vesting condition was satisfied as of March 31, 2019 and which we will recognize in connection with this offering, and (v) the filing and effectiveness of our amended and restated certificate of incorporation that will be in effect immediately prior to the closing of this offering. For additional information, see Note 1 to our consolidated financial statements included elsewhere in this prospectus.</w:t>
      </w:r>
    </w:p>
    <w:p>
      <w:pPr>
        <w:spacing w:after="0" w:line="6" w:lineRule="exact"/>
        <w:rPr>
          <w:rFonts w:ascii="Arial" w:cs="Arial" w:eastAsia="Arial" w:hAnsi="Arial"/>
          <w:sz w:val="17"/>
          <w:szCs w:val="17"/>
          <w:color w:val="auto"/>
        </w:rPr>
      </w:pPr>
    </w:p>
    <w:p>
      <w:pPr>
        <w:ind w:left="820" w:hanging="427"/>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 forma as adjusted consolidated balance sheet data gives effect to (i) the pro forma items described in footnote (1) above and (ii) the</w:t>
      </w:r>
    </w:p>
    <w:p>
      <w:pPr>
        <w:spacing w:after="0" w:line="32"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issuance and sale by us of shares of our common stock in this offering at the assumed initial public offering price of $ per share, after deducting the underwriting discounts and commissions and estimated offering expenses payable by us and the use of proceeds to satisfy the withholding tax obligations described in the footnote above.</w:t>
      </w:r>
    </w:p>
    <w:p>
      <w:pPr>
        <w:spacing w:after="0" w:line="1" w:lineRule="exact"/>
        <w:rPr>
          <w:sz w:val="20"/>
          <w:szCs w:val="20"/>
          <w:color w:val="auto"/>
        </w:rPr>
      </w:pPr>
    </w:p>
    <w:p>
      <w:pPr>
        <w:ind w:left="820" w:hanging="427"/>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 forma as adjusted consolidated balance sheet data is illustrative only and will change based on the actual initial public offering price</w:t>
      </w:r>
    </w:p>
    <w:p>
      <w:pPr>
        <w:spacing w:after="0" w:line="32"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and other terms of this offering determined at pricing. Each $1.00 increase (decrease) in the assumed initial public offering price of $ per share would increase (decrease) each of our pro forma as adjusted cash and cash equivalents, working capital, total assets, additional paid-in</w:t>
      </w:r>
    </w:p>
    <w:p>
      <w:pPr>
        <w:spacing w:after="0" w:line="1"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capital and total stockholders’ deficit by $ million, assuming the number of shares of common stock offered by us, as set forth on the cover page of this prospectus, remains the same, and after deducting the underwriting discounts and commissions and estimated offering expenses payable by us. Similarly, each increase (decrease) of 1.0 million shares in the number of shares of common stock offered by us would increase (decrease) each of our pro forma as adjusted cash and cash equivalents, working capital, total assets, additional paid-in</w:t>
      </w:r>
    </w:p>
    <w:p>
      <w:pPr>
        <w:spacing w:after="0" w:line="2" w:lineRule="exact"/>
        <w:rPr>
          <w:sz w:val="20"/>
          <w:szCs w:val="20"/>
          <w:color w:val="auto"/>
        </w:rPr>
      </w:pPr>
    </w:p>
    <w:p>
      <w:pPr>
        <w:ind w:left="820"/>
        <w:spacing w:after="0"/>
        <w:tabs>
          <w:tab w:leader="none" w:pos="5380" w:val="left"/>
          <w:tab w:leader="none" w:pos="10340" w:val="left"/>
        </w:tabs>
        <w:rPr>
          <w:sz w:val="20"/>
          <w:szCs w:val="20"/>
          <w:color w:val="auto"/>
        </w:rPr>
      </w:pPr>
      <w:r>
        <w:rPr>
          <w:rFonts w:ascii="Arial" w:cs="Arial" w:eastAsia="Arial" w:hAnsi="Arial"/>
          <w:sz w:val="18"/>
          <w:szCs w:val="18"/>
          <w:color w:val="auto"/>
        </w:rPr>
        <w:t>capital, and total stockholders’ deficit by approximately $</w:t>
      </w:r>
      <w:r>
        <w:rPr>
          <w:sz w:val="20"/>
          <w:szCs w:val="20"/>
          <w:color w:val="auto"/>
        </w:rPr>
        <w:tab/>
      </w:r>
      <w:r>
        <w:rPr>
          <w:rFonts w:ascii="Arial" w:cs="Arial" w:eastAsia="Arial" w:hAnsi="Arial"/>
          <w:sz w:val="18"/>
          <w:szCs w:val="18"/>
          <w:color w:val="auto"/>
        </w:rPr>
        <w:t>million, assuming the assumed initial public offering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remains the same, and after deducting the underwriting discounts and commissions and estimated offering expenses payable by us.</w:t>
      </w:r>
    </w:p>
    <w:p>
      <w:pPr>
        <w:spacing w:after="0" w:line="20" w:lineRule="exact"/>
        <w:rPr>
          <w:sz w:val="20"/>
          <w:szCs w:val="20"/>
          <w:color w:val="auto"/>
        </w:rPr>
      </w:pPr>
    </w:p>
    <w:p>
      <w:pPr>
        <w:ind w:left="820" w:hanging="427"/>
        <w:spacing w:after="0" w:line="26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 to achieve or sustain profitability.</w:t>
      </w:r>
    </w:p>
    <w:p>
      <w:pPr>
        <w:spacing w:after="0" w:line="62"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We have incurred net losses since our inception. For the years ended December 31, 2017 and 2018 and the three months ended March 31, 2019, we had net losses of $23.6 million, $19.9 million, and $5.7 million, respectively. As of March 31, 2019, we had an accumulated deficit of $121.2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272"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our revenues will be insufficient for us to achieve profitability.</w:t>
      </w:r>
    </w:p>
    <w:p>
      <w:pPr>
        <w:spacing w:after="0" w:line="62"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264" w:lineRule="exact"/>
        <w:rPr>
          <w:sz w:val="20"/>
          <w:szCs w:val="20"/>
          <w:color w:val="auto"/>
        </w:rPr>
      </w:pPr>
    </w:p>
    <w:p>
      <w:pPr>
        <w:ind w:left="660" w:right="380"/>
        <w:spacing w:after="0" w:line="375"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March 31, 2019, we had approximately $44.3 million in customer deposits, including $39.6 million from one customer. However, as of that date, we had only $33.2 million of cash and cash equivalents. We are generally not required by our contracts to retain these deposits in cash or otherwise and we have generally used these deposits to make capital expenditures and fund our operations. If a customer that has prepaid us for future services cancels its contract with us or reduces the</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2" w:lineRule="auto"/>
        <w:rPr>
          <w:sz w:val="20"/>
          <w:szCs w:val="20"/>
          <w:color w:val="auto"/>
        </w:rPr>
      </w:pPr>
      <w:r>
        <w:rPr>
          <w:rFonts w:ascii="Arial" w:cs="Arial" w:eastAsia="Arial" w:hAnsi="Arial"/>
          <w:sz w:val="17"/>
          <w:szCs w:val="17"/>
          <w:color w:val="auto"/>
        </w:rPr>
        <w:t>level of services that it expects to receive, we would generally be required to repay that customer’s deposit with little or no notice. We may not have the cash or other available resources to satisfy that repayment obligation. Even if we are able to satisfy the repayment obligation from available resources (including potentially a portion of the net proceeds of this offering),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28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services and are unable to gain sufficient acceptance in the market, we may be unable to generate sufficient revenues to sustain our business.</w:t>
      </w:r>
    </w:p>
    <w:p>
      <w:pPr>
        <w:spacing w:after="0" w:line="62"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We are a growing genomics company and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6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ability to successfully market our services that we have developed, and may develop in the future, will depend on numerous factors, including:</w:t>
      </w:r>
    </w:p>
    <w:p>
      <w:pPr>
        <w:spacing w:after="0" w:line="75" w:lineRule="exact"/>
        <w:rPr>
          <w:sz w:val="20"/>
          <w:szCs w:val="20"/>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sales force;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356"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62"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Our principal competition comes from commercial and academic organizations using established and new laboratory tests to produce information that is similar to the information that we generate for our customers.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9" w:lineRule="auto"/>
        <w:rPr>
          <w:sz w:val="20"/>
          <w:szCs w:val="20"/>
          <w:color w:val="auto"/>
        </w:rPr>
      </w:pPr>
      <w:r>
        <w:rPr>
          <w:rFonts w:ascii="Arial" w:cs="Arial" w:eastAsia="Arial" w:hAnsi="Arial"/>
          <w:sz w:val="18"/>
          <w:szCs w:val="18"/>
          <w:color w:val="auto"/>
        </w:rPr>
        <w:t>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86"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Some of our present and potential competitors, including Guardant Health, Inc., Foundation Medicine, Inc., which was acquired by Roche Holdings, Inc. in July 2018, Roche Molecular Systems, Inc., NanoString Technologies, Inc., Personal Genome Diagnostics, Inc., and Adaptive Biotechnologies Corporation,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79"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w:t>
      </w:r>
      <w:r>
        <w:rPr>
          <w:rFonts w:ascii="Arial" w:cs="Arial" w:eastAsia="Arial" w:hAnsi="Arial"/>
          <w:sz w:val="15"/>
          <w:szCs w:val="15"/>
          <w:color w:val="auto"/>
        </w:rPr>
        <w:t>®</w:t>
      </w:r>
      <w:r>
        <w:rPr>
          <w:rFonts w:ascii="Arial" w:cs="Arial" w:eastAsia="Arial" w:hAnsi="Arial"/>
          <w:sz w:val="18"/>
          <w:szCs w:val="18"/>
          <w:color w:val="auto"/>
        </w:rPr>
        <w:t xml:space="preserve"> from Pfizer Inc., the BRAF kinase V600 mutation test from Roche Molecular Systems, Inc. for use with Zelboraf</w:t>
      </w:r>
      <w:r>
        <w:rPr>
          <w:rFonts w:ascii="Arial" w:cs="Arial" w:eastAsia="Arial" w:hAnsi="Arial"/>
          <w:sz w:val="15"/>
          <w:szCs w:val="15"/>
          <w:color w:val="auto"/>
        </w:rPr>
        <w:t>®</w:t>
      </w:r>
      <w:r>
        <w:rPr>
          <w:rFonts w:ascii="Arial" w:cs="Arial" w:eastAsia="Arial" w:hAnsi="Arial"/>
          <w:sz w:val="18"/>
          <w:szCs w:val="18"/>
          <w:color w:val="auto"/>
        </w:rPr>
        <w:t xml:space="preserve"> from Daiichi-Sankyo/Genentech/Roche, and the BRAF kinase V600 mutation test from bioMerieux for use with Tafinlar</w:t>
      </w:r>
      <w:r>
        <w:rPr>
          <w:rFonts w:ascii="Arial" w:cs="Arial" w:eastAsia="Arial" w:hAnsi="Arial"/>
          <w:sz w:val="15"/>
          <w:szCs w:val="15"/>
          <w:color w:val="auto"/>
        </w:rPr>
        <w:t>®</w:t>
      </w:r>
      <w:r>
        <w:rPr>
          <w:rFonts w:ascii="Arial" w:cs="Arial" w:eastAsia="Arial" w:hAnsi="Arial"/>
          <w:sz w:val="18"/>
          <w:szCs w:val="18"/>
          <w:color w:val="auto"/>
        </w:rPr>
        <w:t xml:space="preserve">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9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26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62"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307" w:lineRule="auto"/>
        <w:rPr>
          <w:sz w:val="20"/>
          <w:szCs w:val="20"/>
          <w:color w:val="auto"/>
        </w:rPr>
      </w:pPr>
      <w:r>
        <w:rPr>
          <w:rFonts w:ascii="Arial" w:cs="Arial" w:eastAsia="Arial" w:hAnsi="Arial"/>
          <w:sz w:val="17"/>
          <w:szCs w:val="17"/>
          <w:color w:val="auto"/>
        </w:rPr>
        <w:t>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47"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7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In addition, we may have to work with a partner on one or more aspects of our tests or market development programs, which could lower the economic value of those tests or programs to us. While we believe our existing cash and cash equivalents, and the anticipated proceeds from this offering,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268" w:lineRule="exact"/>
        <w:rPr>
          <w:sz w:val="20"/>
          <w:szCs w:val="20"/>
          <w:color w:val="auto"/>
        </w:rPr>
      </w:pPr>
    </w:p>
    <w:p>
      <w:pPr>
        <w:ind w:left="660" w:right="280"/>
        <w:spacing w:after="0" w:line="307" w:lineRule="auto"/>
        <w:rPr>
          <w:sz w:val="20"/>
          <w:szCs w:val="20"/>
          <w:color w:val="auto"/>
        </w:rPr>
      </w:pPr>
      <w:r>
        <w:rPr>
          <w:rFonts w:ascii="Arial" w:cs="Arial" w:eastAsia="Arial" w:hAnsi="Arial"/>
          <w:sz w:val="17"/>
          <w:szCs w:val="17"/>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39"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In order to execute our business model, we need to invest in scaling our infrastructure, including hiring additional personnel, expanding our internal quality assurance program,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facility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2018 revenues and accounts receivable.</w:t>
      </w:r>
    </w:p>
    <w:p>
      <w:pPr>
        <w:spacing w:after="0" w:line="62" w:lineRule="exact"/>
        <w:rPr>
          <w:sz w:val="20"/>
          <w:szCs w:val="20"/>
          <w:color w:val="auto"/>
        </w:rPr>
      </w:pPr>
    </w:p>
    <w:p>
      <w:pPr>
        <w:jc w:val="both"/>
        <w:ind w:left="220" w:firstLine="440"/>
        <w:spacing w:after="0" w:line="267" w:lineRule="auto"/>
        <w:rPr>
          <w:sz w:val="20"/>
          <w:szCs w:val="20"/>
          <w:color w:val="auto"/>
        </w:rPr>
      </w:pPr>
      <w:r>
        <w:rPr>
          <w:rFonts w:ascii="Arial" w:cs="Arial" w:eastAsia="Arial" w:hAnsi="Arial"/>
          <w:sz w:val="17"/>
          <w:szCs w:val="17"/>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more than 49% of our revenues in 2018, and 59% of our revenues in the three months ended March 31, 2019. Our top five customers, including the VA MVP, accounted for 82% of our revenues in 2018 and 90% of our revenues for the three months ended March 31, 2019. There are inherent risks whenever a large percentage of revenues are concentrated with a limited number of customers. It is not possible for us to predict the future level of demand for our services that will be generated by these customers.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If any of these customers suspend or terminate clinical trials, receive less funding, experience declining or delayed sales, or otherwise chose to reduce or eliminate their use of our services,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298" w:lineRule="exact"/>
        <w:rPr>
          <w:sz w:val="20"/>
          <w:szCs w:val="20"/>
          <w:color w:val="auto"/>
        </w:rPr>
      </w:pPr>
    </w:p>
    <w:p>
      <w:pPr>
        <w:jc w:val="both"/>
        <w:ind w:left="660" w:right="960"/>
        <w:spacing w:after="0" w:line="340" w:lineRule="auto"/>
        <w:rPr>
          <w:sz w:val="20"/>
          <w:szCs w:val="20"/>
          <w:color w:val="auto"/>
        </w:rPr>
      </w:pPr>
      <w:r>
        <w:rPr>
          <w:rFonts w:ascii="Arial" w:cs="Arial" w:eastAsia="Arial" w:hAnsi="Arial"/>
          <w:sz w:val="15"/>
          <w:szCs w:val="15"/>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22"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and 2018.</w:t>
      </w:r>
    </w:p>
    <w:p>
      <w:pPr>
        <w:spacing w:after="0" w:line="183"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285"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are expensive, can take many years to complete, and their outcome is inherently uncertain.</w:t>
      </w:r>
    </w:p>
    <w:p>
      <w:pPr>
        <w:spacing w:after="0" w:line="75"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86" w:lineRule="auto"/>
        <w:rPr>
          <w:sz w:val="20"/>
          <w:szCs w:val="20"/>
          <w:color w:val="auto"/>
        </w:rPr>
      </w:pPr>
      <w:r>
        <w:rPr>
          <w:rFonts w:ascii="Arial" w:cs="Arial" w:eastAsia="Arial" w:hAnsi="Arial"/>
          <w:sz w:val="17"/>
          <w:szCs w:val="17"/>
          <w:color w:val="auto"/>
        </w:rPr>
        <w:t>customers’ satisfaction with our services, and other factors that may be beyond our control. Furthermore, our customers may decide to decrease or discontinue their use of our services due to changes in research and product development plans, failures in their clinical trials, financial constraints, or utilization of internal testing resources or tests performed by other parties, or other circumstances outside of our control.</w:t>
      </w:r>
    </w:p>
    <w:p>
      <w:pPr>
        <w:spacing w:after="0" w:line="165"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7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size of the potential future market for our services is an estimate and may be smaller than we believe.</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Our estimate of the potential future market for our services is based on a number of internal and third-party estimates. While we believe these factors have historically provided and will continue to provide us with effective tools in estimating the total market for our services, these estimates may not be correct and the conditions supporting our estimates may change at any time, thereby reducing the predictive accuracy of these underlying factors. As a result, our estimates of the total addressable market for our services may prove to be incorrect. If the actual number of patients who would benefit from our services and the total addressable market for our services is smaller than we have estimated, our future growth could be adversely impacted. See the section titled “Market, Industry, and Other Data” for additional information regarding our estimates.</w:t>
      </w:r>
    </w:p>
    <w:p>
      <w:pPr>
        <w:spacing w:after="0" w:line="285" w:lineRule="exact"/>
        <w:rPr>
          <w:sz w:val="20"/>
          <w:szCs w:val="20"/>
          <w:color w:val="auto"/>
        </w:rPr>
      </w:pPr>
    </w:p>
    <w:p>
      <w:pPr>
        <w:ind w:left="660" w:right="100"/>
        <w:spacing w:after="0" w:line="341"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7"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from June 2019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We cannot assure you that we will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7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284"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or we are required to vacate the facility, our ability to sell and provide our services and pursue our research and development efforts may be jeopardized.</w:t>
      </w:r>
    </w:p>
    <w:p>
      <w:pPr>
        <w:spacing w:after="0" w:line="62"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We currently derive our revenues from our genomic analysis conducted in our laboratory. We do not have any clinical reference laboratory facilities other than our facility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has recently experienced serious fires and the San Francisco Bay Area is considered to lie in an area with earthquake risk. The inability to sell or to perform our diagnostic and other services, or the backlog of samples that could develop if our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Furthermore, our facilities and the equipment we use to perform our services and our research and development work could be costly and time-consuming to repair or replace.</w:t>
      </w:r>
    </w:p>
    <w:p>
      <w:pPr>
        <w:spacing w:after="0" w:line="164"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facility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91"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Further, if our laboratory became inoperable, we would likely not be able to license or transfer our technology to another facility with the necessary qualifications, including state licensure and CLIA certification, under the scope of which our current and our planned future services could be performed. Even if we find a facility with such qualifications to perform our services, it may not be available to us on commercially reasonable terms.</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78"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91" w:lineRule="exact"/>
        <w:rPr>
          <w:sz w:val="20"/>
          <w:szCs w:val="20"/>
          <w:color w:val="auto"/>
        </w:rPr>
      </w:pPr>
    </w:p>
    <w:p>
      <w:pPr>
        <w:jc w:val="both"/>
        <w:ind w:left="220" w:firstLine="440"/>
        <w:spacing w:after="0" w:line="284" w:lineRule="auto"/>
        <w:rPr>
          <w:sz w:val="20"/>
          <w:szCs w:val="20"/>
          <w:color w:val="auto"/>
        </w:rPr>
      </w:pPr>
      <w:r>
        <w:rPr>
          <w:rFonts w:ascii="Arial" w:cs="Arial" w:eastAsia="Arial" w:hAnsi="Arial"/>
          <w:sz w:val="16"/>
          <w:szCs w:val="16"/>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our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96"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6" w:lineRule="auto"/>
        <w:rPr>
          <w:sz w:val="20"/>
          <w:szCs w:val="20"/>
          <w:color w:val="auto"/>
        </w:rPr>
      </w:pPr>
      <w:r>
        <w:rPr>
          <w:rFonts w:ascii="Arial" w:cs="Arial" w:eastAsia="Arial" w:hAnsi="Arial"/>
          <w:sz w:val="16"/>
          <w:szCs w:val="16"/>
          <w:color w:val="auto"/>
        </w:rPr>
        <w:t>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68" w:lineRule="exact"/>
        <w:rPr>
          <w:sz w:val="20"/>
          <w:szCs w:val="20"/>
          <w:color w:val="auto"/>
        </w:rPr>
      </w:pPr>
    </w:p>
    <w:p>
      <w:pPr>
        <w:ind w:left="660" w:right="500"/>
        <w:spacing w:after="0" w:line="341"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7"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64"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9"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conduct involves false pretenses or the intent to sell, transfer or use identifiable health information for commercial advantage, personal gain or malicious harm.</w:t>
      </w:r>
    </w:p>
    <w:p>
      <w:pPr>
        <w:spacing w:after="0" w:line="170"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66" w:lineRule="exact"/>
        <w:rPr>
          <w:sz w:val="20"/>
          <w:szCs w:val="20"/>
          <w:color w:val="auto"/>
        </w:rPr>
      </w:pPr>
    </w:p>
    <w:p>
      <w:pPr>
        <w:jc w:val="both"/>
        <w:ind w:left="220" w:firstLine="440"/>
        <w:spacing w:after="0" w:line="285" w:lineRule="auto"/>
        <w:rPr>
          <w:sz w:val="20"/>
          <w:szCs w:val="20"/>
          <w:color w:val="auto"/>
        </w:rPr>
      </w:pPr>
      <w:r>
        <w:rPr>
          <w:rFonts w:ascii="Arial" w:cs="Arial" w:eastAsia="Arial" w:hAnsi="Arial"/>
          <w:sz w:val="16"/>
          <w:szCs w:val="16"/>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became applicable on May 25, 2018, replacing data protection laws issued by of each EU member state based on the Directive 95/46/EC (the “Directive”). Unlike the Directive, which needed to be transposed at a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 Further, the United Kingdom’s vote in favor of exiting the EU, often referred to as Brexit, has created uncertainty with regard to data protection regulation in the United Kingdom. In particular, it is unclear whether the United Kingdom will enact data protection legislation equivalent to the GDPR and how data transfers to and from the United Kingdom will be regulated.</w:t>
      </w:r>
    </w:p>
    <w:p>
      <w:pPr>
        <w:spacing w:after="0" w:line="168"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27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62"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algorithms we use, and in the software that handle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9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86"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299" w:lineRule="exact"/>
        <w:rPr>
          <w:sz w:val="20"/>
          <w:szCs w:val="20"/>
          <w:color w:val="auto"/>
        </w:rPr>
      </w:pPr>
    </w:p>
    <w:p>
      <w:pPr>
        <w:ind w:left="660" w:right="420"/>
        <w:spacing w:after="0" w:line="341"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experience delays in developing such services and products, our operating results and competitive position could be harmed.</w:t>
      </w:r>
    </w:p>
    <w:p>
      <w:pPr>
        <w:spacing w:after="0" w:line="17"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(such as our planned liquid biopsy test)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291" w:lineRule="exact"/>
        <w:rPr>
          <w:sz w:val="20"/>
          <w:szCs w:val="20"/>
          <w:color w:val="auto"/>
        </w:rPr>
      </w:pPr>
    </w:p>
    <w:p>
      <w:pPr>
        <w:ind w:left="660" w:right="260"/>
        <w:spacing w:after="0" w:line="341"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301" w:lineRule="exact"/>
        <w:rPr>
          <w:sz w:val="20"/>
          <w:szCs w:val="20"/>
          <w:color w:val="auto"/>
        </w:rPr>
      </w:pPr>
    </w:p>
    <w:p>
      <w:pPr>
        <w:jc w:val="both"/>
        <w:ind w:left="660" w:right="400"/>
        <w:spacing w:after="0" w:line="263"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75"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 Because personalized cancer therapies represent a new approach to immunotherapy for the treatment of cancer and other diseases, developing and commercializing personalized cancer therapies is subject to a number of challenges</w:t>
      </w:r>
      <w:r>
        <w:rPr>
          <w:rFonts w:ascii="Arial" w:cs="Arial" w:eastAsia="Arial" w:hAnsi="Arial"/>
          <w:sz w:val="18"/>
          <w:szCs w:val="18"/>
          <w:i w:val="1"/>
          <w:iCs w:val="1"/>
          <w:color w:val="auto"/>
        </w:rPr>
        <w:t>.</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86"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Clinton Musil, our Chief Business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8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278" w:lineRule="exact"/>
        <w:rPr>
          <w:sz w:val="20"/>
          <w:szCs w:val="20"/>
          <w:color w:val="auto"/>
        </w:rPr>
      </w:pPr>
    </w:p>
    <w:p>
      <w:pPr>
        <w:ind w:left="660" w:right="620"/>
        <w:spacing w:after="0" w:line="341"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7"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including due to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depend on information technology and telecommunications systems for significant elements of our operations, including our laboratory information management system, our bioinformatics analytical software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5" w:lineRule="auto"/>
        <w:rPr>
          <w:sz w:val="20"/>
          <w:szCs w:val="20"/>
          <w:color w:val="auto"/>
        </w:rPr>
      </w:pPr>
      <w:r>
        <w:rPr>
          <w:rFonts w:ascii="Arial" w:cs="Arial" w:eastAsia="Arial" w:hAnsi="Arial"/>
          <w:sz w:val="17"/>
          <w:szCs w:val="17"/>
          <w:color w:val="auto"/>
        </w:rPr>
        <w:t>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75"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experienced an adverse effect to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70"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29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62"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580"/>
        <w:spacing w:after="0" w:line="307"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39" w:lineRule="exact"/>
        <w:rPr>
          <w:sz w:val="20"/>
          <w:szCs w:val="20"/>
          <w:color w:val="auto"/>
        </w:rPr>
      </w:pPr>
    </w:p>
    <w:p>
      <w:pPr>
        <w:jc w:val="both"/>
        <w:ind w:left="220" w:firstLine="440"/>
        <w:spacing w:after="0" w:line="288"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66"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Once we become a public company,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28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facility in a timely and cost-efficient manner, and if these delivery services are disrupted, our business would be harmed.</w:t>
      </w:r>
    </w:p>
    <w:p>
      <w:pPr>
        <w:spacing w:after="0" w:line="62"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Our business depends on our ability to quickly and reliably deliver test results to our customers. Disruptions in delivery service, whether due to labor disruptions, bad weather, natural disaster,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1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December 2017 tax reform law could adversely affect our business and financial condition.</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On December 22, 2017, President Trump signed into law comprehensive tax legislation (the “Tax Cuts and Jobs Act”) that significantly revised the Internal Revenue Code of 1986, as amended (the “Code”). The Tax Cuts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9" w:lineRule="auto"/>
        <w:rPr>
          <w:sz w:val="20"/>
          <w:szCs w:val="20"/>
          <w:color w:val="auto"/>
        </w:rPr>
      </w:pPr>
      <w:r>
        <w:rPr>
          <w:rFonts w:ascii="Arial" w:cs="Arial" w:eastAsia="Arial" w:hAnsi="Arial"/>
          <w:sz w:val="17"/>
          <w:szCs w:val="17"/>
          <w:color w:val="auto"/>
        </w:rPr>
        <w:t>and Jobs Act, among other things, contained significant changes to corporate taxation, including reduction of the corporate tax rate from a top marginal rate of 35% to a flat rate of 21%, limitation of the tax deduction for interest expense to 30% of adjusted taxable income (except for certain small businesses), limitation of the deduction for net operating losses incurred after 2017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Tax Cuts and Jobs Act.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left="660" w:right="320"/>
        <w:spacing w:after="0" w:line="375" w:lineRule="auto"/>
        <w:rPr>
          <w:sz w:val="20"/>
          <w:szCs w:val="20"/>
          <w:color w:val="auto"/>
        </w:rPr>
      </w:pPr>
      <w:r>
        <w:rPr>
          <w:rFonts w:ascii="Arial" w:cs="Arial" w:eastAsia="Arial" w:hAnsi="Arial"/>
          <w:sz w:val="15"/>
          <w:szCs w:val="15"/>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1"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79"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8" w:lineRule="auto"/>
        <w:rPr>
          <w:sz w:val="20"/>
          <w:szCs w:val="20"/>
          <w:color w:val="auto"/>
        </w:rPr>
      </w:pPr>
      <w:r>
        <w:rPr>
          <w:rFonts w:ascii="Arial" w:cs="Arial" w:eastAsia="Arial" w:hAnsi="Arial"/>
          <w:sz w:val="17"/>
          <w:szCs w:val="17"/>
          <w:color w:val="auto"/>
        </w:rPr>
        <w:t>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84"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84" w:lineRule="exact"/>
        <w:rPr>
          <w:sz w:val="20"/>
          <w:szCs w:val="20"/>
          <w:color w:val="auto"/>
        </w:rPr>
      </w:pPr>
    </w:p>
    <w:p>
      <w:pPr>
        <w:jc w:val="both"/>
        <w:ind w:left="220" w:firstLine="440"/>
        <w:spacing w:after="0" w:line="288"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which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264" w:lineRule="exact"/>
        <w:rPr>
          <w:sz w:val="20"/>
          <w:szCs w:val="20"/>
          <w:color w:val="auto"/>
        </w:rPr>
      </w:pPr>
    </w:p>
    <w:p>
      <w:pPr>
        <w:ind w:left="660" w:right="440"/>
        <w:spacing w:after="0" w:line="263"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75"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4"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83"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twelve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91" w:lineRule="exact"/>
        <w:rPr>
          <w:sz w:val="20"/>
          <w:szCs w:val="20"/>
          <w:color w:val="auto"/>
        </w:rPr>
      </w:pPr>
    </w:p>
    <w:p>
      <w:pPr>
        <w:jc w:val="both"/>
        <w:ind w:left="220" w:right="20" w:firstLine="440"/>
        <w:spacing w:after="0" w:line="279" w:lineRule="auto"/>
        <w:rPr>
          <w:sz w:val="20"/>
          <w:szCs w:val="20"/>
          <w:color w:val="auto"/>
        </w:rPr>
      </w:pPr>
      <w:r>
        <w:rPr>
          <w:rFonts w:ascii="Arial" w:cs="Arial" w:eastAsia="Arial" w:hAnsi="Arial"/>
          <w:sz w:val="17"/>
          <w:szCs w:val="17"/>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7" w:lineRule="auto"/>
        <w:rPr>
          <w:sz w:val="20"/>
          <w:szCs w:val="20"/>
          <w:color w:val="auto"/>
        </w:rPr>
      </w:pPr>
      <w:r>
        <w:rPr>
          <w:rFonts w:ascii="Arial" w:cs="Arial" w:eastAsia="Arial" w:hAnsi="Arial"/>
          <w:sz w:val="16"/>
          <w:szCs w:val="16"/>
          <w:color w:val="auto"/>
        </w:rPr>
        <w:t>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 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70"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76"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66"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77" w:lineRule="auto"/>
        <w:rPr>
          <w:sz w:val="20"/>
          <w:szCs w:val="20"/>
          <w:color w:val="auto"/>
        </w:rPr>
      </w:pPr>
      <w:r>
        <w:rPr>
          <w:rFonts w:ascii="Arial" w:cs="Arial" w:eastAsia="Arial" w:hAnsi="Arial"/>
          <w:sz w:val="18"/>
          <w:szCs w:val="18"/>
          <w:color w:val="auto"/>
        </w:rPr>
        <w:t>health posed by the device or to remedy a violation of the FDC Act caused by the device which may present a risk to health; and the establishment registration and device listing regulation.</w:t>
      </w:r>
    </w:p>
    <w:p>
      <w:pPr>
        <w:spacing w:after="0" w:line="170"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93"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91" w:lineRule="exact"/>
        <w:rPr>
          <w:sz w:val="20"/>
          <w:szCs w:val="20"/>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299"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83" w:lineRule="exact"/>
        <w:rPr>
          <w:sz w:val="20"/>
          <w:szCs w:val="20"/>
          <w:color w:val="auto"/>
        </w:rPr>
      </w:pPr>
    </w:p>
    <w:p>
      <w:pPr>
        <w:jc w:val="both"/>
        <w:ind w:left="220" w:firstLine="440"/>
        <w:spacing w:after="0" w:line="267"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90"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91"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2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 consuming process, and any failure to comply could result in substantial penalties.</w:t>
      </w:r>
    </w:p>
    <w:p>
      <w:pPr>
        <w:spacing w:after="0" w:line="62"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75" w:lineRule="exact"/>
        <w:rPr>
          <w:sz w:val="20"/>
          <w:szCs w:val="20"/>
          <w:color w:val="auto"/>
        </w:rPr>
      </w:pPr>
    </w:p>
    <w:p>
      <w:pPr>
        <w:jc w:val="both"/>
        <w:ind w:left="1080" w:hanging="438"/>
        <w:spacing w:after="0" w:line="29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68" w:lineRule="exact"/>
        <w:rPr>
          <w:rFonts w:ascii="Arial" w:cs="Arial" w:eastAsia="Arial" w:hAnsi="Arial"/>
          <w:sz w:val="16"/>
          <w:szCs w:val="16"/>
          <w:color w:val="auto"/>
        </w:rPr>
      </w:pPr>
    </w:p>
    <w:p>
      <w:pPr>
        <w:jc w:val="both"/>
        <w:ind w:left="1080" w:hanging="438"/>
        <w:spacing w:after="0" w:line="27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80" w:lineRule="exact"/>
        <w:rPr>
          <w:rFonts w:ascii="Arial" w:cs="Arial" w:eastAsia="Arial" w:hAnsi="Arial"/>
          <w:sz w:val="17"/>
          <w:szCs w:val="17"/>
          <w:color w:val="auto"/>
        </w:rPr>
      </w:pPr>
    </w:p>
    <w:p>
      <w:pPr>
        <w:jc w:val="both"/>
        <w:ind w:left="1080" w:hanging="438"/>
        <w:spacing w:after="0" w:line="27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“Anti-Markup Rule” and similar state and similar state laws, among other things, prohibits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80" w:lineRule="exact"/>
        <w:rPr>
          <w:rFonts w:ascii="Arial" w:cs="Arial" w:eastAsia="Arial" w:hAnsi="Arial"/>
          <w:sz w:val="17"/>
          <w:szCs w:val="17"/>
          <w:color w:val="auto"/>
        </w:rPr>
      </w:pPr>
    </w:p>
    <w:p>
      <w:pPr>
        <w:jc w:val="both"/>
        <w:ind w:left="1080" w:hanging="438"/>
        <w:spacing w:after="0" w:line="255"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96" w:lineRule="exact"/>
        <w:rPr>
          <w:rFonts w:ascii="Arial" w:cs="Arial" w:eastAsia="Arial" w:hAnsi="Arial"/>
          <w:sz w:val="18"/>
          <w:szCs w:val="18"/>
          <w:color w:val="auto"/>
        </w:rPr>
      </w:pPr>
    </w:p>
    <w:p>
      <w:pPr>
        <w:jc w:val="both"/>
        <w:ind w:left="1080" w:hanging="438"/>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3" w:lineRule="exact"/>
        <w:rPr>
          <w:rFonts w:ascii="Arial" w:cs="Arial" w:eastAsia="Arial" w:hAnsi="Arial"/>
          <w:sz w:val="16"/>
          <w:szCs w:val="16"/>
          <w:color w:val="auto"/>
        </w:rPr>
      </w:pPr>
    </w:p>
    <w:p>
      <w:pPr>
        <w:jc w:val="both"/>
        <w:ind w:left="1080" w:hanging="438"/>
        <w:spacing w:after="0" w:line="30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438"/>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88"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88"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75" w:lineRule="exact"/>
        <w:rPr>
          <w:rFonts w:ascii="Arial" w:cs="Arial" w:eastAsia="Arial" w:hAnsi="Arial"/>
          <w:sz w:val="18"/>
          <w:szCs w:val="18"/>
          <w:color w:val="auto"/>
        </w:rPr>
      </w:pPr>
    </w:p>
    <w:p>
      <w:pPr>
        <w:jc w:val="both"/>
        <w:ind w:left="1080" w:hanging="438"/>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61" w:lineRule="exact"/>
        <w:rPr>
          <w:rFonts w:ascii="Arial" w:cs="Arial" w:eastAsia="Arial" w:hAnsi="Arial"/>
          <w:sz w:val="16"/>
          <w:szCs w:val="16"/>
          <w:color w:val="auto"/>
        </w:rPr>
      </w:pPr>
    </w:p>
    <w:p>
      <w:pPr>
        <w:ind w:left="1080" w:hanging="438"/>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25"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76"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decide to grow our business by developing in vitro diagnostic tests, we may be subject to reimbursement challenges.</w:t>
      </w:r>
    </w:p>
    <w:p>
      <w:pPr>
        <w:spacing w:after="0" w:line="117"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The coverage and reimbursement status of newly approved or cleared laboratory tests is uncertain. If we develop in vitro diagnostic tests and decide to seek reimbursement,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29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62"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291" w:lineRule="exact"/>
        <w:rPr>
          <w:sz w:val="20"/>
          <w:szCs w:val="20"/>
          <w:color w:val="auto"/>
        </w:rPr>
      </w:pPr>
    </w:p>
    <w:p>
      <w:pPr>
        <w:ind w:left="660" w:right="620"/>
        <w:spacing w:after="0" w:line="341"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and political uncertainties, which could cause a material adverse effect on our business, financial position, and results of operations.</w:t>
      </w:r>
    </w:p>
    <w:p>
      <w:pPr>
        <w:spacing w:after="0" w:line="17"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We may in the future expand our business and operations into international jurisdictions in which we have limited operating experience, including with respect to seeking regulatory approvals and marketing and selling products and services.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stability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6" w:lineRule="auto"/>
        <w:rPr>
          <w:sz w:val="20"/>
          <w:szCs w:val="20"/>
          <w:color w:val="auto"/>
        </w:rPr>
      </w:pPr>
      <w:r>
        <w:rPr>
          <w:rFonts w:ascii="Arial" w:cs="Arial" w:eastAsia="Arial" w:hAnsi="Arial"/>
          <w:sz w:val="16"/>
          <w:szCs w:val="16"/>
          <w:color w:val="auto"/>
        </w:rPr>
        <w:t>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14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ACA:</w:t>
      </w:r>
    </w:p>
    <w:p>
      <w:pPr>
        <w:spacing w:after="0" w:line="130" w:lineRule="exact"/>
        <w:rPr>
          <w:sz w:val="20"/>
          <w:szCs w:val="20"/>
          <w:color w:val="auto"/>
        </w:rPr>
      </w:pPr>
    </w:p>
    <w:p>
      <w:pPr>
        <w:jc w:val="both"/>
        <w:ind w:left="1080" w:hanging="438"/>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imposed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signed by President Trump on January 22, 2018, was further suspended through December 31, 2019;</w:t>
      </w:r>
    </w:p>
    <w:p>
      <w:pPr>
        <w:spacing w:after="0" w:line="91" w:lineRule="exact"/>
        <w:rPr>
          <w:rFonts w:ascii="Arial" w:cs="Arial" w:eastAsia="Arial" w:hAnsi="Arial"/>
          <w:sz w:val="18"/>
          <w:szCs w:val="18"/>
          <w:color w:val="auto"/>
        </w:rPr>
      </w:pPr>
    </w:p>
    <w:p>
      <w:pPr>
        <w:jc w:val="both"/>
        <w:ind w:left="1080" w:right="20" w:hanging="438"/>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8"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Center for Medicare &amp; Medicaid Innovation at CMS to test innovative payment and service delivery models to lower Medicare and Medicaid spending.</w:t>
      </w:r>
    </w:p>
    <w:p>
      <w:pPr>
        <w:spacing w:after="0" w:line="170"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including, without limitation, the medical device excise tax.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9"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77"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7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4" w:lineRule="auto"/>
        <w:rPr>
          <w:sz w:val="20"/>
          <w:szCs w:val="20"/>
          <w:color w:val="auto"/>
        </w:rPr>
      </w:pPr>
      <w:r>
        <w:rPr>
          <w:rFonts w:ascii="Arial" w:cs="Arial" w:eastAsia="Arial" w:hAnsi="Arial"/>
          <w:sz w:val="16"/>
          <w:szCs w:val="16"/>
          <w:color w:val="auto"/>
        </w:rPr>
        <w:t>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176"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7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suit, we could incur substantial costs and diversion of the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9" w:lineRule="auto"/>
        <w:rPr>
          <w:sz w:val="20"/>
          <w:szCs w:val="20"/>
          <w:color w:val="auto"/>
        </w:rPr>
      </w:pPr>
      <w:r>
        <w:rPr>
          <w:rFonts w:ascii="Arial" w:cs="Arial" w:eastAsia="Arial" w:hAnsi="Arial"/>
          <w:sz w:val="17"/>
          <w:szCs w:val="17"/>
          <w:color w:val="auto"/>
        </w:rPr>
        <w:t>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8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140" w:lineRule="exact"/>
        <w:rPr>
          <w:sz w:val="20"/>
          <w:szCs w:val="20"/>
          <w:color w:val="auto"/>
        </w:rPr>
      </w:pPr>
    </w:p>
    <w:p>
      <w:pPr>
        <w:jc w:val="both"/>
        <w:ind w:left="220" w:right="20" w:firstLine="440"/>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7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299" w:lineRule="exact"/>
        <w:rPr>
          <w:sz w:val="20"/>
          <w:szCs w:val="20"/>
          <w:color w:val="auto"/>
        </w:rPr>
      </w:pPr>
    </w:p>
    <w:p>
      <w:pPr>
        <w:ind w:left="660" w:right="320"/>
        <w:spacing w:after="0" w:line="341"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4" w:lineRule="auto"/>
        <w:rPr>
          <w:sz w:val="20"/>
          <w:szCs w:val="20"/>
          <w:color w:val="auto"/>
        </w:rPr>
      </w:pPr>
      <w:r>
        <w:rPr>
          <w:rFonts w:ascii="Arial" w:cs="Arial" w:eastAsia="Arial" w:hAnsi="Arial"/>
          <w:sz w:val="18"/>
          <w:szCs w:val="18"/>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90"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91"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2" w:lineRule="auto"/>
        <w:rPr>
          <w:sz w:val="20"/>
          <w:szCs w:val="20"/>
          <w:color w:val="auto"/>
        </w:rPr>
      </w:pPr>
      <w:r>
        <w:rPr>
          <w:rFonts w:ascii="Arial" w:cs="Arial" w:eastAsia="Arial" w:hAnsi="Arial"/>
          <w:sz w:val="17"/>
          <w:szCs w:val="17"/>
          <w:color w:val="auto"/>
        </w:rPr>
        <w:t>patent, and the protection it affords, is limited. Even if patents covering our technologies, products, and services are obtained, once the patent life has expired, we may be open to competition from competitive products. Our issued patents will expire on dates ranging from 2033 to 2035, subject to any patent extensions that may be available for such patents. If patents are issued on our pending patent applications, the resulting patents are projected to expire on dates ranging from 2033 to 2038.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284" w:lineRule="exact"/>
        <w:rPr>
          <w:sz w:val="20"/>
          <w:szCs w:val="20"/>
          <w:color w:val="auto"/>
        </w:rPr>
      </w:pPr>
    </w:p>
    <w:p>
      <w:pPr>
        <w:ind w:left="660" w:right="20"/>
        <w:spacing w:after="0" w:line="340" w:lineRule="auto"/>
        <w:rPr>
          <w:sz w:val="20"/>
          <w:szCs w:val="20"/>
          <w:color w:val="auto"/>
        </w:rPr>
      </w:pPr>
      <w:r>
        <w:rPr>
          <w:rFonts w:ascii="Arial" w:cs="Arial" w:eastAsia="Arial" w:hAnsi="Arial"/>
          <w:sz w:val="15"/>
          <w:szCs w:val="15"/>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22"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86"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56"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93"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9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 xml:space="preserve">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0" w:lineRule="auto"/>
        <w:rPr>
          <w:sz w:val="20"/>
          <w:szCs w:val="20"/>
          <w:color w:val="auto"/>
        </w:rPr>
      </w:pPr>
      <w:r>
        <w:rPr>
          <w:rFonts w:ascii="Arial" w:cs="Arial" w:eastAsia="Arial" w:hAnsi="Arial"/>
          <w:sz w:val="16"/>
          <w:szCs w:val="16"/>
          <w:color w:val="auto"/>
        </w:rPr>
        <w:t>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70" w:lineRule="exact"/>
        <w:rPr>
          <w:sz w:val="20"/>
          <w:szCs w:val="20"/>
          <w:color w:val="auto"/>
        </w:rPr>
      </w:pPr>
    </w:p>
    <w:p>
      <w:pPr>
        <w:ind w:left="1080" w:right="20" w:hanging="438"/>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53" w:lineRule="exact"/>
        <w:rPr>
          <w:rFonts w:ascii="Arial" w:cs="Arial" w:eastAsia="Arial" w:hAnsi="Arial"/>
          <w:sz w:val="16"/>
          <w:szCs w:val="16"/>
          <w:color w:val="auto"/>
        </w:rPr>
      </w:pPr>
    </w:p>
    <w:p>
      <w:pPr>
        <w:ind w:left="1080" w:hanging="438"/>
        <w:spacing w:after="0" w:line="307"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7"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4" w:lineRule="exact"/>
        <w:rPr>
          <w:sz w:val="20"/>
          <w:szCs w:val="20"/>
          <w:color w:val="auto"/>
        </w:rPr>
      </w:pPr>
    </w:p>
    <w:p>
      <w:pPr>
        <w:jc w:val="both"/>
        <w:ind w:left="220" w:right="20" w:firstLine="440"/>
        <w:spacing w:after="0" w:line="311"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6" w:lineRule="auto"/>
        <w:rPr>
          <w:sz w:val="20"/>
          <w:szCs w:val="20"/>
          <w:color w:val="auto"/>
        </w:rPr>
      </w:pPr>
      <w:r>
        <w:rPr>
          <w:rFonts w:ascii="Arial" w:cs="Arial" w:eastAsia="Arial" w:hAnsi="Arial"/>
          <w:sz w:val="17"/>
          <w:szCs w:val="17"/>
          <w:color w:val="auto"/>
        </w:rPr>
        <w:t>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5" w:lineRule="exact"/>
        <w:rPr>
          <w:sz w:val="20"/>
          <w:szCs w:val="20"/>
          <w:color w:val="auto"/>
        </w:rPr>
      </w:pPr>
    </w:p>
    <w:p>
      <w:pPr>
        <w:jc w:val="both"/>
        <w:ind w:left="220" w:firstLine="440"/>
        <w:spacing w:after="0" w:line="285"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279" w:lineRule="exact"/>
        <w:rPr>
          <w:sz w:val="20"/>
          <w:szCs w:val="20"/>
          <w:color w:val="auto"/>
        </w:rPr>
      </w:pPr>
    </w:p>
    <w:p>
      <w:pPr>
        <w:ind w:left="660" w:right="9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jc w:val="both"/>
        <w:ind w:left="220" w:firstLine="440"/>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40"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7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70"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1" w:lineRule="auto"/>
        <w:rPr>
          <w:sz w:val="20"/>
          <w:szCs w:val="20"/>
          <w:color w:val="auto"/>
        </w:rPr>
      </w:pPr>
      <w:r>
        <w:rPr>
          <w:rFonts w:ascii="Arial" w:cs="Arial" w:eastAsia="Arial" w:hAnsi="Arial"/>
          <w:sz w:val="17"/>
          <w:szCs w:val="17"/>
          <w:color w:val="auto"/>
        </w:rPr>
        <w:t>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7"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jc w:val="both"/>
        <w:ind w:left="220" w:firstLine="440"/>
        <w:spacing w:after="0" w:line="285"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8"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288"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62"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70"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90"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62"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5" w:lineRule="auto"/>
        <w:rPr>
          <w:sz w:val="20"/>
          <w:szCs w:val="20"/>
          <w:color w:val="auto"/>
        </w:rPr>
      </w:pPr>
      <w:r>
        <w:rPr>
          <w:rFonts w:ascii="Arial" w:cs="Arial" w:eastAsia="Arial" w:hAnsi="Arial"/>
          <w:sz w:val="16"/>
          <w:szCs w:val="16"/>
          <w:color w:val="auto"/>
        </w:rPr>
        <w:t>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2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2"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29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75" w:lineRule="exact"/>
        <w:rPr>
          <w:sz w:val="20"/>
          <w:szCs w:val="20"/>
          <w:color w:val="auto"/>
        </w:rPr>
      </w:pPr>
    </w:p>
    <w:p>
      <w:pPr>
        <w:ind w:left="1080" w:hanging="438"/>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may elect not to continue or renew development or commercialization programs based on trial or test results, changes in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their strategic focus due to the acquisition of competitive products, availability of funding, or other external factors, such as a business combination that diverts resources or creates competing priorities;</w:t>
      </w:r>
    </w:p>
    <w:p>
      <w:pPr>
        <w:spacing w:after="0" w:line="75" w:lineRule="exact"/>
        <w:rPr>
          <w:sz w:val="20"/>
          <w:szCs w:val="20"/>
          <w:color w:val="auto"/>
        </w:rPr>
      </w:pPr>
    </w:p>
    <w:p>
      <w:pPr>
        <w:ind w:left="1080" w:hanging="438"/>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41" w:lineRule="exact"/>
        <w:rPr>
          <w:rFonts w:ascii="Arial" w:cs="Arial" w:eastAsia="Arial" w:hAnsi="Arial"/>
          <w:sz w:val="17"/>
          <w:szCs w:val="17"/>
          <w:color w:val="auto"/>
        </w:rPr>
      </w:pPr>
    </w:p>
    <w:p>
      <w:pPr>
        <w:ind w:left="1080" w:right="20" w:hanging="438"/>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8" w:lineRule="exact"/>
        <w:rPr>
          <w:rFonts w:ascii="Arial" w:cs="Arial" w:eastAsia="Arial" w:hAnsi="Arial"/>
          <w:sz w:val="18"/>
          <w:szCs w:val="18"/>
          <w:color w:val="auto"/>
        </w:rPr>
      </w:pPr>
    </w:p>
    <w:p>
      <w:pPr>
        <w:ind w:left="1080" w:right="20" w:hanging="438"/>
        <w:spacing w:after="0" w:line="34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30" w:lineRule="exact"/>
        <w:rPr>
          <w:rFonts w:ascii="Arial" w:cs="Arial" w:eastAsia="Arial" w:hAnsi="Arial"/>
          <w:sz w:val="16"/>
          <w:szCs w:val="16"/>
          <w:color w:val="auto"/>
        </w:rPr>
      </w:pPr>
    </w:p>
    <w:p>
      <w:pPr>
        <w:ind w:left="1080" w:right="20" w:hanging="438"/>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75"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128"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As a public company, we will be subject to the reporting requirements of the Securities Exchange Act of 1934, as amended (the “Exchange Act”), the Sarbanes-Oxley Act of 2002, as amended (the “Sarbanes-Oxley Act”), the Dodd-Frank Wall Street Reform and Consumer Protection Act, the listing requirements of the stock exchange on which we will list,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86"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6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78" w:lineRule="exact"/>
        <w:rPr>
          <w:sz w:val="20"/>
          <w:szCs w:val="20"/>
          <w:color w:val="auto"/>
        </w:rPr>
      </w:pPr>
    </w:p>
    <w:p>
      <w:pPr>
        <w:ind w:left="660" w:right="20"/>
        <w:spacing w:after="0" w:line="30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88" w:lineRule="exact"/>
        <w:rPr>
          <w:sz w:val="20"/>
          <w:szCs w:val="20"/>
          <w:color w:val="auto"/>
        </w:rPr>
      </w:pPr>
    </w:p>
    <w:p>
      <w:pPr>
        <w:ind w:left="1080" w:right="20" w:hanging="438"/>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this offering. Our status as an emerging growth company will end as soon as any of the following takes place:</w:t>
      </w:r>
    </w:p>
    <w:p>
      <w:pPr>
        <w:spacing w:after="0" w:line="75" w:lineRule="exact"/>
        <w:rPr>
          <w:sz w:val="20"/>
          <w:szCs w:val="20"/>
          <w:color w:val="auto"/>
        </w:rPr>
      </w:pPr>
    </w:p>
    <w:p>
      <w:pPr>
        <w:ind w:left="1080" w:hanging="438"/>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closing of this offering.</w:t>
      </w:r>
    </w:p>
    <w:p>
      <w:pPr>
        <w:spacing w:after="0" w:line="22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29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62"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connection with preparation of our financial statements for the years ended December 31, 2017 and 2018, management identified a material weakness in our internal controls due to a lack of sufficient full-time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9" w:lineRule="auto"/>
        <w:rPr>
          <w:sz w:val="20"/>
          <w:szCs w:val="20"/>
          <w:color w:val="auto"/>
        </w:rPr>
      </w:pPr>
      <w:r>
        <w:rPr>
          <w:rFonts w:ascii="Arial" w:cs="Arial" w:eastAsia="Arial" w:hAnsi="Arial"/>
          <w:sz w:val="18"/>
          <w:szCs w:val="18"/>
          <w:color w:val="auto"/>
        </w:rPr>
        <w:t>accounting staff with requisite experience and deep technical accounting knowledge to (i) identify and resolve complex accounting issues under generally accepted accounting principles in the United States (“GAAP”) and (ii) allow for appropriate segregation of duties. The identified material weakness could result in misstatements to our consolidated financial statements that would be material and would not be prevented or detected on a timely basis.</w:t>
      </w:r>
    </w:p>
    <w:p>
      <w:pPr>
        <w:spacing w:after="0" w:line="186"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are evaluating and implementing additional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hired a new Chief Financial Officer in March 2019 and are actively working to hire additional accounting employees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7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Upon closing of this offering, we will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w:t>
      </w:r>
    </w:p>
    <w:p>
      <w:pPr>
        <w:spacing w:after="0" w:line="19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We have applied to list our common stock on The Nasdaq Global Market under the symbol “PSNL.”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You may not be able to resell your shares at or above the initial public offering price and may lose all or part of your investment.</w:t>
      </w:r>
    </w:p>
    <w:p>
      <w:pPr>
        <w:spacing w:after="0" w:line="75"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 of our common stock may fluctuate or decline significantly in response to numerous factors, many of which are beyond our control, including:</w:t>
      </w:r>
    </w:p>
    <w:p>
      <w:pPr>
        <w:spacing w:after="0" w:line="81" w:lineRule="exact"/>
        <w:rPr>
          <w:sz w:val="20"/>
          <w:szCs w:val="20"/>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 and</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70"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77" w:lineRule="auto"/>
        <w:rPr>
          <w:sz w:val="20"/>
          <w:szCs w:val="20"/>
          <w:color w:val="auto"/>
        </w:rPr>
      </w:pPr>
      <w:r>
        <w:rPr>
          <w:rFonts w:ascii="Arial" w:cs="Arial" w:eastAsia="Arial" w:hAnsi="Arial"/>
          <w:sz w:val="18"/>
          <w:szCs w:val="18"/>
          <w:color w:val="auto"/>
        </w:rPr>
        <w:t>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17"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to us at any particular time or at all. The rate at which we receive tissue samples can vary dramatically from quarter to quarter, and is difficult or impossible for us to accurately forecast. Our receipt and processing of tissue samples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Our directors, executive officers, and 5% or greater stockholders and their affiliates beneficially owned, in the aggregate, approximately 75.9% of our outstanding capital stock as of March 31, 2019. Upon the closing of this offering, this same group will hold approximately % of our outstanding capital stock. As a result, these stockholders will be able to exercise significant influence over all matters submitted to our stockholders for approval, including the election of directors and approval of significant corporate transactions, such as a merger or sale of our company or its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40"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If our existing stockholders sell, or indicate an intent to sell, substantial amounts of our common stock in the public market after the 180-day contractual lock-up and other legal restrictions on resale discussed in this prospectus lapse, the trading price of our common stock could decline significantly and could decline below the initial public offering price. Based on 87,318,814 shares outstanding as of March 31, 2019 (and assuming the</w:t>
      </w:r>
    </w:p>
    <w:p>
      <w:pPr>
        <w:spacing w:after="0" w:line="2" w:lineRule="exact"/>
        <w:rPr>
          <w:sz w:val="20"/>
          <w:szCs w:val="20"/>
          <w:color w:val="auto"/>
        </w:rPr>
      </w:pPr>
    </w:p>
    <w:p>
      <w:pPr>
        <w:jc w:val="both"/>
        <w:ind w:left="220"/>
        <w:spacing w:after="0" w:line="264" w:lineRule="auto"/>
        <w:rPr>
          <w:sz w:val="20"/>
          <w:szCs w:val="20"/>
          <w:color w:val="auto"/>
        </w:rPr>
      </w:pPr>
      <w:r>
        <w:rPr>
          <w:rFonts w:ascii="Arial" w:cs="Arial" w:eastAsia="Arial" w:hAnsi="Arial"/>
          <w:sz w:val="17"/>
          <w:szCs w:val="17"/>
          <w:color w:val="auto"/>
        </w:rPr>
        <w:t>exercise in full of a warrant exercisable for 754,573 shares of common stock), upon the closing of this offering, we will have outstanding shares of common stock. Of these shares, the shares of common stock sold in this offering, plus any shares sold pursuant to the underwriters’</w:t>
      </w:r>
    </w:p>
    <w:p>
      <w:pPr>
        <w:spacing w:after="0" w:line="2" w:lineRule="exact"/>
        <w:rPr>
          <w:sz w:val="20"/>
          <w:szCs w:val="20"/>
          <w:color w:val="auto"/>
        </w:rPr>
      </w:pPr>
    </w:p>
    <w:p>
      <w:pPr>
        <w:jc w:val="both"/>
        <w:ind w:left="220"/>
        <w:spacing w:after="0" w:line="295" w:lineRule="auto"/>
        <w:rPr>
          <w:sz w:val="20"/>
          <w:szCs w:val="20"/>
          <w:color w:val="auto"/>
        </w:rPr>
      </w:pPr>
      <w:r>
        <w:rPr>
          <w:rFonts w:ascii="Arial" w:cs="Arial" w:eastAsia="Arial" w:hAnsi="Arial"/>
          <w:sz w:val="16"/>
          <w:szCs w:val="16"/>
          <w:color w:val="auto"/>
        </w:rPr>
        <w:t>option to purchase additional shares, will be immediately freely tradable, without restriction, in the public market, unless they are purchased in this offering by our affiliates, as that term is defined in Rule 144 under the Securities Act of 1933, as amended (the “Securities Act”). Morgan Stanley &amp; Co. LLC, BofA Securities, Inc., and Cowen and Company, LLC, however, may, in their discretion, permit our officers, directors, and other stockholders who have entered to lock-up agreements in connection with this offering to sell shares prior to the expiration of the lock-up agreements.</w:t>
      </w:r>
    </w:p>
    <w:p>
      <w:pPr>
        <w:spacing w:after="0" w:line="16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After the lock-up agreements pertaining to this offering expire, substantially all of such shares will be eligible for sale in the public market. In addition, upon issuance, the 17,527,536 shares of common stock subject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to outstanding options under our stock option plans as March 31, 2019 will become eligible for sale in the public market in the future, subject to certain legal and contractual limitations. Moreover, 180 days after the closing of this offering, holders of up to an aggregate of 75,163,941 shares of our common stock (including an aggregate of 510,393 shares issuable upon the exercise of warrants that were outstanding as of March 31, 2019) will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91" w:lineRule="exact"/>
        <w:rPr>
          <w:sz w:val="20"/>
          <w:szCs w:val="20"/>
          <w:color w:val="auto"/>
        </w:rPr>
      </w:pPr>
    </w:p>
    <w:p>
      <w:pPr>
        <w:jc w:val="both"/>
        <w:ind w:left="220" w:right="20" w:firstLine="440"/>
        <w:spacing w:after="0" w:line="273" w:lineRule="auto"/>
        <w:rPr>
          <w:sz w:val="20"/>
          <w:szCs w:val="20"/>
          <w:color w:val="auto"/>
        </w:rPr>
      </w:pPr>
      <w:r>
        <w:rPr>
          <w:rFonts w:ascii="Arial" w:cs="Arial" w:eastAsia="Arial" w:hAnsi="Arial"/>
          <w:sz w:val="17"/>
          <w:szCs w:val="17"/>
          <w:color w:val="auto"/>
        </w:rPr>
        <w:t>We also intend to register shares of our common stock that we may issue under our equity incentive plans, totaling shares subject to outstanding options and additional shares reserved for issuance as of the closing of this offering. Once we register these shares, they will be</w:t>
      </w:r>
    </w:p>
    <w:p>
      <w:pPr>
        <w:spacing w:after="0" w:line="1"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freely tradable in the public market upon issuance, subject to volume and manner of sale limitations applicable to affiliates and other legal and contractual limitations.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applying the net proceeds we receive from this offering for any of the purposes described in section titled “Use of Proceeds.” You will not have the opportunity, as part of your investment decision, to assess whether we are using the net proceeds appropriately, and you will be relying on the judgment of our management regarding the use of these net proceeds. Our management may not apply the net proceeds in ways that increase the value of your investment. If our management fails to use these funds effectively, our business could be seriously harmed. Pending their use, the net proceeds from this offering may be invested in a way that does not produce income or that loses value.</w:t>
      </w:r>
    </w:p>
    <w:p>
      <w:pPr>
        <w:spacing w:after="0" w:line="27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62"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As of December 31, 2018, we had federal and state net operating loss carryforwards of approximately $87 million and approximately $48.6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federal net operating losses incurred in 2018 and in future years may be carried forward indefinitely, but the deductibility of such federal net operating losses is limited. It is uncertain if and to what extent various states will conform to the Tax Cuts and Jobs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It is possible that we have experienced an ownership change or that we will experience one in connection with this offering.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as of</w:t>
      </w:r>
    </w:p>
    <w:p>
      <w:pPr>
        <w:spacing w:after="0" w:line="46" w:lineRule="exact"/>
        <w:rPr>
          <w:sz w:val="20"/>
          <w:szCs w:val="20"/>
          <w:color w:val="auto"/>
        </w:rPr>
      </w:pPr>
    </w:p>
    <w:p>
      <w:pPr>
        <w:jc w:val="both"/>
        <w:ind w:left="220"/>
        <w:spacing w:after="0" w:line="264" w:lineRule="auto"/>
        <w:rPr>
          <w:sz w:val="20"/>
          <w:szCs w:val="20"/>
          <w:color w:val="auto"/>
        </w:rPr>
      </w:pPr>
      <w:r>
        <w:rPr>
          <w:rFonts w:ascii="Arial" w:cs="Arial" w:eastAsia="Arial" w:hAnsi="Arial"/>
          <w:sz w:val="17"/>
          <w:szCs w:val="17"/>
          <w:color w:val="auto"/>
        </w:rPr>
        <w:t>March 31, 2019. Therefore, if you purchase our common stock in this offering, you will incur immediate dilution of $ per share, based on an assumed initial public offering price of $ per share, which is the midpoint of the price range on the cover page of this prospectus. This dilution is</w:t>
      </w:r>
    </w:p>
    <w:p>
      <w:pPr>
        <w:spacing w:after="0" w:line="2" w:lineRule="exact"/>
        <w:rPr>
          <w:sz w:val="20"/>
          <w:szCs w:val="20"/>
          <w:color w:val="auto"/>
        </w:rPr>
      </w:pPr>
    </w:p>
    <w:p>
      <w:pPr>
        <w:jc w:val="both"/>
        <w:ind w:left="220"/>
        <w:spacing w:after="0" w:line="186" w:lineRule="auto"/>
        <w:rPr>
          <w:sz w:val="20"/>
          <w:szCs w:val="20"/>
          <w:color w:val="auto"/>
        </w:rPr>
      </w:pPr>
      <w:r>
        <w:rPr>
          <w:rFonts w:ascii="Arial" w:cs="Arial" w:eastAsia="Arial" w:hAnsi="Arial"/>
          <w:sz w:val="12"/>
          <w:szCs w:val="12"/>
          <w:color w:val="auto"/>
        </w:rPr>
        <w:t>due to the substantially lower price paid by our investors who purchased shares prior to this offering as compared to the price offered to the public in this offering, and any previous exercise of stock options granted to our service providers. In addition, as of March 31, 2019, options to purchase 17,527,536 shares of our common stock with a weighted-average exercise price of approximately $0.9049 per share were outstanding. The exercise of any of these options would result in additional dilution. As a result of the dilution to investors purchasing shares in this offering, investors may receive less than the purchase price paid in this offering, if anything, in the event of our liquidation. In addition, new investors who purchase shares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offering will contribute approximately % of the total amount of equity capital raised by us through the date of this offering, but will only own approximately % of the outstanding equity capital. For a detailed description of the dilution that you will experience immediately after this offering, see the section titled “Dilution.”</w:t>
      </w:r>
    </w:p>
    <w:p>
      <w:pPr>
        <w:spacing w:after="0" w:line="291" w:lineRule="exact"/>
        <w:rPr>
          <w:sz w:val="20"/>
          <w:szCs w:val="20"/>
          <w:color w:val="auto"/>
        </w:rPr>
      </w:pPr>
    </w:p>
    <w:p>
      <w:pPr>
        <w:jc w:val="both"/>
        <w:ind w:left="660" w:right="10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 including the holders of shares of our common stock sold in this offering.</w:t>
      </w:r>
    </w:p>
    <w:p>
      <w:pPr>
        <w:spacing w:after="0" w:line="29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62"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closing of this offering,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1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on the closing of this offering could make a merger, tender offer, or proxy contest difficult, thereby depressing the trading price of our common stock.</w:t>
      </w:r>
    </w:p>
    <w:p>
      <w:pPr>
        <w:spacing w:after="0" w:line="75"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that will be in effect on the closing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70" w:lineRule="exact"/>
        <w:rPr>
          <w:sz w:val="20"/>
          <w:szCs w:val="20"/>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each of which will be in effect on the closing of this offering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For information regarding these and other provisions, see the section titled “Description of Capital Stock—Anti-Takeover Effects of Delaware Law and Our Certificate of Incorporation and Bylaws.”</w:t>
      </w:r>
    </w:p>
    <w:p>
      <w:pPr>
        <w:spacing w:after="0" w:line="29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 in effect on the closing of this offering will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8" w:lineRule="exact"/>
        <w:rPr>
          <w:sz w:val="20"/>
          <w:szCs w:val="20"/>
          <w:color w:val="auto"/>
        </w:rPr>
      </w:pPr>
    </w:p>
    <w:p>
      <w:pPr>
        <w:ind w:left="220" w:firstLine="440"/>
        <w:spacing w:after="0" w:line="341" w:lineRule="auto"/>
        <w:rPr>
          <w:sz w:val="20"/>
          <w:szCs w:val="20"/>
          <w:color w:val="auto"/>
        </w:rPr>
      </w:pPr>
      <w:r>
        <w:rPr>
          <w:rFonts w:ascii="Arial" w:cs="Arial" w:eastAsia="Arial" w:hAnsi="Arial"/>
          <w:sz w:val="16"/>
          <w:szCs w:val="16"/>
          <w:color w:val="auto"/>
        </w:rPr>
        <w:t>Our amended and restated certificate of incorporation that will be in effect on the closing of this offering will provide that the Court of Chancery of the State of Delaware is the exclusive forum for the following types of actions or proceedings under Delaware statutory or common law:</w:t>
      </w:r>
    </w:p>
    <w:p>
      <w:pPr>
        <w:spacing w:after="0" w:line="30" w:lineRule="exact"/>
        <w:rPr>
          <w:sz w:val="20"/>
          <w:szCs w:val="20"/>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governed by the internal affairs doctrine.</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federal courts have exclusive jurisdiction.</w:t>
      </w:r>
    </w:p>
    <w:p>
      <w:pPr>
        <w:spacing w:after="0" w:line="210"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Our amended and restated certificate of incorporation that will be in effect on the closing of this offering will further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5"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that will be in effect on the closing of this offering to be inapplicable or unenforceable in an action, we may incur additional costs associated with resolving the dispute in other jurisdictions, which could seriously harm our business.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may be reviewed and ultimately overturned by the Delaware Supreme Court.</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in this prospectus include, but are not limited to, statements about:</w:t>
      </w:r>
    </w:p>
    <w:p>
      <w:pPr>
        <w:spacing w:after="0" w:line="99" w:lineRule="exact"/>
        <w:rPr>
          <w:sz w:val="20"/>
          <w:szCs w:val="20"/>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expectations regarding our relationship with the VA MVP;</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belief that FDA approval of personalized cancer therapies may drive benefits to our business;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uses of proceeds from this offering.</w:t>
      </w:r>
    </w:p>
    <w:p>
      <w:pPr>
        <w:spacing w:after="0" w:line="225"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0"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This prospectus contains estimates and information concerning our industry and our business, including estimated market size, projected growth rates of the markets in which we participate,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6"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This information involves a number of assumptions and limitations, and you are cautioned not to give undue weight to these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5" w:lineRule="exact"/>
        <w:rPr>
          <w:sz w:val="20"/>
          <w:szCs w:val="20"/>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U.S. National Library of Medicine, </w:t>
      </w:r>
      <w:r>
        <w:rPr>
          <w:rFonts w:ascii="Arial" w:cs="Arial" w:eastAsia="Arial" w:hAnsi="Arial"/>
          <w:sz w:val="18"/>
          <w:szCs w:val="18"/>
          <w:i w:val="1"/>
          <w:iCs w:val="1"/>
          <w:color w:val="auto"/>
        </w:rPr>
        <w:t>ClinicalTrials.gov</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Public Health Faculty Publications, </w:t>
      </w:r>
      <w:r>
        <w:rPr>
          <w:rFonts w:ascii="Arial" w:cs="Arial" w:eastAsia="Arial" w:hAnsi="Arial"/>
          <w:sz w:val="18"/>
          <w:szCs w:val="18"/>
          <w:i w:val="1"/>
          <w:iCs w:val="1"/>
          <w:color w:val="auto"/>
        </w:rPr>
        <w:t>SEER Cancer Statistics Review</w:t>
      </w:r>
      <w:r>
        <w:rPr>
          <w:rFonts w:ascii="Arial" w:cs="Arial" w:eastAsia="Arial" w:hAnsi="Arial"/>
          <w:sz w:val="18"/>
          <w:szCs w:val="18"/>
          <w:color w:val="auto"/>
        </w:rPr>
        <w:t>, 1975-2015.</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American Cancer Society, </w:t>
      </w:r>
      <w:r>
        <w:rPr>
          <w:rFonts w:ascii="Arial" w:cs="Arial" w:eastAsia="Arial" w:hAnsi="Arial"/>
          <w:sz w:val="18"/>
          <w:szCs w:val="18"/>
          <w:i w:val="1"/>
          <w:iCs w:val="1"/>
          <w:color w:val="auto"/>
        </w:rPr>
        <w:t>Cancer Facts and Figures 2019</w:t>
      </w:r>
      <w:r>
        <w:rPr>
          <w:rFonts w:ascii="Arial" w:cs="Arial" w:eastAsia="Arial" w:hAnsi="Arial"/>
          <w:sz w:val="18"/>
          <w:szCs w:val="18"/>
          <w:color w:val="auto"/>
        </w:rPr>
        <w:t>, 2019.</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American Cancer Society, </w:t>
      </w:r>
      <w:r>
        <w:rPr>
          <w:rFonts w:ascii="Arial" w:cs="Arial" w:eastAsia="Arial" w:hAnsi="Arial"/>
          <w:sz w:val="18"/>
          <w:szCs w:val="18"/>
          <w:i w:val="1"/>
          <w:iCs w:val="1"/>
          <w:color w:val="auto"/>
        </w:rPr>
        <w:t>Cancer Facts and Figures 2018</w:t>
      </w:r>
      <w:r>
        <w:rPr>
          <w:rFonts w:ascii="Arial" w:cs="Arial" w:eastAsia="Arial" w:hAnsi="Arial"/>
          <w:sz w:val="18"/>
          <w:szCs w:val="18"/>
          <w:color w:val="auto"/>
        </w:rPr>
        <w:t>, 2018.</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BIO Industry Analysis, </w:t>
      </w:r>
      <w:r>
        <w:rPr>
          <w:rFonts w:ascii="Arial" w:cs="Arial" w:eastAsia="Arial" w:hAnsi="Arial"/>
          <w:sz w:val="18"/>
          <w:szCs w:val="18"/>
          <w:i w:val="1"/>
          <w:iCs w:val="1"/>
          <w:color w:val="auto"/>
        </w:rPr>
        <w:t>Clinical Development Success Rates 2006-2015</w:t>
      </w:r>
      <w:r>
        <w:rPr>
          <w:rFonts w:ascii="Arial" w:cs="Arial" w:eastAsia="Arial" w:hAnsi="Arial"/>
          <w:sz w:val="18"/>
          <w:szCs w:val="18"/>
          <w:color w:val="auto"/>
        </w:rPr>
        <w:t>, June 2016.</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European Journal of Cancer, </w:t>
      </w:r>
      <w:r>
        <w:rPr>
          <w:rFonts w:ascii="Arial" w:cs="Arial" w:eastAsia="Arial" w:hAnsi="Arial"/>
          <w:sz w:val="18"/>
          <w:szCs w:val="18"/>
          <w:i w:val="1"/>
          <w:iCs w:val="1"/>
          <w:color w:val="auto"/>
        </w:rPr>
        <w:t>Cancer incidence and mortality patterns in Europe: Estimates for 40 countries and 25 major cancers in 2018</w:t>
      </w:r>
      <w:r>
        <w:rPr>
          <w:rFonts w:ascii="Arial" w:cs="Arial" w:eastAsia="Arial" w:hAnsi="Arial"/>
          <w:sz w:val="18"/>
          <w:szCs w:val="18"/>
          <w:color w:val="auto"/>
        </w:rPr>
        <w:t>, August, 9 2018.</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World Health Organization, Latest global cancer data: </w:t>
      </w:r>
      <w:r>
        <w:rPr>
          <w:rFonts w:ascii="Arial" w:cs="Arial" w:eastAsia="Arial" w:hAnsi="Arial"/>
          <w:sz w:val="18"/>
          <w:szCs w:val="18"/>
          <w:i w:val="1"/>
          <w:iCs w:val="1"/>
          <w:color w:val="auto"/>
        </w:rPr>
        <w:t>Cancer burden rises to 18.1 million new cases and 9.6 million cancer deaths in 2018</w:t>
      </w:r>
      <w:r>
        <w:rPr>
          <w:rFonts w:ascii="Arial" w:cs="Arial" w:eastAsia="Arial" w:hAnsi="Arial"/>
          <w:sz w:val="18"/>
          <w:szCs w:val="18"/>
          <w:color w:val="auto"/>
        </w:rPr>
        <w:t>, September 12, 2018.</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World Health Organization, </w:t>
      </w:r>
      <w:r>
        <w:rPr>
          <w:rFonts w:ascii="Arial" w:cs="Arial" w:eastAsia="Arial" w:hAnsi="Arial"/>
          <w:sz w:val="18"/>
          <w:szCs w:val="18"/>
          <w:i w:val="1"/>
          <w:iCs w:val="1"/>
          <w:color w:val="auto"/>
        </w:rPr>
        <w:t>World’s health ministers renew commitment to cancer prevention and control</w:t>
      </w:r>
      <w:r>
        <w:rPr>
          <w:rFonts w:ascii="Arial" w:cs="Arial" w:eastAsia="Arial" w:hAnsi="Arial"/>
          <w:sz w:val="18"/>
          <w:szCs w:val="18"/>
          <w:color w:val="auto"/>
        </w:rPr>
        <w:t>, 2017.</w:t>
      </w:r>
    </w:p>
    <w:p>
      <w:pPr>
        <w:spacing w:after="0" w:line="22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 xml:space="preserve">We use multiple sources and assumptions to estimate the total addressable market for tissue and liquid biopsy testing in clinical trials for immunotherapy, targeted cancer therapy, and personalized cancer therapy. Our estimates of the number of patients and clinical trials are based on data from the U.S. National Library of Medicine, </w:t>
      </w:r>
      <w:r>
        <w:rPr>
          <w:rFonts w:ascii="Arial" w:cs="Arial" w:eastAsia="Arial" w:hAnsi="Arial"/>
          <w:sz w:val="18"/>
          <w:szCs w:val="18"/>
          <w:i w:val="1"/>
          <w:iCs w:val="1"/>
          <w:color w:val="auto"/>
        </w:rPr>
        <w:t>ClinicalTrials.gov</w:t>
      </w:r>
      <w:r>
        <w:rPr>
          <w:rFonts w:ascii="Arial" w:cs="Arial" w:eastAsia="Arial" w:hAnsi="Arial"/>
          <w:sz w:val="18"/>
          <w:szCs w:val="18"/>
          <w:color w:val="auto"/>
        </w:rPr>
        <w:t>, January 2019. We assume that patients in such clinical trials will receive one tumor biopsy test and three liquid biopsy tests over the course of a clinical trial, and the cost of tumor and liquid biopsy tests will be $5,000 and $7,000 on average, respectively.</w:t>
      </w:r>
    </w:p>
    <w:p>
      <w:pPr>
        <w:spacing w:after="0" w:line="191"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 xml:space="preserve">We also use multiple sources and assumptions to estimate the total addressable market for tissue and liquid biopsy testing in personalized cancer therapy. Our estimate of the number of cancer patients that are projected to be diagnosed with late-stage disease in 2019 is based on a combination of data derived from Public Health Faculty Publications, </w:t>
      </w:r>
      <w:r>
        <w:rPr>
          <w:rFonts w:ascii="Arial" w:cs="Arial" w:eastAsia="Arial" w:hAnsi="Arial"/>
          <w:sz w:val="17"/>
          <w:szCs w:val="17"/>
          <w:i w:val="1"/>
          <w:iCs w:val="1"/>
          <w:color w:val="auto"/>
        </w:rPr>
        <w:t>SEER Cancer Statistics Review</w:t>
      </w:r>
      <w:r>
        <w:rPr>
          <w:rFonts w:ascii="Arial" w:cs="Arial" w:eastAsia="Arial" w:hAnsi="Arial"/>
          <w:sz w:val="17"/>
          <w:szCs w:val="17"/>
          <w:color w:val="auto"/>
        </w:rPr>
        <w:t xml:space="preserve">, 1975-2015 (only data relating to cancer cases diagnosed—and the respective stage of disease upon diagnosis—from 2008 to 2014 was used for our purposes), American Cancer Society, </w:t>
      </w:r>
      <w:r>
        <w:rPr>
          <w:rFonts w:ascii="Arial" w:cs="Arial" w:eastAsia="Arial" w:hAnsi="Arial"/>
          <w:sz w:val="17"/>
          <w:szCs w:val="17"/>
          <w:i w:val="1"/>
          <w:iCs w:val="1"/>
          <w:color w:val="auto"/>
        </w:rPr>
        <w:t>Cancer Facts and Figures 2018</w:t>
      </w:r>
      <w:r>
        <w:rPr>
          <w:rFonts w:ascii="Arial" w:cs="Arial" w:eastAsia="Arial" w:hAnsi="Arial"/>
          <w:sz w:val="17"/>
          <w:szCs w:val="17"/>
          <w:color w:val="auto"/>
        </w:rPr>
        <w:t xml:space="preserve">, 2018, American Cancer Society, </w:t>
      </w:r>
      <w:r>
        <w:rPr>
          <w:rFonts w:ascii="Arial" w:cs="Arial" w:eastAsia="Arial" w:hAnsi="Arial"/>
          <w:sz w:val="17"/>
          <w:szCs w:val="17"/>
          <w:i w:val="1"/>
          <w:iCs w:val="1"/>
          <w:color w:val="auto"/>
        </w:rPr>
        <w:t>Cancer Facts and Figures 2019</w:t>
      </w:r>
      <w:r>
        <w:rPr>
          <w:rFonts w:ascii="Arial" w:cs="Arial" w:eastAsia="Arial" w:hAnsi="Arial"/>
          <w:sz w:val="17"/>
          <w:szCs w:val="17"/>
          <w:color w:val="auto"/>
        </w:rPr>
        <w:t xml:space="preserve">, 2019, and a review article from the European Journal of Cancer, </w:t>
      </w:r>
      <w:r>
        <w:rPr>
          <w:rFonts w:ascii="Arial" w:cs="Arial" w:eastAsia="Arial" w:hAnsi="Arial"/>
          <w:sz w:val="17"/>
          <w:szCs w:val="17"/>
          <w:i w:val="1"/>
          <w:iCs w:val="1"/>
          <w:color w:val="auto"/>
        </w:rPr>
        <w:t>Cancer incidence and</w:t>
      </w:r>
      <w:r>
        <w:rPr>
          <w:rFonts w:ascii="Arial" w:cs="Arial" w:eastAsia="Arial" w:hAnsi="Arial"/>
          <w:sz w:val="17"/>
          <w:szCs w:val="17"/>
          <w:color w:val="auto"/>
        </w:rPr>
        <w:t xml:space="preserve"> </w:t>
      </w:r>
      <w:r>
        <w:rPr>
          <w:rFonts w:ascii="Arial" w:cs="Arial" w:eastAsia="Arial" w:hAnsi="Arial"/>
          <w:sz w:val="17"/>
          <w:szCs w:val="17"/>
          <w:i w:val="1"/>
          <w:iCs w:val="1"/>
          <w:color w:val="auto"/>
        </w:rPr>
        <w:t>mortality patterns in Europe: Estimates for 40 countries and 25 major cancers in 2018</w:t>
      </w:r>
      <w:r>
        <w:rPr>
          <w:rFonts w:ascii="Arial" w:cs="Arial" w:eastAsia="Arial" w:hAnsi="Arial"/>
          <w:sz w:val="17"/>
          <w:szCs w:val="17"/>
          <w:color w:val="auto"/>
        </w:rPr>
        <w:t>, August 9, 2018. We assume that personalized cancer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will receive one tumor biopsy test and three liquid biopsy tests over the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course of a clinical trial or treatment, with the average cost per test being the same as is outlined above in the United States and $3,000 and $4,200 on average per test, respectively, in the European Union.</w:t>
      </w:r>
    </w:p>
    <w:p>
      <w:pPr>
        <w:spacing w:after="0" w:line="170"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 xml:space="preserve">We also use multiple sources and assumptions to estimate the total addressable market for oncology clinical diagnostic testing for advanced cancer therapies. Our estimate of the number of cancer patients that are projected to be diagnosed in 2019 is based on a combination of data derived from the American Cancer Society, </w:t>
      </w:r>
      <w:r>
        <w:rPr>
          <w:rFonts w:ascii="Arial" w:cs="Arial" w:eastAsia="Arial" w:hAnsi="Arial"/>
          <w:sz w:val="16"/>
          <w:szCs w:val="16"/>
          <w:i w:val="1"/>
          <w:iCs w:val="1"/>
          <w:color w:val="auto"/>
        </w:rPr>
        <w:t>Cancer Facts and Figures 2018</w:t>
      </w:r>
      <w:r>
        <w:rPr>
          <w:rFonts w:ascii="Arial" w:cs="Arial" w:eastAsia="Arial" w:hAnsi="Arial"/>
          <w:sz w:val="16"/>
          <w:szCs w:val="16"/>
          <w:color w:val="auto"/>
        </w:rPr>
        <w:t xml:space="preserve">, 2018, American Cancer Society, </w:t>
      </w:r>
      <w:r>
        <w:rPr>
          <w:rFonts w:ascii="Arial" w:cs="Arial" w:eastAsia="Arial" w:hAnsi="Arial"/>
          <w:sz w:val="16"/>
          <w:szCs w:val="16"/>
          <w:i w:val="1"/>
          <w:iCs w:val="1"/>
          <w:color w:val="auto"/>
        </w:rPr>
        <w:t>Cancer Facts and Figures 2019</w:t>
      </w:r>
      <w:r>
        <w:rPr>
          <w:rFonts w:ascii="Arial" w:cs="Arial" w:eastAsia="Arial" w:hAnsi="Arial"/>
          <w:sz w:val="16"/>
          <w:szCs w:val="16"/>
          <w:color w:val="auto"/>
        </w:rPr>
        <w:t xml:space="preserve">, 2019, and a review article from the European Journal of Cancer, </w:t>
      </w:r>
      <w:r>
        <w:rPr>
          <w:rFonts w:ascii="Arial" w:cs="Arial" w:eastAsia="Arial" w:hAnsi="Arial"/>
          <w:sz w:val="16"/>
          <w:szCs w:val="16"/>
          <w:i w:val="1"/>
          <w:iCs w:val="1"/>
          <w:color w:val="auto"/>
        </w:rPr>
        <w:t>Cancer incidence and mortality patterns in Europe: Estimates for 40 countries and 25 major cancers in 2018</w:t>
      </w:r>
      <w:r>
        <w:rPr>
          <w:rFonts w:ascii="Arial" w:cs="Arial" w:eastAsia="Arial" w:hAnsi="Arial"/>
          <w:sz w:val="16"/>
          <w:szCs w:val="16"/>
          <w:color w:val="auto"/>
        </w:rPr>
        <w:t>, August 9, 2018. We assume that pre-diagnosis cancer patients will receive one oncology clinical diagnostic test to inform their treatment strategy or to identify clinical trial enrollment opportunities, and the cost per test will be $3,000 on average, which we believe is in line with current cancer panels.</w:t>
      </w:r>
    </w:p>
    <w:p>
      <w:pPr>
        <w:spacing w:after="0" w:line="163"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Arial" w:cs="Arial" w:eastAsia="Arial" w:hAnsi="Arial"/>
                <w:sz w:val="18"/>
                <w:szCs w:val="18"/>
                <w:b w:val="1"/>
                <w:bCs w:val="1"/>
                <w:color w:val="auto"/>
                <w:w w:val="99"/>
              </w:rPr>
              <w:t>USE OF PROCEEDS</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7"/>
        </w:trPr>
        <w:tc>
          <w:tcPr>
            <w:tcW w:w="7300" w:type="dxa"/>
            <w:vAlign w:val="bottom"/>
            <w:gridSpan w:val="4"/>
          </w:tcPr>
          <w:p>
            <w:pPr>
              <w:ind w:left="660"/>
              <w:spacing w:after="0"/>
              <w:rPr>
                <w:sz w:val="20"/>
                <w:szCs w:val="20"/>
                <w:color w:val="auto"/>
              </w:rPr>
            </w:pPr>
            <w:r>
              <w:rPr>
                <w:rFonts w:ascii="Arial" w:cs="Arial" w:eastAsia="Arial" w:hAnsi="Arial"/>
                <w:sz w:val="18"/>
                <w:szCs w:val="18"/>
                <w:color w:val="auto"/>
              </w:rPr>
              <w:t>We estimate that we will receive net proceeds from this offering of approximately $</w:t>
            </w: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rPr>
              <w:t>million (or approximately $</w:t>
            </w:r>
          </w:p>
        </w:tc>
        <w:tc>
          <w:tcPr>
            <w:tcW w:w="1280" w:type="dxa"/>
            <w:vAlign w:val="bottom"/>
          </w:tcPr>
          <w:p>
            <w:pPr>
              <w:jc w:val="right"/>
              <w:spacing w:after="0"/>
              <w:rPr>
                <w:sz w:val="20"/>
                <w:szCs w:val="20"/>
                <w:color w:val="auto"/>
              </w:rPr>
            </w:pPr>
            <w:r>
              <w:rPr>
                <w:rFonts w:ascii="Arial" w:cs="Arial" w:eastAsia="Arial" w:hAnsi="Arial"/>
                <w:sz w:val="18"/>
                <w:szCs w:val="18"/>
                <w:color w:val="auto"/>
              </w:rPr>
              <w:t>million if the</w:t>
            </w:r>
          </w:p>
        </w:tc>
      </w:tr>
      <w:tr>
        <w:trPr>
          <w:trHeight w:val="216"/>
        </w:trPr>
        <w:tc>
          <w:tcPr>
            <w:tcW w:w="8580" w:type="dxa"/>
            <w:vAlign w:val="bottom"/>
            <w:gridSpan w:val="5"/>
          </w:tcPr>
          <w:p>
            <w:pPr>
              <w:ind w:left="220"/>
              <w:spacing w:after="0"/>
              <w:rPr>
                <w:sz w:val="20"/>
                <w:szCs w:val="20"/>
                <w:color w:val="auto"/>
              </w:rPr>
            </w:pPr>
            <w:r>
              <w:rPr>
                <w:rFonts w:ascii="Arial" w:cs="Arial" w:eastAsia="Arial" w:hAnsi="Arial"/>
                <w:sz w:val="18"/>
                <w:szCs w:val="18"/>
                <w:color w:val="auto"/>
                <w:w w:val="96"/>
              </w:rPr>
              <w:t>underwriters exercise their over-allotment option in full) based on the assumed initial public offering price of $</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w w:val="99"/>
              </w:rPr>
              <w:t>per share of common stock, after</w:t>
            </w:r>
          </w:p>
        </w:tc>
      </w:tr>
      <w:tr>
        <w:trPr>
          <w:trHeight w:val="230"/>
        </w:trPr>
        <w:tc>
          <w:tcPr>
            <w:tcW w:w="8580" w:type="dxa"/>
            <w:vAlign w:val="bottom"/>
            <w:gridSpan w:val="5"/>
          </w:tcPr>
          <w:p>
            <w:pPr>
              <w:ind w:left="220"/>
              <w:spacing w:after="0"/>
              <w:rPr>
                <w:sz w:val="20"/>
                <w:szCs w:val="20"/>
                <w:color w:val="auto"/>
              </w:rPr>
            </w:pPr>
            <w:r>
              <w:rPr>
                <w:rFonts w:ascii="Arial" w:cs="Arial" w:eastAsia="Arial" w:hAnsi="Arial"/>
                <w:sz w:val="18"/>
                <w:szCs w:val="18"/>
                <w:color w:val="auto"/>
                <w:w w:val="95"/>
              </w:rPr>
              <w:t>deducting estimated underwriting discounts and commissions and estimated offering expenses payable by us.</w:t>
            </w: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7"/>
        </w:trPr>
        <w:tc>
          <w:tcPr>
            <w:tcW w:w="6620" w:type="dxa"/>
            <w:vAlign w:val="bottom"/>
            <w:gridSpan w:val="3"/>
          </w:tcPr>
          <w:p>
            <w:pPr>
              <w:ind w:left="660"/>
              <w:spacing w:after="0"/>
              <w:rPr>
                <w:sz w:val="20"/>
                <w:szCs w:val="20"/>
                <w:color w:val="auto"/>
              </w:rPr>
            </w:pPr>
            <w:r>
              <w:rPr>
                <w:rFonts w:ascii="Arial" w:cs="Arial" w:eastAsia="Arial" w:hAnsi="Arial"/>
                <w:sz w:val="18"/>
                <w:szCs w:val="18"/>
                <w:color w:val="auto"/>
                <w:w w:val="99"/>
              </w:rPr>
              <w:t>A $1.00 increase (decrease) in the assumed initial public offering price of $</w:t>
            </w:r>
          </w:p>
        </w:tc>
        <w:tc>
          <w:tcPr>
            <w:tcW w:w="4600" w:type="dxa"/>
            <w:vAlign w:val="bottom"/>
            <w:gridSpan w:val="4"/>
          </w:tcPr>
          <w:p>
            <w:pPr>
              <w:jc w:val="right"/>
              <w:spacing w:after="0"/>
              <w:rPr>
                <w:sz w:val="20"/>
                <w:szCs w:val="20"/>
                <w:color w:val="auto"/>
              </w:rPr>
            </w:pPr>
            <w:r>
              <w:rPr>
                <w:rFonts w:ascii="Arial" w:cs="Arial" w:eastAsia="Arial" w:hAnsi="Arial"/>
                <w:sz w:val="18"/>
                <w:szCs w:val="18"/>
                <w:color w:val="auto"/>
                <w:w w:val="92"/>
              </w:rPr>
              <w:t>per share of common stock would increase (decrease) the net</w:t>
            </w:r>
          </w:p>
        </w:tc>
      </w:tr>
      <w:tr>
        <w:trPr>
          <w:trHeight w:val="230"/>
        </w:trPr>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proceeds to us from this offering by approximately $</w:t>
            </w:r>
          </w:p>
        </w:tc>
        <w:tc>
          <w:tcPr>
            <w:tcW w:w="6920" w:type="dxa"/>
            <w:vAlign w:val="bottom"/>
            <w:gridSpan w:val="5"/>
          </w:tcPr>
          <w:p>
            <w:pPr>
              <w:jc w:val="right"/>
              <w:spacing w:after="0"/>
              <w:rPr>
                <w:sz w:val="20"/>
                <w:szCs w:val="20"/>
                <w:color w:val="auto"/>
              </w:rPr>
            </w:pPr>
            <w:r>
              <w:rPr>
                <w:rFonts w:ascii="Arial" w:cs="Arial" w:eastAsia="Arial" w:hAnsi="Arial"/>
                <w:sz w:val="18"/>
                <w:szCs w:val="18"/>
                <w:color w:val="auto"/>
                <w:w w:val="95"/>
              </w:rPr>
              <w:t>million, assuming the number of shares offered by us, as set forth on the cover page of this</w:t>
            </w:r>
          </w:p>
        </w:tc>
      </w:tr>
    </w:tbl>
    <w:p>
      <w:pPr>
        <w:ind w:left="220"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remains the same, and after deducting estimated underwriting discounts and commissions. Similarly, each increase (decrease) of 1.0 million shares in the number of shares of common stock offered by us would increase (decrease) the net proceeds to us from this offering by approximately</w:t>
      </w:r>
    </w:p>
    <w:p>
      <w:pPr>
        <w:spacing w:after="0" w:line="1" w:lineRule="exact"/>
        <w:rPr>
          <w:sz w:val="20"/>
          <w:szCs w:val="20"/>
          <w:color w:val="auto"/>
        </w:rPr>
      </w:pPr>
    </w:p>
    <w:p>
      <w:pPr>
        <w:ind w:left="220" w:hanging="10"/>
        <w:spacing w:after="0" w:line="260" w:lineRule="auto"/>
        <w:tabs>
          <w:tab w:leader="none" w:pos="7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of $ per share of common stock remains the same, and after deducting estimated underwriting discounts and commissions.</w:t>
      </w:r>
    </w:p>
    <w:p>
      <w:pPr>
        <w:spacing w:after="0" w:line="185"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common stock. We currently intend to use the net proceeds we receive from this offering for expanded research and development, infrastructure expansion, facilities expansion, headcount growth, sales and marketing expenditures, public company costs, capital expenditures, and working capital. We cannot specify with certainty all of the particular uses for the remaining net proceeds to us from this offering. We may also use a portion of the net proceeds for acquisitions or strategic investments in complementary businesses, services, products, or technologies. However, we do not have agreements or commitments to enter into any such acquisitions or investments at this time. We will have broad discretion over how to use the net proceeds to us from this offering. We intend to invest the net proceeds we receive from this offering in a variety of capital-preservation investments, including short- and intermediate-term, interest-bearing, investment-grade securities and government securities.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45"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 as follows:</w:t>
      </w:r>
    </w:p>
    <w:p>
      <w:pPr>
        <w:spacing w:after="0" w:line="130" w:lineRule="exact"/>
        <w:rPr>
          <w:sz w:val="20"/>
          <w:szCs w:val="20"/>
          <w:color w:val="auto"/>
        </w:rPr>
      </w:pPr>
    </w:p>
    <w:p>
      <w:pPr>
        <w:ind w:left="1080" w:hanging="438"/>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1080" w:hanging="438"/>
        <w:spacing w:after="0" w:line="270"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pro forma basis, giving effect to (i) the automatic conversion of all outstanding shares of our redeemable convertible preferred stock as of March 31, 2019 into 73,898,975 shares of common stock immediately prior to the closing of this offering, (ii) the cash exercise of a warrant to purchase 754,573 shares of our common stock, outstanding as of March 31, 2019, in full, (iii) the automatic conversion of two warrants to purchase an aggregate of 338,341 shares of our redeemable convertible preferred stock, outstanding as of March 31, 2019, into warrants to purchase an equivalent number of shares of our common stock, and the related reclassification of redeemable convertible preferred stock warrant liability to stockholders’ equity, (iv) stock-based compensation expense of $0.9 million associated with outstanding stock options subject to a performance condition for which the service-based vesting condition was satisfied as of March 31, 2019 and which we will recognize in connection with this offering, and (v) the filing and effectiveness of our amended and restated certificate of incorporation that will be in effect prior to the closing of this offering; and</w:t>
      </w:r>
    </w:p>
    <w:p>
      <w:pPr>
        <w:sectPr>
          <w:pgSz w:w="11900" w:h="16838" w:orient="portrait"/>
          <w:cols w:equalWidth="0" w:num="1">
            <w:col w:w="11220"/>
          </w:cols>
          <w:pgMar w:left="240" w:top="459" w:right="439" w:bottom="1440" w:gutter="0" w:footer="0" w:header="0"/>
        </w:sectPr>
      </w:pPr>
    </w:p>
    <w:p>
      <w:pPr>
        <w:spacing w:after="0" w:line="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 pro forma as adjusted basis, giving effect to (i) the pro forma adjustments set forth above and of shares of common stock in this offering at the assumed initial public offering price of $ estimated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right"/>
        <w:spacing w:after="0" w:line="307" w:lineRule="auto"/>
        <w:rPr>
          <w:sz w:val="20"/>
          <w:szCs w:val="20"/>
          <w:color w:val="auto"/>
        </w:rPr>
      </w:pPr>
      <w:r>
        <w:rPr>
          <w:rFonts w:ascii="Arial" w:cs="Arial" w:eastAsia="Arial" w:hAnsi="Arial"/>
          <w:sz w:val="17"/>
          <w:szCs w:val="17"/>
          <w:color w:val="auto"/>
        </w:rPr>
        <w:t>(ii) the issuance and sale per share, after deducting</w:t>
      </w:r>
    </w:p>
    <w:p>
      <w:pPr>
        <w:spacing w:after="0" w:line="295" w:lineRule="exact"/>
        <w:rPr>
          <w:sz w:val="20"/>
          <w:szCs w:val="20"/>
          <w:color w:val="auto"/>
        </w:rPr>
      </w:pPr>
    </w:p>
    <w:p>
      <w:pPr>
        <w:sectPr>
          <w:pgSz w:w="11900" w:h="16838" w:orient="portrait"/>
          <w:cols w:equalWidth="0" w:num="3">
            <w:col w:w="700" w:space="380"/>
            <w:col w:w="8040" w:space="100"/>
            <w:col w:w="20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24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As of March 31, 2019</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Pro Forma</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(unaudited)</w:t>
            </w: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33,245</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gridSpan w:val="3"/>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440" w:type="dxa"/>
            <w:vAlign w:val="bottom"/>
          </w:tcPr>
          <w:p>
            <w:pPr>
              <w:spacing w:after="0"/>
              <w:rPr>
                <w:sz w:val="18"/>
                <w:szCs w:val="18"/>
                <w:color w:val="auto"/>
              </w:rPr>
            </w:pP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40" w:type="dxa"/>
            <w:vAlign w:val="bottom"/>
            <w:gridSpan w:val="4"/>
          </w:tcPr>
          <w:p>
            <w:pPr>
              <w:spacing w:after="0"/>
              <w:rPr>
                <w:sz w:val="20"/>
                <w:szCs w:val="20"/>
                <w:color w:val="auto"/>
              </w:rPr>
            </w:pPr>
            <w:r>
              <w:rPr>
                <w:rFonts w:ascii="Arial" w:cs="Arial" w:eastAsia="Arial" w:hAnsi="Arial"/>
                <w:sz w:val="18"/>
                <w:szCs w:val="18"/>
                <w:color w:val="auto"/>
                <w:w w:val="93"/>
              </w:rPr>
              <w:t>Series A redeemable convertible preferred stock, $0.0001 par value—31,250,00 shares authorized,</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160"/>
              <w:spacing w:after="0"/>
              <w:rPr>
                <w:sz w:val="20"/>
                <w:szCs w:val="20"/>
                <w:color w:val="auto"/>
              </w:rPr>
            </w:pPr>
            <w:r>
              <w:rPr>
                <w:rFonts w:ascii="Arial" w:cs="Arial" w:eastAsia="Arial" w:hAnsi="Arial"/>
                <w:sz w:val="18"/>
                <w:szCs w:val="18"/>
                <w:color w:val="auto"/>
                <w:w w:val="96"/>
              </w:rPr>
              <w:t>31,249,991 shares issued and outstanding, actual; no shares authorized, issued, or outstanding,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pro forma and pro forma as adjusted (unaudited)</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20,261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Series B redeemable convertible preferred stock, $0.0001 par value—19,288,150 shares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7"/>
              </w:rPr>
              <w:t>authorized, 19,198,194 shares issued and outstanding, actual; no shares authorized, issued, or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pro forma and pro forma as adjusted (unaudited)</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22,047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gridSpan w:val="4"/>
          </w:tcPr>
          <w:p>
            <w:pPr>
              <w:spacing w:after="0" w:line="201" w:lineRule="exact"/>
              <w:rPr>
                <w:sz w:val="20"/>
                <w:szCs w:val="20"/>
                <w:color w:val="auto"/>
              </w:rPr>
            </w:pPr>
            <w:r>
              <w:rPr>
                <w:rFonts w:ascii="Arial" w:cs="Arial" w:eastAsia="Arial" w:hAnsi="Arial"/>
                <w:sz w:val="18"/>
                <w:szCs w:val="18"/>
                <w:color w:val="auto"/>
              </w:rPr>
              <w:t>Series C redeemable convertible preferred stock, $0.0001 par value—24,700,000 shares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160"/>
              <w:spacing w:after="0"/>
              <w:rPr>
                <w:sz w:val="20"/>
                <w:szCs w:val="20"/>
                <w:color w:val="auto"/>
              </w:rPr>
            </w:pPr>
            <w:r>
              <w:rPr>
                <w:rFonts w:ascii="Arial" w:cs="Arial" w:eastAsia="Arial" w:hAnsi="Arial"/>
                <w:sz w:val="18"/>
                <w:szCs w:val="18"/>
                <w:color w:val="auto"/>
                <w:w w:val="97"/>
              </w:rPr>
              <w:t>authorized, 23,450,790 shares issued and outstanding, actual; no shares authorized, issued, or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outstanding, pro forma and pro forma as adjusted (unaudited)</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47,096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redeemable convertible preferred stock</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Stockholders’ deficit:</w:t>
            </w:r>
          </w:p>
        </w:tc>
        <w:tc>
          <w:tcPr>
            <w:tcW w:w="1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$0.0001 par value—no shares authorized, issued, or outstanding, actual;</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w w:val="96"/>
              </w:rPr>
              <w:t>10,000,000 shares authorized, no shares issued or outstanding, pro forma and pro forma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adjusted (unaudited)</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5"/>
              </w:rPr>
              <w:t>Common stock, $0.0001 par value—105,700,000 shares authorized, 12,665,266 shares issued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500"/>
              <w:spacing w:after="0"/>
              <w:rPr>
                <w:sz w:val="20"/>
                <w:szCs w:val="20"/>
                <w:color w:val="auto"/>
              </w:rPr>
            </w:pPr>
            <w:r>
              <w:rPr>
                <w:rFonts w:ascii="Arial" w:cs="Arial" w:eastAsia="Arial" w:hAnsi="Arial"/>
                <w:sz w:val="18"/>
                <w:szCs w:val="18"/>
                <w:color w:val="auto"/>
              </w:rPr>
              <w:t>and outstanding, actual; 200,000,000 shares authorized, 87,318,814 shares issued 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500"/>
              <w:spacing w:after="0"/>
              <w:rPr>
                <w:sz w:val="20"/>
                <w:szCs w:val="20"/>
                <w:color w:val="auto"/>
              </w:rPr>
            </w:pPr>
            <w:r>
              <w:rPr>
                <w:rFonts w:ascii="Arial" w:cs="Arial" w:eastAsia="Arial" w:hAnsi="Arial"/>
                <w:sz w:val="18"/>
                <w:szCs w:val="18"/>
                <w:color w:val="auto"/>
                <w:w w:val="97"/>
              </w:rPr>
              <w:t>outstanding, pro forma (unaudited); 200,000,000 shares authorized,</w:t>
            </w:r>
          </w:p>
        </w:tc>
        <w:tc>
          <w:tcPr>
            <w:tcW w:w="1820" w:type="dxa"/>
            <w:vAlign w:val="bottom"/>
            <w:gridSpan w:val="2"/>
          </w:tcPr>
          <w:p>
            <w:pPr>
              <w:jc w:val="right"/>
              <w:ind w:right="870"/>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500"/>
              <w:spacing w:after="0"/>
              <w:rPr>
                <w:sz w:val="20"/>
                <w:szCs w:val="20"/>
                <w:color w:val="auto"/>
              </w:rPr>
            </w:pPr>
            <w:r>
              <w:rPr>
                <w:rFonts w:ascii="Arial" w:cs="Arial" w:eastAsia="Arial" w:hAnsi="Arial"/>
                <w:sz w:val="18"/>
                <w:szCs w:val="18"/>
                <w:color w:val="auto"/>
              </w:rPr>
              <w:t>issued and outstanding, pro forma as adjusted (unaudited)</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101,778</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(121,190)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(122,080)</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w:t>
            </w:r>
          </w:p>
        </w:tc>
        <w:tc>
          <w:tcPr>
            <w:tcW w:w="1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(110,523)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(20,294)</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capitalization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(1,353)</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hanging="419"/>
        <w:spacing w:after="0" w:line="273" w:lineRule="auto"/>
        <w:tabs>
          <w:tab w:leader="none" w:pos="620" w:val="left"/>
        </w:tabs>
        <w:rPr>
          <w:sz w:val="20"/>
          <w:szCs w:val="20"/>
          <w:color w:val="auto"/>
        </w:rPr>
      </w:pPr>
      <w:r>
        <w:rPr>
          <w:rFonts w:ascii="Arial" w:cs="Arial" w:eastAsia="Arial" w:hAnsi="Arial"/>
          <w:sz w:val="17"/>
          <w:szCs w:val="17"/>
          <w:color w:val="auto"/>
        </w:rPr>
        <w:t>(1)</w:t>
        <w:tab/>
        <w:t>Each $1.00 increase (decrease) in the assumed initial public offering price of $ per share of common stock, would increase (decrease) the pro forma as adjusted amount of each of cash and cash equivalents, total stockholders’ deficit and total capitalization by approximately $ ,</w:t>
      </w:r>
    </w:p>
    <w:p>
      <w:pPr>
        <w:spacing w:after="0" w:line="1"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total stockholders’ deficit and total capitalization by approximately $ , assuming the assumed initial public offering price of</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40" w:firstLine="2"/>
        <w:spacing w:after="0" w:line="263" w:lineRule="auto"/>
        <w:tabs>
          <w:tab w:leader="none" w:pos="11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share of common stock remains the same, and after deducting estimated underwriting discounts and commissions. The pro forma and pro forma as adjusted information discussed above is illustrative only and will change based on the actual initial public offering price and other terms of this offering determined at pricing.</w:t>
      </w:r>
    </w:p>
    <w:p>
      <w:pPr>
        <w:spacing w:after="0" w:line="18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outstanding share information in the table above is based on 87,318,814 shares of our common stock (including shares of our redeemable convertible preferred stock on an as-converted basis, and assuming the exercise of a warrant to purchase 754,573 shares of our common stock) outstanding as of March 31, 2019, and excludes:</w:t>
      </w:r>
    </w:p>
    <w:p>
      <w:pPr>
        <w:spacing w:after="0" w:line="88" w:lineRule="exact"/>
        <w:rPr>
          <w:sz w:val="20"/>
          <w:szCs w:val="20"/>
          <w:color w:val="auto"/>
        </w:rPr>
      </w:pPr>
    </w:p>
    <w:p>
      <w:pPr>
        <w:ind w:left="1080" w:hanging="438"/>
        <w:spacing w:after="0" w:line="307"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17,527,536 shares of our common stock issuable upon the exercise of options to purchase shares of our common stock granted under our 2011 Plan and outstanding as of March 31, 2019, with a weighted-average exercise price of $0.9049 per share;</w:t>
      </w:r>
    </w:p>
    <w:p>
      <w:pPr>
        <w:spacing w:after="0" w:line="52" w:lineRule="exact"/>
        <w:rPr>
          <w:rFonts w:ascii="Arial" w:cs="Arial" w:eastAsia="Arial" w:hAnsi="Arial"/>
          <w:sz w:val="17"/>
          <w:szCs w:val="17"/>
          <w:color w:val="auto"/>
        </w:rPr>
      </w:pPr>
    </w:p>
    <w:p>
      <w:pPr>
        <w:ind w:left="1080" w:hanging="438"/>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1,453,788 shares of our common stock issuable upon the exercise of options to purchase shares of our common stock granted under our 2011 Plan after March 31, 2019, with an exercise price of $3.30 per share;</w:t>
      </w:r>
    </w:p>
    <w:p>
      <w:pPr>
        <w:spacing w:after="0" w:line="75" w:lineRule="exact"/>
        <w:rPr>
          <w:rFonts w:ascii="Arial" w:cs="Arial" w:eastAsia="Arial" w:hAnsi="Arial"/>
          <w:sz w:val="18"/>
          <w:szCs w:val="18"/>
          <w:color w:val="auto"/>
        </w:rPr>
      </w:pPr>
    </w:p>
    <w:p>
      <w:pPr>
        <w:ind w:left="1080" w:hanging="438"/>
        <w:spacing w:after="0" w:line="34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338,341 shares of our redeemable convertible preferred stock issuable upon the exercise of warrants to purchase shares of our redeemable convertible preferred stock outstanding as of March 31, 2019, with a weighted-average exercise price of $1.7836 per share;</w:t>
      </w:r>
    </w:p>
    <w:p>
      <w:pPr>
        <w:spacing w:after="0" w:line="30"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262,008 shares of our common stock issuable upon the exercise of a warrant to purchase shares of our common stock outstanding as of March 31, 2019, with an exercise price of $2.29 per share;</w:t>
      </w:r>
    </w:p>
    <w:p>
      <w:pPr>
        <w:spacing w:after="0" w:line="75" w:lineRule="exact"/>
        <w:rPr>
          <w:rFonts w:ascii="Arial" w:cs="Arial" w:eastAsia="Arial" w:hAnsi="Arial"/>
          <w:sz w:val="18"/>
          <w:szCs w:val="18"/>
          <w:color w:val="auto"/>
        </w:rPr>
      </w:pPr>
    </w:p>
    <w:p>
      <w:pPr>
        <w:jc w:val="both"/>
        <w:ind w:left="1080" w:hanging="438"/>
        <w:spacing w:after="0" w:line="29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29,762,095 shares of our common stock reserved for future issuance under our 2019 Plan, (including up to 21,762,095 shares of our common stock comprised of (i) the shares reserved and remaining available for issuance under our 2011 Plan that will be added to our 2019 Plan reserve upon its effectiveness plus (ii) the number of shares subject to stock options or other stock awards granted under our 2011 Plan that would have otherwise returned to our 2011 Plan, which will be added as they become available (e.g., due to forfeiture of the underlying 2011 Plan award) which includes an annual evergreen increase and will become effective in connection with this offering; and</w:t>
      </w:r>
    </w:p>
    <w:p>
      <w:pPr>
        <w:spacing w:after="0" w:line="65"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1,000,000 shares of our common stock reserved for future issuance under our ESPP, which includes an annual evergreen increase and will become effective in connection with this offering.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220" w:right="20" w:firstLine="440"/>
        <w:spacing w:after="0" w:line="307"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4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As of March 31, 2019, we had a pro forma net tangible book value (deficit) of $(20.3) million, or $(0.23) per share. Pro forma net tangible book value per share represents the amount of our total tangible assets less our total liabilities, divided by the number of shares of our common stock outstanding as of March 31, 2019, after giving effect to the automatic conversion of all shares of our redeemable convertible preferred stock outstanding as of March 31, 2019 into 73,898,975 shares of our common stock and assuming the exercise of a warrant to purchase 754,573 shares of our common stock.</w:t>
      </w:r>
    </w:p>
    <w:p>
      <w:pPr>
        <w:spacing w:after="0" w:line="191" w:lineRule="exact"/>
        <w:rPr>
          <w:sz w:val="20"/>
          <w:szCs w:val="20"/>
          <w:color w:val="auto"/>
        </w:rPr>
      </w:pPr>
    </w:p>
    <w:p>
      <w:pPr>
        <w:ind w:left="660"/>
        <w:spacing w:after="0"/>
        <w:tabs>
          <w:tab w:leader="none" w:pos="454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common stock that we are offering at the assumed initial public offering price of</w:t>
      </w:r>
    </w:p>
    <w:p>
      <w:pPr>
        <w:spacing w:after="0" w:line="2" w:lineRule="exact"/>
        <w:rPr>
          <w:sz w:val="20"/>
          <w:szCs w:val="20"/>
          <w:color w:val="auto"/>
        </w:rPr>
      </w:pPr>
    </w:p>
    <w:p>
      <w:pPr>
        <w:ind w:left="660" w:hanging="450"/>
        <w:spacing w:after="0"/>
        <w:tabs>
          <w:tab w:leader="none" w:pos="660" w:val="left"/>
        </w:tabs>
        <w:numPr>
          <w:ilvl w:val="0"/>
          <w:numId w:val="38"/>
        </w:numPr>
        <w:rPr>
          <w:rFonts w:ascii="Arial" w:cs="Arial" w:eastAsia="Arial" w:hAnsi="Arial"/>
          <w:sz w:val="2"/>
          <w:szCs w:val="2"/>
          <w:color w:val="auto"/>
        </w:rPr>
      </w:pPr>
      <w:r>
        <w:rPr>
          <w:rFonts w:ascii="Arial" w:cs="Arial" w:eastAsia="Arial" w:hAnsi="Arial"/>
          <w:sz w:val="2"/>
          <w:szCs w:val="2"/>
          <w:color w:val="auto"/>
        </w:rPr>
        <w:t>per share, and after deducting estimated underwriting discounts and commissions and estimated offering expenses payable by us, our pro forma as</w:t>
      </w:r>
    </w:p>
    <w:p>
      <w:pPr>
        <w:spacing w:after="0" w:line="200" w:lineRule="exact"/>
        <w:rPr>
          <w:sz w:val="20"/>
          <w:szCs w:val="20"/>
          <w:color w:val="auto"/>
        </w:rPr>
      </w:pPr>
    </w:p>
    <w:p>
      <w:pPr>
        <w:ind w:left="220"/>
        <w:spacing w:after="0" w:line="286" w:lineRule="auto"/>
        <w:rPr>
          <w:sz w:val="20"/>
          <w:szCs w:val="20"/>
          <w:color w:val="auto"/>
        </w:rPr>
      </w:pPr>
      <w:r>
        <w:rPr>
          <w:rFonts w:ascii="Arial" w:cs="Arial" w:eastAsia="Arial" w:hAnsi="Arial"/>
          <w:sz w:val="17"/>
          <w:szCs w:val="17"/>
          <w:color w:val="auto"/>
        </w:rPr>
        <w:t>adjusted net tangible book value as of March 31, 2019 would have 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common stock in this offering.</w:t>
      </w:r>
    </w:p>
    <w:p>
      <w:pPr>
        <w:spacing w:after="0" w:line="165"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2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w w:val="91"/>
              </w:rPr>
              <w:t>Pro forma net tangible book value (deficit) per share as of March 31, 2019</w:t>
            </w:r>
          </w:p>
        </w:tc>
        <w:tc>
          <w:tcPr>
            <w:tcW w:w="620" w:type="dxa"/>
            <w:vAlign w:val="bottom"/>
          </w:tcPr>
          <w:p>
            <w:pPr>
              <w:spacing w:after="0"/>
              <w:rPr>
                <w:sz w:val="18"/>
                <w:szCs w:val="18"/>
                <w:color w:val="auto"/>
              </w:rPr>
            </w:pPr>
          </w:p>
        </w:tc>
        <w:tc>
          <w:tcPr>
            <w:tcW w:w="3680" w:type="dxa"/>
            <w:vAlign w:val="bottom"/>
            <w:gridSpan w:val="3"/>
          </w:tcPr>
          <w:p>
            <w:pPr>
              <w:jc w:val="right"/>
              <w:ind w:right="380"/>
              <w:spacing w:after="0"/>
              <w:rPr>
                <w:sz w:val="20"/>
                <w:szCs w:val="20"/>
                <w:color w:val="auto"/>
              </w:rPr>
            </w:pPr>
            <w:r>
              <w:rPr>
                <w:rFonts w:ascii="Arial" w:cs="Arial" w:eastAsia="Arial" w:hAnsi="Arial"/>
                <w:sz w:val="18"/>
                <w:szCs w:val="18"/>
                <w:color w:val="auto"/>
              </w:rPr>
              <w:t>$(0.23)</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2"/>
              </w:rPr>
              <w:t>Increase in pro forma net tangible book value per share attributable to this offering</w:t>
            </w:r>
          </w:p>
        </w:tc>
        <w:tc>
          <w:tcPr>
            <w:tcW w:w="27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w w:val="98"/>
              </w:rPr>
              <w:t>Pro forma as adjusted net tangible book value per share after this offering</w:t>
            </w:r>
          </w:p>
        </w:tc>
        <w:tc>
          <w:tcPr>
            <w:tcW w:w="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62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6380" w:type="dxa"/>
            <w:vAlign w:val="bottom"/>
            <w:gridSpan w:val="3"/>
          </w:tcPr>
          <w:p>
            <w:pPr>
              <w:ind w:left="42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00" w:type="dxa"/>
            <w:vAlign w:val="bottom"/>
            <w:gridSpan w:val="5"/>
          </w:tcPr>
          <w:p>
            <w:pPr>
              <w:jc w:val="right"/>
              <w:spacing w:after="0"/>
              <w:rPr>
                <w:sz w:val="20"/>
                <w:szCs w:val="20"/>
                <w:color w:val="auto"/>
              </w:rPr>
            </w:pPr>
            <w:r>
              <w:rPr>
                <w:rFonts w:ascii="Arial" w:cs="Arial" w:eastAsia="Arial" w:hAnsi="Arial"/>
                <w:sz w:val="18"/>
                <w:szCs w:val="18"/>
                <w:color w:val="auto"/>
                <w:w w:val="91"/>
              </w:rPr>
              <w:t>per share would increase (decrease) the pro forma as adjusted</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net tangible book value per share after this offering by approximately $</w:t>
            </w:r>
          </w:p>
        </w:tc>
        <w:tc>
          <w:tcPr>
            <w:tcW w:w="5220" w:type="dxa"/>
            <w:vAlign w:val="bottom"/>
            <w:gridSpan w:val="6"/>
          </w:tcPr>
          <w:p>
            <w:pPr>
              <w:jc w:val="right"/>
              <w:ind w:right="20"/>
              <w:spacing w:after="0"/>
              <w:rPr>
                <w:sz w:val="20"/>
                <w:szCs w:val="20"/>
                <w:color w:val="auto"/>
              </w:rPr>
            </w:pPr>
            <w:r>
              <w:rPr>
                <w:rFonts w:ascii="Arial" w:cs="Arial" w:eastAsia="Arial" w:hAnsi="Arial"/>
                <w:sz w:val="18"/>
                <w:szCs w:val="18"/>
                <w:color w:val="auto"/>
                <w:w w:val="97"/>
              </w:rPr>
              <w:t>, and dilution in pro forma net tangible book value per share to new</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9"/>
              </w:rPr>
              <w:t>investors by approximately $</w:t>
            </w:r>
          </w:p>
        </w:tc>
        <w:tc>
          <w:tcPr>
            <w:tcW w:w="8720" w:type="dxa"/>
            <w:vAlign w:val="bottom"/>
            <w:gridSpan w:val="7"/>
          </w:tcPr>
          <w:p>
            <w:pPr>
              <w:jc w:val="right"/>
              <w:spacing w:after="0"/>
              <w:rPr>
                <w:sz w:val="20"/>
                <w:szCs w:val="20"/>
                <w:color w:val="auto"/>
              </w:rPr>
            </w:pPr>
            <w:r>
              <w:rPr>
                <w:rFonts w:ascii="Arial" w:cs="Arial" w:eastAsia="Arial" w:hAnsi="Arial"/>
                <w:sz w:val="18"/>
                <w:szCs w:val="18"/>
                <w:color w:val="auto"/>
                <w:w w:val="91"/>
              </w:rPr>
              <w:t>, assuming that the number of shares of common stock offered by us, as set forth on the cover page of this prospectus,</w:t>
            </w:r>
          </w:p>
        </w:tc>
      </w:tr>
    </w:tbl>
    <w:p>
      <w:pPr>
        <w:jc w:val="both"/>
        <w:ind w:left="220" w:right="20"/>
        <w:spacing w:after="0" w:line="421" w:lineRule="auto"/>
        <w:rPr>
          <w:sz w:val="20"/>
          <w:szCs w:val="20"/>
          <w:color w:val="auto"/>
        </w:rPr>
      </w:pPr>
      <w:r>
        <w:rPr>
          <w:rFonts w:ascii="Arial" w:cs="Arial" w:eastAsia="Arial" w:hAnsi="Arial"/>
          <w:sz w:val="16"/>
          <w:szCs w:val="16"/>
          <w:color w:val="auto"/>
        </w:rPr>
        <w:t>remains the same and after deducting estimated underwriting discounts and commissions. Each increase (decrease) of 1.0 million shares in the number of shares of common stock offered by us would increase (decrease) our pro forma as adjusted net tangible book value per share after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line="307" w:lineRule="auto"/>
        <w:rPr>
          <w:sz w:val="20"/>
          <w:szCs w:val="20"/>
          <w:color w:val="auto"/>
        </w:rPr>
      </w:pPr>
      <w:r>
        <w:rPr>
          <w:rFonts w:ascii="Arial" w:cs="Arial" w:eastAsia="Arial" w:hAnsi="Arial"/>
          <w:sz w:val="17"/>
          <w:szCs w:val="17"/>
          <w:color w:val="auto"/>
        </w:rPr>
        <w:t>approximately $ per share and decrease (increase) the dilution to investors participating in this offering by approximately $ per share, assuming that the assumed initial public offering price remains the same, and after deducting estimated underwriting discounts and commissions.</w:t>
      </w:r>
    </w:p>
    <w:p>
      <w:pPr>
        <w:spacing w:after="0" w:line="14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w:t>
      </w:r>
    </w:p>
    <w:p>
      <w:pPr>
        <w:spacing w:after="0" w:line="183"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 following table summarizes on the pro forma as adjusted basis described above, as of March 31, 2019, the differences between the number of shares of common stock purchased from us by our existing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0" w:lineRule="auto"/>
        <w:rPr>
          <w:sz w:val="20"/>
          <w:szCs w:val="20"/>
          <w:color w:val="auto"/>
        </w:rPr>
      </w:pPr>
      <w:r>
        <w:rPr>
          <w:rFonts w:ascii="Arial" w:cs="Arial" w:eastAsia="Arial" w:hAnsi="Arial"/>
          <w:sz w:val="16"/>
          <w:szCs w:val="16"/>
          <w:color w:val="auto"/>
        </w:rPr>
        <w:t>stockholders and common stock by new investors purchasing shares in this offering, the total consideration paid to us in cash and the average price per share paid by existing stockholders for shares of common stock issued prior to this offering and the price to be paid by new investors for shares of</w:t>
      </w:r>
    </w:p>
    <w:p>
      <w:pPr>
        <w:spacing w:after="0" w:line="1"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common stock in this offering. The calculation below is based on the assumed initial public offering price of $ per share, before deducting estimated underwriting discounts and commissions and estimated offering expenses payable by us.</w:t>
      </w:r>
    </w:p>
    <w:p>
      <w:pPr>
        <w:spacing w:after="0" w:line="19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6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w w:val="95"/>
              </w:rPr>
              <w:t>Total Consideration</w:t>
            </w:r>
          </w:p>
        </w:tc>
        <w:tc>
          <w:tcPr>
            <w:tcW w:w="2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77"/>
        </w:trPr>
        <w:tc>
          <w:tcPr>
            <w:tcW w:w="644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4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8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outstanding share information in the table above is based on 87,318,814 shares of our common stock (including shares of our redeemable convertible preferred stock on an as-converted basis, and assuming the exercise of a warrant to purchase 754,573 shares of our common stock) outstanding as of March 31, 2019, and excludes:</w:t>
      </w:r>
    </w:p>
    <w:p>
      <w:pPr>
        <w:spacing w:after="0" w:line="88" w:lineRule="exact"/>
        <w:rPr>
          <w:sz w:val="20"/>
          <w:szCs w:val="20"/>
          <w:color w:val="auto"/>
        </w:rPr>
      </w:pPr>
    </w:p>
    <w:p>
      <w:pPr>
        <w:ind w:left="1080" w:hanging="438"/>
        <w:spacing w:after="0" w:line="307"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17,527,536 shares of our common stock issuable upon the exercise of options to purchase shares of our common stock granted under our 2011 Plan and outstanding as of March 31, 2019, with a weighted-average exercise price of $0.9049 per share;</w:t>
      </w:r>
    </w:p>
    <w:p>
      <w:pPr>
        <w:spacing w:after="0" w:line="52" w:lineRule="exact"/>
        <w:rPr>
          <w:rFonts w:ascii="Arial" w:cs="Arial" w:eastAsia="Arial" w:hAnsi="Arial"/>
          <w:sz w:val="17"/>
          <w:szCs w:val="17"/>
          <w:color w:val="auto"/>
        </w:rPr>
      </w:pPr>
    </w:p>
    <w:p>
      <w:pPr>
        <w:ind w:left="1080" w:hanging="438"/>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1,453,788 shares of our common stock issuable upon the exercise of options to purchase shares of our common stock granted under our 2011 Plan after March 31, 2019, with an exercise price of $3.30 per share;</w:t>
      </w:r>
    </w:p>
    <w:p>
      <w:pPr>
        <w:spacing w:after="0" w:line="75" w:lineRule="exact"/>
        <w:rPr>
          <w:rFonts w:ascii="Arial" w:cs="Arial" w:eastAsia="Arial" w:hAnsi="Arial"/>
          <w:sz w:val="18"/>
          <w:szCs w:val="18"/>
          <w:color w:val="auto"/>
        </w:rPr>
      </w:pPr>
    </w:p>
    <w:p>
      <w:pPr>
        <w:ind w:left="1080" w:hanging="438"/>
        <w:spacing w:after="0" w:line="34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338,341 shares of our redeemable convertible preferred stock issuable upon the exercise of warrants to purchase shares of our redeemable convertible preferred stock outstanding as of March 31, 2019, with a weighted-average exercise price of $1.7836 per share;</w:t>
      </w:r>
    </w:p>
    <w:p>
      <w:pPr>
        <w:spacing w:after="0" w:line="30"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262,008 shares of our common stock issuable upon the exercise of a warrant to purchase shares of our common stock outstanding as of March 31, 2019, with an exercise price of $2.29 per share;</w:t>
      </w:r>
    </w:p>
    <w:p>
      <w:pPr>
        <w:spacing w:after="0" w:line="75" w:lineRule="exact"/>
        <w:rPr>
          <w:rFonts w:ascii="Arial" w:cs="Arial" w:eastAsia="Arial" w:hAnsi="Arial"/>
          <w:sz w:val="18"/>
          <w:szCs w:val="18"/>
          <w:color w:val="auto"/>
        </w:rPr>
      </w:pPr>
    </w:p>
    <w:p>
      <w:pPr>
        <w:jc w:val="both"/>
        <w:ind w:left="1080" w:hanging="4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29,762,095 shares of our common stock reserved for future issuance under our 2019 Plan, (including up to 21,762,095 shares of our common stock comprised of (i) the shares reserved and remaining available for issuance under our 2011 Plan that will be added to our 2019 Plan reserve upon its effectiveness plus (ii) the number of shares subject to stock options or other stock awards granted) which includes an annual evergreen increase and will become effective in connection with this offering; and</w:t>
      </w:r>
    </w:p>
    <w:p>
      <w:pPr>
        <w:spacing w:after="0" w:line="91"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1,000,000 shares of our common stock reserved for future issuance under our ESPP, which includes an annual evergreen increase and will become effective in connection with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any outstanding options are exercised, there will be further dilution to new investors. If all of such outstanding options had been</w:t>
      </w:r>
    </w:p>
    <w:p>
      <w:pPr>
        <w:spacing w:after="0" w:line="46" w:lineRule="exact"/>
        <w:rPr>
          <w:sz w:val="20"/>
          <w:szCs w:val="20"/>
          <w:color w:val="auto"/>
        </w:rPr>
      </w:pPr>
    </w:p>
    <w:p>
      <w:pPr>
        <w:ind w:left="220" w:right="20"/>
        <w:spacing w:after="0" w:line="260" w:lineRule="auto"/>
        <w:rPr>
          <w:sz w:val="20"/>
          <w:szCs w:val="20"/>
          <w:color w:val="auto"/>
        </w:rPr>
      </w:pPr>
      <w:r>
        <w:rPr>
          <w:rFonts w:ascii="Arial" w:cs="Arial" w:eastAsia="Arial" w:hAnsi="Arial"/>
          <w:sz w:val="18"/>
          <w:szCs w:val="18"/>
          <w:color w:val="auto"/>
        </w:rPr>
        <w:t>exercised as of March 31, 2019, the pro forma as adjusted net tangible book value per share after this offering would be $ , and total dilution per share to new investors would be $ .</w:t>
      </w:r>
    </w:p>
    <w:p>
      <w:pPr>
        <w:spacing w:after="0" w:line="18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 and the investors purchasing shares of our common stock in this offering would own % of the total number of shares of our common stock outstanding immediately after closing of this offering.</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We derived the selected consolidated statements of operations data and consolidated balance sheets data for the fiscal years ended December 31, 2017 and 2018 from our audited consolidated financial statements included elsewhere in this prospectus. The summary consolidated statements of operations and comprehensive loss data for the three months ended March 31, 2018 and 2019 and the summary consolidated balance sheet data as of March 31, 2019 are derived from our unaudited interim condensed consolidated financial statements included elsewhere in this prospectus. We have prepared the unaudited interim condensed consolidated financial statements on the same basis as the audited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prospectus. You should read the selected consolidated financial data set forth below in conjunction with our consolidated financial statements, the notes to our consolidated financial statements and “Management’s Discussion and Analysis of Financial Condition and Results of Operations” contained elsewhere in this prospectus. Our historical results are not necessarily indicative of our future performance, and our interim results for the three months ended March 31, 2019 are not necessarily indicative of results to be expected for the full year ending December 31, 2019, or any other period.</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right"/>
              <w:ind w:right="1001"/>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(in thousands, except share and per share data)</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37,774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revenues</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25,969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1"/>
              <w:spacing w:after="0"/>
              <w:rPr>
                <w:sz w:val="20"/>
                <w:szCs w:val="20"/>
                <w:color w:val="auto"/>
              </w:rPr>
            </w:pPr>
            <w:r>
              <w:rPr>
                <w:rFonts w:ascii="Arial" w:cs="Arial" w:eastAsia="Arial" w:hAnsi="Arial"/>
                <w:sz w:val="18"/>
                <w:szCs w:val="18"/>
                <w:color w:val="auto"/>
              </w:rPr>
              <w:t>14,304</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51,544</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(13,770)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1"/>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1"/>
              <w:spacing w:after="0"/>
              <w:rPr>
                <w:sz w:val="20"/>
                <w:szCs w:val="20"/>
                <w:color w:val="auto"/>
              </w:rPr>
            </w:pPr>
            <w:r>
              <w:rPr>
                <w:rFonts w:ascii="Arial" w:cs="Arial" w:eastAsia="Arial" w:hAnsi="Arial"/>
                <w:sz w:val="18"/>
                <w:szCs w:val="18"/>
                <w:color w:val="auto"/>
              </w:rPr>
              <w:t>(4,658)</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8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basic and diluted</w:t>
            </w:r>
            <w:r>
              <w:rPr>
                <w:rFonts w:ascii="Arial" w:cs="Arial" w:eastAsia="Arial" w:hAnsi="Arial"/>
                <w:sz w:val="15"/>
                <w:szCs w:val="15"/>
                <w:color w:val="auto"/>
              </w:rPr>
              <w:t>(2)</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12,126,544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12,252,629</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12,206,325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12,365,371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4"/>
              </w:rPr>
              <w:t>Pro forma weighted-average shares outstanding, basic and diluted</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81"/>
              <w:spacing w:after="0"/>
              <w:rPr>
                <w:sz w:val="20"/>
                <w:szCs w:val="20"/>
                <w:color w:val="auto"/>
              </w:rPr>
            </w:pPr>
            <w:r>
              <w:rPr>
                <w:rFonts w:ascii="Arial" w:cs="Arial" w:eastAsia="Arial" w:hAnsi="Arial"/>
                <w:sz w:val="18"/>
                <w:szCs w:val="18"/>
                <w:color w:val="auto"/>
                <w:w w:val="86"/>
              </w:rPr>
              <w:t>81,934,173</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87,018,919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gridSpan w:val="3"/>
            <w:vMerge w:val="restart"/>
          </w:tcPr>
          <w:p>
            <w:pPr>
              <w:jc w:val="right"/>
              <w:ind w:right="572"/>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023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40" w:hanging="330"/>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stock-based compensation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revenues</w:t>
            </w:r>
          </w:p>
        </w:tc>
        <w:tc>
          <w:tcPr>
            <w:tcW w:w="500" w:type="dxa"/>
            <w:vAlign w:val="bottom"/>
            <w:gridSpan w:val="2"/>
            <w:shd w:val="clear" w:color="auto" w:fill="CCEEFF"/>
          </w:tcPr>
          <w:p>
            <w:pPr>
              <w:jc w:val="right"/>
              <w:ind w:right="384"/>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8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1380" w:type="dxa"/>
            <w:vAlign w:val="bottom"/>
            <w:gridSpan w:val="2"/>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225</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454</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55"/>
        </w:trPr>
        <w:tc>
          <w:tcPr>
            <w:tcW w:w="4680" w:type="dxa"/>
            <w:vAlign w:val="bottom"/>
          </w:tcPr>
          <w:p>
            <w:pPr>
              <w:spacing w:after="0" w:line="155"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753</w:t>
            </w:r>
          </w:p>
        </w:tc>
        <w:tc>
          <w:tcPr>
            <w:tcW w:w="7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1,317</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hanging="330"/>
        <w:spacing w:after="0" w:line="252"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the consolidated statements of operations and Note 15 to our consolidated financial statements included elsewhere in this prospectus for an explanation of the method used to compute the historical and pro forma net loss per share and the number of shares used in the computation of the per share amounts.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2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As of March 31,</w:t>
            </w:r>
          </w:p>
        </w:tc>
      </w:tr>
      <w:tr>
        <w:trPr>
          <w:trHeight w:val="142"/>
        </w:trPr>
        <w:tc>
          <w:tcPr>
            <w:tcW w:w="5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102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19"/>
        </w:trPr>
        <w:tc>
          <w:tcPr>
            <w:tcW w:w="5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3"/>
          </w:tcPr>
          <w:p>
            <w:pPr>
              <w:jc w:val="right"/>
              <w:ind w:right="300"/>
              <w:spacing w:after="0"/>
              <w:rPr>
                <w:sz w:val="20"/>
                <w:szCs w:val="20"/>
                <w:color w:val="auto"/>
              </w:rPr>
            </w:pPr>
            <w:r>
              <w:rPr>
                <w:rFonts w:ascii="Arial" w:cs="Arial" w:eastAsia="Arial" w:hAnsi="Arial"/>
                <w:sz w:val="18"/>
                <w:szCs w:val="18"/>
                <w:color w:val="auto"/>
              </w:rPr>
              <w:t>$ 22,617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  19,744</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w w:val="95"/>
              </w:rPr>
              <w:t>$  21,844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33,237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(22,262)</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(28,291)</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(29,162)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3"/>
          </w:tcPr>
          <w:p>
            <w:pPr>
              <w:jc w:val="right"/>
              <w:ind w:right="300"/>
              <w:spacing w:after="0"/>
              <w:rPr>
                <w:sz w:val="20"/>
                <w:szCs w:val="20"/>
                <w:color w:val="auto"/>
              </w:rPr>
            </w:pPr>
            <w:r>
              <w:rPr>
                <w:rFonts w:ascii="Arial" w:cs="Arial" w:eastAsia="Arial" w:hAnsi="Arial"/>
                <w:sz w:val="18"/>
                <w:szCs w:val="18"/>
                <w:color w:val="auto"/>
              </w:rPr>
              <w:t>33,563</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41,670</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35,302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57,647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683</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160" w:type="dxa"/>
            <w:vAlign w:val="bottom"/>
            <w:gridSpan w:val="3"/>
          </w:tcPr>
          <w:p>
            <w:pPr>
              <w:jc w:val="right"/>
              <w:ind w:right="300"/>
              <w:spacing w:after="0"/>
              <w:rPr>
                <w:sz w:val="20"/>
                <w:szCs w:val="20"/>
                <w:color w:val="auto"/>
              </w:rPr>
            </w:pPr>
            <w:r>
              <w:rPr>
                <w:rFonts w:ascii="Arial" w:cs="Arial" w:eastAsia="Arial" w:hAnsi="Arial"/>
                <w:sz w:val="18"/>
                <w:szCs w:val="18"/>
                <w:color w:val="auto"/>
              </w:rPr>
              <w:t>3,025</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9,131</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3,220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10,666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(95,619)</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(115,505)</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(100,995)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(121,190)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(92,603)</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(106,388)</w:t>
            </w: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(97,780)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0" w:lineRule="exact"/>
        <w:rPr>
          <w:sz w:val="20"/>
          <w:szCs w:val="20"/>
          <w:color w:val="auto"/>
        </w:rPr>
      </w:pPr>
    </w:p>
    <w:p>
      <w:pPr>
        <w:ind w:left="640" w:hanging="430"/>
        <w:spacing w:after="0" w:line="277"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 See our consolidated financial statements and the related notes included elsewhere in this prospectus for further details regarding our current assets and current liabilities.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0" w:lineRule="exact"/>
        <w:rPr>
          <w:sz w:val="20"/>
          <w:szCs w:val="20"/>
          <w:color w:val="auto"/>
        </w:rPr>
      </w:pPr>
    </w:p>
    <w:p>
      <w:pPr>
        <w:jc w:val="both"/>
        <w:ind w:left="220" w:right="20" w:firstLine="440"/>
        <w:spacing w:after="0" w:line="279"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We are also developing a complementary liquid biopsy assay that analyzes all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are also planning to release a diagnostic based on our NeXT Platform that we envision being used initially by biopharmaceutical customers and clinical collaborators. Since inception, we have provided our services to more than 45 biopharmaceutical customers, including several of the largest pharmaceutical companies in the world.</w:t>
      </w:r>
    </w:p>
    <w:p>
      <w:pPr>
        <w:spacing w:after="0" w:line="180"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We have focused on human genome sequencing since our inception in 2011. In 2013, we introduced our patented ACE Exome technology, providing enhanced and more complete coverage over all of the approximately 20,000 human genes. The superior performance of ACE Exome technology compared to other exomes was described in Genome Medicine and Nature Review publications.</w:t>
      </w:r>
    </w:p>
    <w:p>
      <w:pPr>
        <w:spacing w:after="0" w:line="183"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In November 2016, we launched our ACE ImmunoID product, the first generation of our immuno-oncology genomics platform that combined our ACE exome and transcriptome technology with analytics to provide a more comprehensive tumor profiling solution for biopharma customers conducting cancer clinical trials and translational research. With ACE ImmunoID for Personalized Cancer Therapy, we further enhanced the platform for personalized cancer therapy customers with additional neoantigen analytics, improved turnaround times, and access to a Device Master File that we filed with the U.S. Food and Drug Administration. With the ACE ImmunoID for Biomarkers, we extended the platform further with ImmunogenomicsID, a broad immuno-genomics biomarker analysis engine. In November 2018, we announced ImmunoID NeXT, our universal cancer immunogenomics platform, which is the first technology to enable comprehensive analysis of both a tumor and its immune microenvironment from a single sample and provides utility across immuno-oncology, targeted, and personalized therapies. We expect to do a full commercial launch of ImmunoID NeXT in 2019.</w:t>
      </w:r>
    </w:p>
    <w:p>
      <w:pPr>
        <w:spacing w:after="0" w:line="19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In parallel with the work described above, we also developed multiple clinical diagnostic tests. Clinical diagnostic testing has remained a small portion of our business, primarily because we have elected not to expend the time and resources necessary to secure third-party reimbursement, choosing instead to pursue more immediate revenue opportunities. Nevertheless, it has helped us to develop important capabilities that do not depend on third-party reimbursement. In June 2015, we launched our ACE CancerPlus Test based on a 1,400-gene panel. We plan to build on this experience in 2019 by introducing a clinical diagnostic test based on our ImmunoID NeXT Platform, which will include all of the approximately 20,000 human genes and will be targeted initially to biopharmaceutical customers.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parallel with the development of our platform technology, we have also provided DNA sequencing and analysis services under contract with the U.S. Department of Veterans Affairs (the “VA”) Million Veteran Program (the “VA MVP”), beginning in 2012. This relationship with the VA MVP has enabled us to innovate, scale our operational infrastructure, and achieve greater efficiencies in our lab.</w:t>
      </w:r>
    </w:p>
    <w:p>
      <w:pPr>
        <w:spacing w:after="0" w:line="183"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Our customers include large-cap pharmaceutical companies, emerging biotechnology companies, universities, non-profit medical research institutes, and government entities. We generated revenues of $9.4 million and $37.8 million for the years ended December 31, 2017 and 2018, respectively, and $4.2 million and $14.1 million for the three months ended March 31, 2018 and 2019, respectively. In 2018, 49% of our revenues were generated from VA MVP. Non-VA MVP revenues increased by 114% in 2018 compared to 2017. For the three months ended March 31, 2019, 59% of our revenues were generated from VA MVP. Non-VA MVP revenues increased by 162% in the three months ended March 31, 2019 compared to the three months ended March 31, 2018. Our top five customers represented 45% and 82% of revenues in 2017 and 2018, respectively, and 76% and 90% of revenues for the three months ended March 31, 2018 and 2019, respectively.</w:t>
      </w:r>
    </w:p>
    <w:p>
      <w:pPr>
        <w:spacing w:after="0" w:line="17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also incurred net losses of $23.6 million and $19.9 million for the years ended December 31, 2017 and 2018, respectively, and net losses of $5.4 million and $5.7 million for the three months ended March 31, 2018 and 2019, respectively.</w:t>
      </w:r>
    </w:p>
    <w:p>
      <w:pPr>
        <w:spacing w:after="0" w:line="170"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As of March 31, 2019, we had $33.2 million in cash and cash equivalents. From inception through March 31, 2019, we have funded our operations primarily through cash from operations, redeemable convertible preferred stock issuances, and debt issuances. After giving effect to the anticipated net proceeds from this offering, we expect that our existing cash and cash equivalents, anticipated cash flow from operations, and our $20.0 million financing facility will provide sufficient funds to sustain operations through at least the next 12 months. We have based these estimates on assumptions that may prove to be wrong, and we could exhaust our available capital resources sooner than we expect. See the section titled “Liquidity and Capital Resources; Plan of Operations.”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71" w:lineRule="exact"/>
        <w:rPr>
          <w:sz w:val="20"/>
          <w:szCs w:val="20"/>
          <w:color w:val="auto"/>
        </w:rPr>
      </w:pPr>
    </w:p>
    <w:p>
      <w:pPr>
        <w:ind w:left="1080" w:right="20" w:hanging="438"/>
        <w:spacing w:after="0" w:line="347"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Our performance depends on the willingness of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continue to seek more comprehensive molecular information to develop more efficacious cancer therapies.</w:t>
      </w:r>
    </w:p>
    <w:p>
      <w:pPr>
        <w:spacing w:after="0" w:line="21" w:lineRule="exact"/>
        <w:rPr>
          <w:rFonts w:ascii="Arial" w:cs="Arial" w:eastAsia="Arial" w:hAnsi="Arial"/>
          <w:sz w:val="16"/>
          <w:szCs w:val="16"/>
          <w:color w:val="auto"/>
        </w:rPr>
      </w:pPr>
    </w:p>
    <w:p>
      <w:pPr>
        <w:jc w:val="both"/>
        <w:ind w:left="1080" w:hanging="438"/>
        <w:spacing w:after="0" w:line="297"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Increasing adoption of our products and solutions by existing customers. </w:t>
      </w:r>
      <w:r>
        <w:rPr>
          <w:rFonts w:ascii="Arial" w:cs="Arial" w:eastAsia="Arial" w:hAnsi="Arial"/>
          <w:sz w:val="16"/>
          <w:szCs w:val="16"/>
          <w:color w:val="auto"/>
        </w:rPr>
        <w:t>Our performance depends on our ability to retain and broaden</w:t>
      </w:r>
      <w:r>
        <w:rPr>
          <w:rFonts w:ascii="Arial" w:cs="Arial" w:eastAsia="Arial" w:hAnsi="Arial"/>
          <w:sz w:val="16"/>
          <w:szCs w:val="16"/>
          <w:b w:val="1"/>
          <w:bCs w:val="1"/>
          <w:color w:val="auto"/>
        </w:rPr>
        <w:t xml:space="preserve"> </w:t>
      </w:r>
      <w:r>
        <w:rPr>
          <w:rFonts w:ascii="Arial" w:cs="Arial" w:eastAsia="Arial" w:hAnsi="Arial"/>
          <w:sz w:val="16"/>
          <w:szCs w:val="16"/>
          <w:color w:val="auto"/>
        </w:rPr>
        <w:t>adoption with existing customers. Because our technology is novel, some customers begin using our platform by initiating pilot studies involving a small number of samples to gain experience with our service. As a result, historically a significant portion of our revenues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62" w:lineRule="exact"/>
        <w:rPr>
          <w:rFonts w:ascii="Arial" w:cs="Arial" w:eastAsia="Arial" w:hAnsi="Arial"/>
          <w:sz w:val="16"/>
          <w:szCs w:val="16"/>
          <w:color w:val="auto"/>
        </w:rPr>
      </w:pPr>
    </w:p>
    <w:p>
      <w:pPr>
        <w:jc w:val="both"/>
        <w:ind w:left="1080" w:hanging="438"/>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Adoption of our products and solutions by new customers. </w:t>
      </w:r>
      <w:r>
        <w:rPr>
          <w:rFonts w:ascii="Arial" w:cs="Arial" w:eastAsia="Arial" w:hAnsi="Arial"/>
          <w:sz w:val="18"/>
          <w:szCs w:val="18"/>
          <w:color w:val="auto"/>
        </w:rPr>
        <w:t>While new customers initially may not account for significant revenues,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platform. Accessing these new customers through scientific engagement and marketing to gain initial buy-in is critical to our success and gives us the opportunity to demonstrate the utility of our platform.</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hanging="438"/>
        <w:spacing w:after="0" w:line="272"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Our revenues and costs are affected by the volume of samples we receive from customers from period to period. </w:t>
      </w:r>
      <w:r>
        <w:rPr>
          <w:rFonts w:ascii="Arial" w:cs="Arial" w:eastAsia="Arial" w:hAnsi="Arial"/>
          <w:sz w:val="17"/>
          <w:szCs w:val="17"/>
          <w:color w:val="auto"/>
        </w:rPr>
        <w:t>The timing and size</w:t>
      </w:r>
      <w:r>
        <w:rPr>
          <w:rFonts w:ascii="Arial" w:cs="Arial" w:eastAsia="Arial" w:hAnsi="Arial"/>
          <w:sz w:val="17"/>
          <w:szCs w:val="17"/>
          <w:b w:val="1"/>
          <w:bCs w:val="1"/>
          <w:color w:val="auto"/>
        </w:rPr>
        <w:t xml:space="preserve"> </w:t>
      </w:r>
      <w:r>
        <w:rPr>
          <w:rFonts w:ascii="Arial" w:cs="Arial" w:eastAsia="Arial" w:hAnsi="Arial"/>
          <w:sz w:val="17"/>
          <w:szCs w:val="17"/>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do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 Our business can be seasonal, as we historically have received fewer samples during July and August.</w:t>
      </w:r>
    </w:p>
    <w:p>
      <w:pPr>
        <w:spacing w:after="0" w:line="81" w:lineRule="exact"/>
        <w:rPr>
          <w:rFonts w:ascii="Arial" w:cs="Arial" w:eastAsia="Arial" w:hAnsi="Arial"/>
          <w:sz w:val="17"/>
          <w:szCs w:val="17"/>
          <w:color w:val="auto"/>
        </w:rPr>
      </w:pPr>
    </w:p>
    <w:p>
      <w:pPr>
        <w:jc w:val="both"/>
        <w:ind w:left="1080" w:hanging="438"/>
        <w:spacing w:after="0" w:line="272"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Investment in product innovation to support commercial growth</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in research and development, including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new products is critical to establish and maintain our leading position. In particular, we have invested in NeoantigenID, a neoantigen characterization report, ImmunogenomicsID, a broad biomarker report, and ImmunoID NeXT, our universal cancer immunogenomics platform. We are also collaborating with investigators from academic cancer centers, such as Inova Health System, Stanford Medicine, and the Parker Institute for Cancer Immunotherapy, to support the utility of our platform. We believe this work is critical to gaining customer adoption and expect our investments in these efforts to increase. We believe utility for our product may result in additional expenditures to develop and market new products, including a diagnostic or database.</w:t>
      </w:r>
    </w:p>
    <w:p>
      <w:pPr>
        <w:spacing w:after="0" w:line="81" w:lineRule="exact"/>
        <w:rPr>
          <w:rFonts w:ascii="Arial" w:cs="Arial" w:eastAsia="Arial" w:hAnsi="Arial"/>
          <w:sz w:val="17"/>
          <w:szCs w:val="17"/>
          <w:color w:val="auto"/>
        </w:rPr>
      </w:pPr>
    </w:p>
    <w:p>
      <w:pPr>
        <w:jc w:val="both"/>
        <w:ind w:left="1080" w:hanging="438"/>
        <w:spacing w:after="0" w:line="27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operational infrastructure. </w:t>
      </w:r>
      <w:r>
        <w:rPr>
          <w:rFonts w:ascii="Arial" w:cs="Arial" w:eastAsia="Arial" w:hAnsi="Arial"/>
          <w:sz w:val="17"/>
          <w:szCs w:val="17"/>
          <w:color w:val="auto"/>
        </w:rPr>
        <w:t>We have invested significantly, and will continue to invest, in our sample processing capabilities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 infrastructure. With our current operating model and infrastructure, we can increase our production and commercialize new generations of our platform, but as our volumes continue to increase we will ultimately need to invest in additional production capabilities. We expect to grow our revenues and spread our costs over a larger volume of services. In addition, we may invest significant amounts in infrastructure to support new products resulting from our research and development activities.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We derive our revenues primarily from sequencing and data analysis services to support the development of next-generation cancer therapies.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6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additional state-of-the-art products, advancing our operational infrastructure,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have one reportable segment from the sale of sequencing and data analysis services. Substantially all of our revenues to date have been derived from sales in the United States.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 by customer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by customer type were as follows: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4"/>
                <w:szCs w:val="14"/>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3"/>
          </w:tcPr>
          <w:p>
            <w:pPr>
              <w:jc w:val="right"/>
              <w:ind w:right="11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VA MVP</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$18,601</w:t>
            </w:r>
          </w:p>
        </w:tc>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All other customers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8,972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19,173</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2,187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9,393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37,774</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 concentration</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top five customers represented 45% and 82% of revenues in 2017 and 2018, respectively. Our top five customers represented 76% and 90% of revenues for the three months ended March 31, 2018 and 2019, respectively. Customers that accounted for equal to or greater than 10% of revenues in 2017 or 2018 and for the three months ended March 31, 2018 and 2019 were as follows: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400" w:type="dxa"/>
            <w:vAlign w:val="bottom"/>
            <w:gridSpan w:val="4"/>
          </w:tcPr>
          <w:p>
            <w:pPr>
              <w:jc w:val="right"/>
              <w:ind w:right="1620"/>
              <w:spacing w:after="0"/>
              <w:rPr>
                <w:sz w:val="20"/>
                <w:szCs w:val="20"/>
                <w:color w:val="auto"/>
              </w:rPr>
            </w:pPr>
            <w:r>
              <w:rPr>
                <w:rFonts w:ascii="Arial" w:cs="Arial" w:eastAsia="Arial" w:hAnsi="Arial"/>
                <w:sz w:val="14"/>
                <w:szCs w:val="14"/>
                <w:b w:val="1"/>
                <w:bCs w:val="1"/>
                <w:color w:val="auto"/>
              </w:rPr>
              <w:t>Year Ended December 31,</w:t>
            </w:r>
          </w:p>
        </w:tc>
        <w:tc>
          <w:tcPr>
            <w:tcW w:w="22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53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1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14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4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VA MVP</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49%</w:t>
            </w:r>
          </w:p>
        </w:tc>
        <w:tc>
          <w:tcPr>
            <w:tcW w:w="17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Merck &amp; Co., Inc.</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12%</w:t>
            </w:r>
          </w:p>
        </w:tc>
        <w:tc>
          <w:tcPr>
            <w:tcW w:w="1720" w:type="dxa"/>
            <w:vAlign w:val="bottom"/>
            <w:gridSpan w:val="2"/>
          </w:tcPr>
          <w:p>
            <w:pPr>
              <w:jc w:val="right"/>
              <w:ind w:right="1260"/>
              <w:spacing w:after="0"/>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Pfizer Inc.</w:t>
            </w:r>
          </w:p>
        </w:tc>
        <w:tc>
          <w:tcPr>
            <w:tcW w:w="17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Customer A</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13%</w:t>
            </w:r>
          </w:p>
        </w:tc>
        <w:tc>
          <w:tcPr>
            <w:tcW w:w="170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10%</w:t>
            </w:r>
          </w:p>
        </w:tc>
        <w:tc>
          <w:tcPr>
            <w:tcW w:w="17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0" w:lineRule="exact"/>
        <w:rPr>
          <w:sz w:val="20"/>
          <w:szCs w:val="20"/>
          <w:color w:val="auto"/>
        </w:rPr>
      </w:pPr>
    </w:p>
    <w:p>
      <w:pPr>
        <w:ind w:left="540" w:hanging="330"/>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10% of revenues.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 concentration</w:t>
      </w:r>
    </w:p>
    <w:p>
      <w:pPr>
        <w:spacing w:after="0" w:line="11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As of December 31, 2017 and 2018 and as of March 31, 2018 and 2019, customers that accounted for greater than 10% of accounts receivable were as follows: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As of December 31,</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6"/>
              </w:rPr>
              <w:t>As of March 31,</w:t>
            </w:r>
          </w:p>
        </w:tc>
      </w:tr>
      <w:tr>
        <w:trPr>
          <w:trHeight w:val="142"/>
        </w:trPr>
        <w:tc>
          <w:tcPr>
            <w:tcW w:w="53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1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14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Pfizer Inc.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Customer A</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17%</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Merck &amp; Co., Inc.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Customer B</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VA MVP</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36" w:lineRule="exact"/>
        <w:rPr>
          <w:sz w:val="20"/>
          <w:szCs w:val="20"/>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Less than 10% of accounts receivable.</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Costs of revenues</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Costs of revenues consist of production material costs, personnel costs (salaries, bonuses, benefits, and stock-based compensation), costs of consumables, laboratory supplies, depreciation and service maintenance on capitalized equipment, and information technology (“IT”) and facility costs. We expect the costs of revenues to increase as our revenues grow, but the cost per unit of data delivered to decrease over time due to economies of scale we may gain as volume increases, automation initiatives, and other cost reductions.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Research and development expenses consist of costs incurred for the development of our products. These expenses consist primarily of payroll and personnel costs (salaries, bonuses, benefits, and stock-based compensation), costs of consumables, laboratory supplies, depreciation and service maintenance on capitalized equipment, and IT and facility costs. These expenses also include costs associated with our collaborations, which we expect to increase over time.</w:t>
      </w:r>
    </w:p>
    <w:p>
      <w:pPr>
        <w:spacing w:after="0" w:line="18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expense our research and development expenses in the period in which they are incurred. We expect to increase our research and development expenses as we continue to develop new products.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Selling expenses consist of personnel costs, customer support expenses, direct marketing expenses, educational and promotional expenses, and market research. Our general and administrative expenses include costs for our executive, accounting, finance, legal, and human resources functions. These expenses consist of personnel costs, audit and legal expenses, consulting costs, and IT and facility costs. We expense all selling, general, and administrative expenses as incurred.</w:t>
      </w:r>
    </w:p>
    <w:p>
      <w:pPr>
        <w:spacing w:after="0" w:line="186"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will increase as we scale our operations. In addition, we expect to incur additional accounting, legal, director and officer insurance, and other expenses as a public company that we did not incur as a private company.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consists primarily of interest earned on our cash and cash equivalents.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Interest expense primarily consists of cash and non-cash interest costs related to our term loan, convertible promissory notes, and revolving loan. We record costs incurred in connection with the issuance of debt as a direct deduction from the debt liability. We amortize these costs over the term of our debt agreements as interest expense in our consolidated statements of operations.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incurred a loss on debt extinguishment in 2018 resulting from changes in the maturity dates of the convertible notes issued in 2017. See Note 6 to our consolidated financial statements included elsewhere in this prospectus.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Other income (expense), net consists of changes in the fair value of the compound derivative instrument, changes in fair value of convertible preferred stock warrant liability, and foreign currency exchange gains and losses. We expect our foreign currency gains and losses to continue to fluctuate in the future due to changes in foreign currency exchange rates.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 and the Three Months Ended March 31, 2018 and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7"/>
          </w:tcPr>
          <w:p>
            <w:pPr>
              <w:jc w:val="right"/>
              <w:ind w:right="13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gridSpan w:val="8"/>
          </w:tcPr>
          <w:p>
            <w:pPr>
              <w:jc w:val="right"/>
              <w:ind w:right="593"/>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4,164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revenues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4,065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9,919</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14,304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33"/>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2,313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31,556</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51,544</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(13,770)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3"/>
              <w:spacing w:after="0"/>
              <w:rPr>
                <w:sz w:val="20"/>
                <w:szCs w:val="20"/>
                <w:color w:val="auto"/>
              </w:rPr>
            </w:pPr>
            <w:r>
              <w:rPr>
                <w:rFonts w:ascii="Arial" w:cs="Arial" w:eastAsia="Arial" w:hAnsi="Arial"/>
                <w:sz w:val="18"/>
                <w:szCs w:val="18"/>
                <w:color w:val="auto"/>
              </w:rPr>
              <w:t>(5,163)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3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3"/>
              <w:spacing w:after="0"/>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760"/>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8"/>
                <w:szCs w:val="18"/>
                <w:color w:val="auto"/>
              </w:rPr>
            </w:pPr>
          </w:p>
        </w:tc>
        <w:tc>
          <w:tcPr>
            <w:tcW w:w="1600" w:type="dxa"/>
            <w:vAlign w:val="bottom"/>
            <w:gridSpan w:val="2"/>
          </w:tcPr>
          <w:p>
            <w:pPr>
              <w:jc w:val="right"/>
              <w:ind w:right="7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(23,593)</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3"/>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820" w:type="dxa"/>
            <w:vAlign w:val="bottom"/>
            <w:gridSpan w:val="2"/>
          </w:tcPr>
          <w:p>
            <w:pPr>
              <w:jc w:val="right"/>
              <w:ind w:right="7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73"/>
              <w:spacing w:after="0"/>
              <w:rPr>
                <w:sz w:val="20"/>
                <w:szCs w:val="20"/>
                <w:color w:val="auto"/>
              </w:rPr>
            </w:pPr>
            <w:r>
              <w:rPr>
                <w:rFonts w:ascii="Arial" w:cs="Arial" w:eastAsia="Arial" w:hAnsi="Arial"/>
                <w:sz w:val="18"/>
                <w:szCs w:val="18"/>
                <w:color w:val="auto"/>
              </w:rPr>
              <w:t>(0.44)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shares outstanding, basic and 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12,126,544</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12,252,629</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12,206,325</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12,365,371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share, basic and diluted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shares outstanding, basic</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and diluted (unaudited)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81,934,173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87,018,919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Years Ended December 31, 2017 and 2018</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Revenues were $9.4 million for the year ended December 31, 2017 compared to $37.8 million for the year ended December 31, 2018, an increase of $28.4 million, or 302%. This increase in revenues was primarily due to an increase in the volume of samples we tested in relation to the sequencing and data analysis services we provided to our customers. The increase in samples tested was primarily due to additional volume from both existing and new customers, including an increase in the number of projects per customer. For the year ended December 31, 2018, revenues from existing customers and existing projects accounted for 58% of total revenues, and the remaining 42% of revenues was generated from new projects from our existing customers and new customers acquired in 2018.</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Three Months Ended March 31, 2018 and 2019</w:t>
      </w:r>
    </w:p>
    <w:p>
      <w:pPr>
        <w:spacing w:after="0" w:line="225"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Revenues were $4.2 million for the three months ended March 31, 2018 compared to $14.1 million for the three months ended March 31, 2019, an increase of $9.9 million, or 236%. This increase in revenues was primarily due to an increase in the volume of samples we tested in relation to the sequencing and data analysis services we provided to our customers. The increase in samples tested was primarily due to additional volume from both existing and new customers, including an increase in the number of projects per customer. For the three months ended March 31, 2019, revenues from existing customers and existing projects accounted for 10% of total revenues, and the remaining 90% of revenues was generated from new projects from our existing customers and new customers acquired in 2018 and 2019.</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Years Ended December 31, 2017 and 2018</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Costs of revenues were $11.7 million for the year ended December 31, 2017 compared to $26.0 million for the year ended December 31, 2018, an increase of $14.3 million, or 121%. This increase was primarily due to the increase in revenues discussed above. The cost components related to the increase in costs of revenues were an increase in production materials of $9.6 million, an increase in depreciation and service maintenance on capitalized equipment of $2.0 million, an increase in expensed equipment, consumables, and laboratory supplies of $1.2 million, an increase related to personnel costs including salaries, bonuses, benefits, and stock-based compensation expenses of $1.0 million, and an increase in IT and facility costs of $0.5 million.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Three Months Ended March 31, 2018 and 2019</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Costs of revenues were $4.1 million for the three months ended March 31, 2018 compared to $10.1 million for the three months ended March 31, 2019, an increase of $6.0 million, or 146%. This increase was primarily due to the increase in revenues discussed above. The cost components related to the increase in costs of revenues were an increase in production materials of $3.7 million, an increase related to personnel costs including salaries, bonuses, benefits, and stock-based compensation expenses of $1.1 million, an increase in depreciation and service maintenance on capitalized equipment of $0.6 million, an increase in the consumption cost of expensed equipment, consumables, and laboratory supplies of $0.4 million, and an increase in IT and facility costs of $0.2 million.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Years Ended December 31, 2017 and 2018</w:t>
      </w:r>
    </w:p>
    <w:p>
      <w:pPr>
        <w:spacing w:after="0" w:line="117"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Research and development expenses were $9.9 million for the year ended December 31, 2017 compared to $14.3 million for the year ended December 31, 2018, an increase of $4.4 million, or 44%. This was primarily due to increased development activities for new product offerings, lab and automation development costs, and IT and facility costs. Research and development expenses increased due to an increase of $2.3 million in personnel-related expenses, including salaries, bonuses, benefits, and stock-based compensation expenses, a $1.1 million increase in IT and facility costs, a $0.8 million increase in laboratory and automation supplies consumed and equipment, and a $0.2 million increase in other costs.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Three Months Ended March 31, 2018 and 2019</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Research and development expenses were $2.9 million for the three months ended March 31, 2018 compared to $5.2 million for the three months ended March 31, 2019, an increase of $2.3 million, or 79%. This was primarily due to increased development activities for new product offerings, lab and automation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9" w:lineRule="auto"/>
        <w:rPr>
          <w:sz w:val="20"/>
          <w:szCs w:val="20"/>
          <w:color w:val="auto"/>
        </w:rPr>
      </w:pPr>
      <w:r>
        <w:rPr>
          <w:rFonts w:ascii="Arial" w:cs="Arial" w:eastAsia="Arial" w:hAnsi="Arial"/>
          <w:sz w:val="18"/>
          <w:szCs w:val="18"/>
          <w:color w:val="auto"/>
        </w:rPr>
        <w:t>development costs, and IT and facility costs. Research and development expenses increased due to an increase of $0.9 million in personnel-related expenses, including salaries, bonuses, benefits, and stock-based compensation expenses, a $0.9 million increase in laboratory and automation supplies consumed and equipment, a $0.3 million increase in depreciation and service maintenance on capitalized equipment and a $0.2 million increase in IT and facility costs.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Years Ended December 31, 2017 and 2018</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Selling, general, and administrative expenses were $9.9 million for the year ended December 31, 2017 compared to $11.3 million for the year ended December 31, 2018, an increase of $1.4 million, or 14%. Selling, general, and administrative expenses increased due to a $1.0 million increase in personnel-related expenses including salaries, bonuses, benefits, and stock-based compensation expenses, a $0.2 million increase in professional services, and a $0.2 million increase in other costs.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Three Months Ended March 31, 2018 and 2019</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Selling, general, and administrative expenses were $2.3 million for the three months ended March 31, 2018 compared to $4.2 million for the three months ended March 31, 2019, an increase of $1.9 million, or 83%. Selling, general, and administrative expenses increased due to a $1.3 million increase in personnel-related expenses including salaries, bonuses, benefits, and stock-based compensation expenses, a $0.5 million increase in professional services, and a $0.1 million increase in other costs.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w w:val="93"/>
              </w:rPr>
              <w:t>Three Months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Changes in fair values of warrants for Series B and Series C convertible preferred</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(327)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134</w:t>
            </w:r>
          </w:p>
        </w:tc>
        <w:tc>
          <w:tcPr>
            <w:tcW w:w="7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$ 134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Changes in fair value of the compound derivative instrument</w:t>
            </w:r>
          </w:p>
        </w:tc>
        <w:tc>
          <w:tcPr>
            <w:tcW w:w="10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(162)</w:t>
            </w: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574</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353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other (expenses) income,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Years Ended December 31, 2017 and 2018</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had other expense, net of $0.2 million for the year ended December 31, 2017, compared to other income, net of $0.2 million for the year ended December 31, 2018, an increase of approximately $0.4 million, or 166.1%. This increase was driven by a decrease in the fair value of a compound derivative instrument of approximately $0.7 million in 2018, partially offset by an increase in the fair values of warrants for Series B and Series C redeemable convertible preferred stock of approximately $0.3 million.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the Three Months Ended March 31, 2018 and 2019</w:t>
      </w:r>
    </w:p>
    <w:p>
      <w:pPr>
        <w:spacing w:after="0" w:line="117"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We had other income, net of $0.4 million for the three months ended March 31, 2018, compared to other income, net of $0.2 million for the three months ended March 31, 2019. The decrease was primarily driven by a $0.4 million decrease in fair value of the compound derivative instrument partially offset by a $0.1 million increase in the fair values of warrants for Series B and Series C redeemable convertible preferred stock.</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From our inception through March 31, 2019, we have funded our operations primarily from $89.6 million from issuance of redeemable convertible preferred stock, as well as cash from operations and debt financing. In the year ended December 31, 2017, we received $12.2 million in gross cash proceeds from the issuance of convertible notes, and $5.0 million in gross cash proceeds from a revolving loan. On March 22, 2019, we received $20.0 million in gross cash proceeds from a growth capital loan. As of March 31, 2019, we had cash and cash equivalents in the amount of $33.2 million.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We have incurred net losses since our inception. For the years ended December 31, 2017 and 2018, we had net losses as of $23.6 million and $19.9 million, respectively, and for the three months ended March 31, 2018 and 2019, we had net losses of $5.4 million and $5.7 million, respectively, and we expect to incur additional losses in future periods. As of March 31, 2019, we had an accumulated deficit of $121.2 million. We believe that our existing cash, cash investments and anticipated cash flow from operations will provide sufficient funds to sustain operations through at least the next 12 months. See Note 16 to our audited consolidated financial statements included elsewhere in this prospectus.</w:t>
      </w:r>
    </w:p>
    <w:p>
      <w:pPr>
        <w:spacing w:after="0" w:line="175"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We have based these future funding requirements on assumptions that may prove to be wrong, and we could utilize our available capital resources sooner than we expect. If our available cash balances, net proceeds from this offering and anticipated cash flow from operations are insufficient to satisfy our liquidity requirements including because of lower demand for our services or other risks described in this prospectus,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90" w:lineRule="exact"/>
        <w:rPr>
          <w:sz w:val="20"/>
          <w:szCs w:val="20"/>
          <w:color w:val="auto"/>
        </w:rPr>
      </w:pPr>
    </w:p>
    <w:p>
      <w:pPr>
        <w:jc w:val="both"/>
        <w:ind w:left="220" w:right="20" w:firstLine="440"/>
        <w:spacing w:after="0" w:line="341"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However, we have based these estimates on assumptions that may prove to be wrong, and we could use our capital resources sooner than we expect.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In September 2014, we entered into a loan and security agreement with a bank (the “Term Loan”), to borrow up to $3.0 million under an equipment loan secured by the equipment financed. On October 3, 2014, we borrowed $2.4 million under this loan agreement. The Term Loan required 12 interest-only payments, followed by 36 equal monthly installments of principal, plus interest, which began on October 3, 2015.</w:t>
      </w:r>
    </w:p>
    <w:p>
      <w:pPr>
        <w:spacing w:after="0" w:line="16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connection with the Term Loan, we issued a 10-year warrant to purchase 89,956 shares of our Series B redeemable convertible preferred stock at an exercise price of $1.15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2018, the Term Loan was repaid in full.</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Loan</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June 2017, we entered into a $10.0 million revolving loan and security agreement (the “Revolving Loan”) with TriplePoint Capital LLC (“TriplePoint”). Borrowings under the Revolving Loan had an interest rate of</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prime, plus 6.75%. The Revolving Loan also had a 5.5% end of term loan payment on the highest outstanding principal amount. The Revolving Loan required monthly interest-only payments until the maturity date. The Revolving Loan’s original maturity date was December 31, 2018 and in December 2018 the maturity date was further extended until March 22, 2019. See Note 16 to our consolidated financial statements included elsewhere in this prospectus. The maturity date of the extension of the Revolving Loan was not deemed substantial therefore we accounted for the transaction as a debt modification.</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As of both December 31, 2017 and 2018, our outstanding principal under the Revolving Loan was $5.0 million and $5.0 million was available to borrow.</w:t>
      </w:r>
    </w:p>
    <w:p>
      <w:pPr>
        <w:spacing w:after="0" w:line="170" w:lineRule="exact"/>
        <w:rPr>
          <w:sz w:val="20"/>
          <w:szCs w:val="20"/>
          <w:color w:val="auto"/>
        </w:rPr>
      </w:pPr>
    </w:p>
    <w:p>
      <w:pPr>
        <w:jc w:val="both"/>
        <w:ind w:left="220" w:firstLine="440"/>
        <w:spacing w:after="0" w:line="341" w:lineRule="auto"/>
        <w:rPr>
          <w:sz w:val="20"/>
          <w:szCs w:val="20"/>
          <w:color w:val="auto"/>
        </w:rPr>
      </w:pPr>
      <w:r>
        <w:rPr>
          <w:rFonts w:ascii="Arial" w:cs="Arial" w:eastAsia="Arial" w:hAnsi="Arial"/>
          <w:sz w:val="16"/>
          <w:szCs w:val="16"/>
          <w:color w:val="auto"/>
        </w:rPr>
        <w:t>In connection with the Revolving Loan, we issued a warrant to purchase up to 248,385 shares of our Series C redeemable convertible preferred stock at an exercise price of $2.013 per share. See Note 5 to our consolidated financial statements included elsewhere in this prospectus.</w:t>
      </w:r>
    </w:p>
    <w:p>
      <w:pPr>
        <w:spacing w:after="0" w:line="125"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expenses for the years ended December 31, 2017 and 2018 were $0.4 million and $0.9 million, respectively.</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March 2019, we entered into an amendment to the Revolving Loan with TriplePoint that provided for a $20.0 million growth capital loan facility (the “Growth Capital Loan”). In March 2019, we used $5.3 million of the Growth Capital Loan to repay all amounts owing in respect of the Revolving Loan.</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Growth Capital Loan</w:t>
      </w:r>
    </w:p>
    <w:p>
      <w:pPr>
        <w:spacing w:after="0" w:line="117"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color w:val="auto"/>
        </w:rPr>
        <w:t>On March 22, 2019, we entered into the Growth Capital Loan with TriplePoint to provide for a $20.0 million growth capital loan facility and as of March 31, 2019, had drawn down the full $20.0 million available under the facility. We used $5.3 million of the Growth Capital Loan to repay, in its entirety, all amounts outstanding under the Revolving Loan. Borrowings under the Growth Capital Loan bear interest at a floating rate of prime rate plus 5.00% for borrowings up to $15.0 million and the prime rate plus 6.50% for borrowing greater than $15.0 million; provided, however, that in an event of default, as defined in the loan and security agreement, the interest rate applicable to borrowings under such agreement will be increased by 5.0%. Under the agreement, we are required to make monthly interest-only payments through April 1, 2020 and are required to make 36 equal monthly payments of principal, plus accrued interest, from April 1, 2020 through March 1, 2023, when all unpaid principal and interest becomes due and payable. We may voluntarily prepay all, but not part, of the outstanding principal at any time prior to the maturity date, subject to a prepayment fee of 1% of the outstanding balance, if prepaid in months one through 12 of the loan term. If prepaid after month 12 of the loan term of any growth capital loan, no additional prepayment premium shall be due. In addition to the final payment, we will pay an amount equal to 2.75% of each principal amount drawn under this growth capital loan facility. In connection with the Growth Capital Loan, we issued a warrant to purchase 262,008 shares of common stock to the lender at an exercise price of $2.29 per share. We recorded the issuance-date fair value of the warrant of $0.6 million and fees paid to the lender of $0.3 million as a debt discount which is amortized over the term of the Growth Capital Loan using the effective interest rate method.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issuance, the Growth Capital Loan had an effective interest rate of 15.23% per year.</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On June 29, 2017, we entered into a convertible promissory note agreements (the “Convertible Notes”) with certain existing redeemable convertible preferred stockholders and third parties (the “Investors”) for the issuance of convertible promissory notes with a face value of $12.2 million. Under the terms of the Convertible Notes agreement, the Convertible Notes bear interest of 8% per annum, with a maturity date of June 28, 2018. In the event that we issued and sold shares of its equity securities (the “Equity Securities”) to Investors on or before the maturity date in an equity financing with total proceeds to us of not less than $10 million (including the conversion of the Convertible Notes or other convertible securities issued for capital raising purposes) (a</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6" w:lineRule="auto"/>
        <w:rPr>
          <w:sz w:val="20"/>
          <w:szCs w:val="20"/>
          <w:color w:val="auto"/>
        </w:rPr>
      </w:pPr>
      <w:r>
        <w:rPr>
          <w:rFonts w:ascii="Arial" w:cs="Arial" w:eastAsia="Arial" w:hAnsi="Arial"/>
          <w:sz w:val="16"/>
          <w:szCs w:val="16"/>
          <w:color w:val="auto"/>
        </w:rPr>
        <w:t>“Qualified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we consummated a change of control while the Convertible Notes remained outstanding, we would have repaid the holders in cash an amount equal to 150% of the outstanding principal amount of the Convertible Notes, plus any unpaid accrued interest on the original principal. The Convertible Notes had customary events of default.</w:t>
      </w:r>
    </w:p>
    <w:p>
      <w:pPr>
        <w:spacing w:after="0" w:line="160"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The conversion options of the Convertible Notes did not meet the requirements for separate accounting as an embedded derivative. However, the redemption features of the Convertible Notes met the requirements for separate accounting and were accounted for as a single, compound derivative instrument (see Note 9). The compound derivative instrument was recorded at fair value at inception and was subject to remeasurement to fair value at each consolidated balance sheet date, with any changes in fair value recognized in the consolidated statements of operations. The estimated fair value of the compound derivative instrument at issuance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65"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 xml:space="preserve">On May 31, 2018, the original maturity date for the Convertible Notes was extended to June 28, 2019 (previously June 28, 2018). The maturity date extension was deemed substantial and was accounted for as a debt extinguishment under Accounting Standards Codification (“ASC”) Topic 470, </w:t>
      </w:r>
      <w:r>
        <w:rPr>
          <w:rFonts w:ascii="Arial" w:cs="Arial" w:eastAsia="Arial" w:hAnsi="Arial"/>
          <w:sz w:val="16"/>
          <w:szCs w:val="16"/>
          <w:i w:val="1"/>
          <w:iCs w:val="1"/>
          <w:color w:val="auto"/>
        </w:rPr>
        <w:t>Debt</w:t>
      </w:r>
      <w:r>
        <w:rPr>
          <w:rFonts w:ascii="Arial" w:cs="Arial" w:eastAsia="Arial" w:hAnsi="Arial"/>
          <w:sz w:val="16"/>
          <w:szCs w:val="16"/>
          <w:color w:val="auto"/>
        </w:rPr>
        <w:t>. In connection with the debt extinguishment on May 31, 2018, the fair value of the Convertible Notes was allocated between the carrying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Convertible Notes and accrued interested of $13.1 million, a compound derivative asset of $0.6 million, and an equity component of $3.9 million, which was credited to additional paid-in capital within the consolidated statements of redeemable convertible preferred stock and stockholders’ deficit. The transaction also resulted in a $3.3 million loss recorded as debt extinguishment in the accompanying consolidated statements of operations. The new carrying value of the Convertible Notes was accreted using the effective interest method as interest expense over the new contractual period of 1.1 years.</w:t>
      </w:r>
    </w:p>
    <w:p>
      <w:pPr>
        <w:spacing w:after="0" w:line="165"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On August 20, 2018, the maturity date for the Convertible Notes was changed to September 20, 2018 (previously June 28, 2019). The term change was deemed substantial and was accounted for as a debt extinguishment under ASC Topic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The transaction also resulted in a $0.8 million loss recorded as debt extinguishment in the accompanying consolidated statements of operations. The new carrying value of the Convertible Notes was accreted using the effective interest method as interest expense over the new contractual period of one month.</w:t>
      </w:r>
    </w:p>
    <w:p>
      <w:pPr>
        <w:spacing w:after="0" w:line="16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6,671,990 shares of our Series C redeemable convertible preferred stock at a conversion price equal to $2.013 per share. No gain or loss was recorded on the conversion.</w:t>
      </w:r>
    </w:p>
    <w:p>
      <w:pPr>
        <w:spacing w:after="0" w:line="183" w:lineRule="exact"/>
        <w:rPr>
          <w:sz w:val="20"/>
          <w:szCs w:val="20"/>
          <w:color w:val="auto"/>
        </w:rPr>
      </w:pPr>
    </w:p>
    <w:p>
      <w:pPr>
        <w:jc w:val="center"/>
        <w:ind w:left="760" w:right="140"/>
        <w:spacing w:after="0" w:line="449" w:lineRule="auto"/>
        <w:rPr>
          <w:sz w:val="20"/>
          <w:szCs w:val="20"/>
          <w:color w:val="auto"/>
        </w:rPr>
      </w:pPr>
      <w:r>
        <w:rPr>
          <w:rFonts w:ascii="Arial" w:cs="Arial" w:eastAsia="Arial" w:hAnsi="Arial"/>
          <w:sz w:val="18"/>
          <w:szCs w:val="18"/>
          <w:color w:val="auto"/>
        </w:rPr>
        <w:t>The interest expense on the Convertible Notes for the years ended December 31, 2017 and 2018, was $0.7 million and $0.9 million, respectively. 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Consolidated Statements of 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4"/>
                <w:szCs w:val="14"/>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89"/>
              </w:rPr>
              <w:t>(in thousands)</w:t>
            </w: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   290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$ 5,572</w:t>
            </w:r>
          </w:p>
        </w:tc>
        <w:tc>
          <w:tcPr>
            <w:tcW w:w="1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723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(5,158)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(7,852)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16,404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14,386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Net cash provided by operating activities during the year ended December 31, 2017 was $0.3 million, which resulted from a net loss of $23.6 million, offset by non-cash charges of $3.1 million and net change in our operating assets and liabilities of $20.8 million. Non-cash charges primarily consisted of $1.2 million of depreciation and amortization expense, $0.8 million of stock-based compensation expense, and $1.2 million of non-cash interest expense, change in fair value of compound derivative instrument and convertible preferred stock warrant liability. The net change in our operating assets and liabilities was primarily the result of a $19.1 million increase in customer deposits related to customer prepayments, a $3.3 million increase in accounts payable and accrued liabilities to support inventory and general expenses, partially offset by a $1.2 million increase in accounts receivables related to increases in revenue, a $0.5 million increase in inventory and deferred cost balances, and a decrease of $0.2 million in prepaid expense and other assets.</w:t>
      </w:r>
    </w:p>
    <w:p>
      <w:pPr>
        <w:spacing w:after="0" w:line="190"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Net cash provided by operating activities during the year ended December 31, 2018 was $5.6 million, which resulted from a net loss of $19.9 million, offset by non-cash charges of $10.0 million and net change in our operating assets and liabilities of $15.4 million. Non-cash charges primarily consisted of $4.7 million of loss of debt extinguishment, $3.1 million of depreciation and amortization expense, $1.3 million of stock-based compensation expense, and $1.2 million of accretion of noncash interest, partially offset by $0.2 million of change in fair value of compound derivative instrument and convertible preferred stock warrant liability. The net change in our operating assets and liabilities was primarily the result of a $18.2 million increase in customer deposits related to customer prepayments, a $3.2 million increase in accounts payable and accrued liabilities to support inventory, and general expenses, partially offset by a $2.5 million increase in accounts receivables related to increases in revenue, a $2.1 million increase in inventory and deferred cost balances, and a $1.3 million decrease in prepaid expense and other assets.</w:t>
      </w:r>
    </w:p>
    <w:p>
      <w:pPr>
        <w:spacing w:after="0" w:line="17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Net cash provided by operating activities during the three months ended March 31, 2018 was $0.7 million, which resulted from a net loss of $5.4 million, offset by non-cash charges of $0.7 million and net change in our operating assets and liabilities of $5.3 million. Non-cash charges primarily consisted of $0.5 million of depreciation and amortization expense, $0.2 million of stock-based compensation expense, and $0.5 million of accretion of noncash interest, partially offset by $0.4 million of change in fair value of compound derivative instrument and convertible preferred stock warrant liability. The net change in our operating assets and liabilities was primarily the result of a $6.3 million increase in customer deposits related to customer prepayments, a $0.2 million decrease in accounts payable and accrued liabilities to support inventory, and general expenses, partially offset by a $0.2 million increase in accounts receivables related to increases in revenue, and a $1.0 million decrease in inventory and other deferred cost balances.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Net cash provided by operating activities during the three months ended March 31, 2019 was $0.1 million, which resulted from a net loss of $5.7 million, offset by non-cash charges of $2.0 million and net change in our operating assets and liabilities of $3.7 million. Non-cash charges primarily consisted of $1.0 million of depreciation and amortization expense, $0.6 million of stock-based compensation expense, $0.2 million of change in fair value of convertible preferred stock warrant liability and change in accretion of noncash interest and debt reduction and $0.2 million of change in noncash lease expense. The net change in our operating assets and liabilities was primarily the result of a $1.4 million increase in customer deposits related to customer prepayments, a $0.8 million increase in accounts payable and accrued liabilities to support inventory, and general expenses, partially offset by a $1.3 million increase in accounts receivables related to increase in revenues, a $0.6 million increase in inventory and other deferred cost balances, and a $0.4 million decrease in prepaid expense and other assets.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Net cash used in investing activities for 2017 was $5.2 million, which was primary related to the acquisition of property and equipment used for our sequencing and data analysis services.</w:t>
      </w:r>
    </w:p>
    <w:p>
      <w:pPr>
        <w:spacing w:after="0" w:line="17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Net cash used in investing activities for 2018 was $7.9 million, which was primary related to the acquisition of property and equipment used for our sequencing and data analysis services and facility expansion to support expanded operations.</w:t>
      </w:r>
    </w:p>
    <w:p>
      <w:pPr>
        <w:spacing w:after="0" w:line="170" w:lineRule="exact"/>
        <w:rPr>
          <w:sz w:val="20"/>
          <w:szCs w:val="20"/>
          <w:color w:val="auto"/>
        </w:rPr>
      </w:pPr>
    </w:p>
    <w:p>
      <w:pPr>
        <w:jc w:val="both"/>
        <w:ind w:left="220" w:firstLine="440"/>
        <w:spacing w:after="0" w:line="307" w:lineRule="auto"/>
        <w:rPr>
          <w:sz w:val="20"/>
          <w:szCs w:val="20"/>
          <w:color w:val="auto"/>
        </w:rPr>
      </w:pPr>
      <w:r>
        <w:rPr>
          <w:rFonts w:ascii="Arial" w:cs="Arial" w:eastAsia="Arial" w:hAnsi="Arial"/>
          <w:sz w:val="17"/>
          <w:szCs w:val="17"/>
          <w:color w:val="auto"/>
        </w:rPr>
        <w:t>Net cash used in investing activities for the three months ended March 31, 2018 was $1.3 million, which was primary related to the acquisition of property and equipment used for our sequencing and data analysis services and facility expansion to support expanded operations.</w:t>
      </w:r>
    </w:p>
    <w:p>
      <w:pPr>
        <w:spacing w:after="0" w:line="147" w:lineRule="exact"/>
        <w:rPr>
          <w:sz w:val="20"/>
          <w:szCs w:val="20"/>
          <w:color w:val="auto"/>
        </w:rPr>
      </w:pPr>
    </w:p>
    <w:p>
      <w:pPr>
        <w:jc w:val="both"/>
        <w:ind w:left="220" w:firstLine="440"/>
        <w:spacing w:after="0" w:line="307" w:lineRule="auto"/>
        <w:rPr>
          <w:sz w:val="20"/>
          <w:szCs w:val="20"/>
          <w:color w:val="auto"/>
        </w:rPr>
      </w:pPr>
      <w:r>
        <w:rPr>
          <w:rFonts w:ascii="Arial" w:cs="Arial" w:eastAsia="Arial" w:hAnsi="Arial"/>
          <w:sz w:val="17"/>
          <w:szCs w:val="17"/>
          <w:color w:val="auto"/>
        </w:rPr>
        <w:t>Net cash used in investing activities for the three months ended March 31, 2019 was $1.0 million, which was primary related to the acquisition of property and equipment used for our sequencing and data analysis services and facility expansion to support expanded operations.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220" w:firstLine="440"/>
        <w:spacing w:after="0" w:line="307" w:lineRule="auto"/>
        <w:rPr>
          <w:sz w:val="20"/>
          <w:szCs w:val="20"/>
          <w:color w:val="auto"/>
        </w:rPr>
      </w:pPr>
      <w:r>
        <w:rPr>
          <w:rFonts w:ascii="Arial" w:cs="Arial" w:eastAsia="Arial" w:hAnsi="Arial"/>
          <w:sz w:val="17"/>
          <w:szCs w:val="17"/>
          <w:color w:val="auto"/>
        </w:rPr>
        <w:t>Net cash provided by financing activities was $16.4 million for the year ended December 31, 2017, which primarily consisted of $5.0 million borrowings under the Revolving Loan and $12.2 million from the Convertible Notes, partially offset by $0.8 million in debt repayment.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financing activities was $0.6 million for the year ended December 31, 2018, which primarily consisted of debt repayment.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financing activities was $0.2 million for the three months ended March 31, 2018, which primarily consisted of debt repayment.</w:t>
      </w:r>
    </w:p>
    <w:p>
      <w:pPr>
        <w:spacing w:after="0" w:line="248"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Net cash provided by financing activities was $14.4 million for the three months ended March 31, 2019, which primarily consisted of $20.0 million borrowings under the Growth Capital Loan and $0.4 million from proceeds of exercise of stock options, partially offset by $5.0 million in debt repayment, $0.5 million in debt issuance costs, and $0.5 million in payment costs related to our initial public offering.</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non-cancelable contractual obligations and commitments as of December 31, 2018:</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816"/>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Less than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1 to 3 years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3 to 5 years</w:t>
            </w: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w:t>
            </w:r>
            <w:r>
              <w:rPr>
                <w:rFonts w:ascii="Arial" w:cs="Arial" w:eastAsia="Arial" w:hAnsi="Arial"/>
                <w:sz w:val="15"/>
                <w:szCs w:val="15"/>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 w:hanging="430"/>
        <w:spacing w:after="0" w:line="258"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June 2017, we entered into the Revolving Loan. Amount reflects the contractually required principal and interest payments. See Note 6 to our consolidated financial statements included elsewhere in this prospectus.</w:t>
      </w:r>
    </w:p>
    <w:p>
      <w:pPr>
        <w:spacing w:after="0" w:line="1" w:lineRule="exact"/>
        <w:rPr>
          <w:rFonts w:ascii="Arial" w:cs="Arial" w:eastAsia="Arial" w:hAnsi="Arial"/>
          <w:sz w:val="18"/>
          <w:szCs w:val="18"/>
          <w:color w:val="auto"/>
        </w:rPr>
      </w:pPr>
    </w:p>
    <w:p>
      <w:pPr>
        <w:jc w:val="both"/>
        <w:ind w:left="640" w:right="20" w:hanging="430"/>
        <w:spacing w:after="0" w:line="264"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lease our facility under a non-cancelable operating lease. In February 2015, we entered into a lease for our current laboratory and office space that commenced in May 2015 and expires in November 2020. The minimum lease payments above do not include any related common area maintenance charges or real estate taxes. In November 2020, we may extend the lease at the then-current market rates.</w:t>
      </w:r>
    </w:p>
    <w:p>
      <w:pPr>
        <w:spacing w:after="0" w:line="2" w:lineRule="exact"/>
        <w:rPr>
          <w:rFonts w:ascii="Arial" w:cs="Arial" w:eastAsia="Arial" w:hAnsi="Arial"/>
          <w:sz w:val="17"/>
          <w:szCs w:val="17"/>
          <w:color w:val="auto"/>
        </w:rPr>
      </w:pPr>
    </w:p>
    <w:p>
      <w:pPr>
        <w:jc w:val="both"/>
        <w:ind w:left="640" w:hanging="430"/>
        <w:spacing w:after="0" w:line="253"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November 22, 2017, we entered into a pricing agreement with Illumina to purchase certain consumables and equipment. As of December 31, 2018, in accordance with the contract, we had a purchase commitment of $17.1 million by June 30, 2019. On March 26, 2019, we entered into a new pricing agreement with this vendor, which replaced in its entirety the agreement dated November 22, 2017. The new pricing agreement has a commitment to purchase $1.7 million of equipment by June 30, 2019.</w:t>
      </w:r>
    </w:p>
    <w:p>
      <w:pPr>
        <w:spacing w:after="0" w:line="192"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received $20.0 million in gross proceeds from the issuance of the Growth Capital Loan in March 2019, which is not included in the above table. Interest on the unpaid principal balance of the Growth Capital Loan accrues from the date of issuance, and compounds monthly at the effective rate of 15.23% per year.</w:t>
      </w:r>
    </w:p>
    <w:p>
      <w:pPr>
        <w:spacing w:after="0" w:line="183"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The amounts in the table above do not include approximately $42.9 million and $44.3 million in customer deposits as of December 31, 2018 and March 31, 2019, respectively. These amounts included $37.3 million and $39.6 million from one customer as of December 31, 2018 and March 31, 2019, respectively, that we may be required to refund under certain circumstances. While customers have not historically required us to return prepaid amounts, if a customer that has prepaid us for future services cancels its contract with us or reduces the level of services that it expects to receive, we would generally be required to repay that customer’s deposit with little or no notice. Because the requirement to return any deposits and the timing of any such repayments is uncertain, they have been excluded from the table above. If required to refund a deposit, we may not have the cash or other available resources to satisfy these repayment obligations. Even if we are able to satisfy the repayment obligation from available resources (including potentially a portion of the net proceeds of this offering),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As of December 31, 2017 and 2018 and March 31, 2019, we had cash and cash equivalents of $22.6 million, $19.7 million and $33.2 million, respectively, consisting of cash held in bank accounts and money market funds denominated in U.S. dollars. A 100 basis point change in interest rates would not have a material effect on the fair market value of our cash and cash equivalents.</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As of December 31, 2018, we are also exposed to market risk from changes in interest rates as a result of our indebtedness under the Revolving Loan, which matures on March 31, 2019. At December 31, 2017 and 2018, we had $5.0 million principal amount outstanding under the Revolving Loan. The interest rate associated with the Revolving Loan is the prime lending rate plus 6.75%. An immediate 100 basis point change in the prime interest rate would not result in a material impact on our results of operations for 2017 and 2018. See Note 6 to our consolidated financial statements for further description of the Revolving Loan.</w:t>
      </w:r>
    </w:p>
    <w:p>
      <w:pPr>
        <w:spacing w:after="0" w:line="191"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We are also exposed to market risk from changes in interest rates as a result of our indebtedness under the Growth Capital Loan. At March 31, 2019, we had $20.0 million principal amount outstanding under the Growth Capital Loan. Borrowings under the Growth Capital Loan bear interest at a floating rate per annum equal to the prime rate plus 5.00% for borrowings up to $15.0 million and the prime rate plus 6.50% for borrowing greater than $15.0 million. An immediate 100 basis point change in the prime interest rate would not result in a material impact on our results of operations for the three months ended March 31, 2019. See Note 6 to our consolidated financial statements for further description of the Growth Capital Loan.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majority of our revenues is generated in the United States. As of December 31, 2017 and 2018 and March 31, 2018 and 2019, we had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Our consolidated financial statements have been prepared in accordance with U.S. generally accepted accounting principles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On January 1, 2017, we early adopted the new accounting standard ASC Topic 606 using the full retrospective method. Results for reporting periods beginning after January 1, 2017, are presented under ASC Topic 606. The impact of adopting ASC Topic 606 was not material on our consolidated financial statements.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We generate our revenues from selling sequencing and data analysis services. We agree to provide services to our customers through a contract, which may be in the form of a combination of a signed agreement, statement of work and/or a purchase order.</w:t>
      </w:r>
    </w:p>
    <w:p>
      <w:pPr>
        <w:spacing w:after="0" w:line="170"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Upon adoption of ASC Topic 606, 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all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75"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are above a certain volume are purchased. In such cases, the discount applies prospectively. We have analyzed such discounts if they represent a material right provided to a customer. We have concluded that such discounts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We do not offer retrospective discounts or rebates. Accordingly, all of the transaction price, net of any discounts, is allocated to one performance obligation. Therefore, upon delivery of the services, there are no remaining performance obligations.</w:t>
      </w:r>
    </w:p>
    <w:p>
      <w:pPr>
        <w:spacing w:after="0" w:line="177"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Contracts that contain multiple distinct performance obligations would require an allocation of the transaction price to each performance obligation based on a relative stand-alone selling price basis. Sometimes we deliver sequencing results in two or more batches; however, since the quantity delivered per batch of each individual test per sales order in these instances is in the same ratio as in the original sales order, allocating the transaction price on the a relative stand-alone selling price basis would have no impact on the revenue recognized in any period presented.</w:t>
      </w:r>
    </w:p>
    <w:p>
      <w:pPr>
        <w:spacing w:after="0" w:line="15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recognize revenue when control of the promised services is transferred to our customers. Management applies judgment in evaluating when a customer obtains control of the promised service, which is when the sequencing and data analysis service results are delivered to customers, at an amount that reflects the consideration to which we expect to be entitled to in exchange for those services. Revenue is recorded net of sales or other transaction taxes collected from clients and remitted to taxing authorities.</w:t>
      </w:r>
    </w:p>
    <w:p>
      <w:pPr>
        <w:spacing w:after="0" w:line="186"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A customer contract liability will arise when we have received payments from its customers in advance, but has not yet provided genome and exome sequencing and data analysis services to a customer and satisfied its performance obligations. We record a customer contract liability for performance obligations outstanding related to payments received in advance for customer deposits. We expect to satisfy these remaining performance obligations and recognize the related revenues upon providing sequencing and data analysis services.</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All of our revenues and trade receivables are generated from contracts with customers and substantially all of our revenues are derived from U.S. domestic operations. The following section describes the accounting policies that we believe have significant judgment, or changes in judgment, as a result of adopting ASC Topic 606.</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Terms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Payment terms and conditions vary by contract and customer. Our standard payment terms are typically less than 90 days from the date of invoice. In instances where the timing of our revenue recognition differs from the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307" w:lineRule="auto"/>
        <w:rPr>
          <w:sz w:val="20"/>
          <w:szCs w:val="20"/>
          <w:color w:val="auto"/>
        </w:rPr>
      </w:pPr>
      <w:r>
        <w:rPr>
          <w:rFonts w:ascii="Arial" w:cs="Arial" w:eastAsia="Arial" w:hAnsi="Arial"/>
          <w:sz w:val="17"/>
          <w:szCs w:val="17"/>
          <w:color w:val="auto"/>
        </w:rPr>
        <w:t>timing of its invoicing, we have determined that our contracts do not include a significant financing component. The primary purposes of our invoicing terms are to provide customers with simplified and predictable ways of purchasing our services and provide payment protection for us.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We record all shares of redeemable convertible preferred stock at their respective fair values on the dates of issuance, net of issuance costs. In the event of our voluntary or involuntary, liquidation, dissolution, or winding up, or a liquidation event such as a merger, acquisition and sale of all or substantially all of our assets, each of which we refer to as a deemed liquidation event, proceeds will be distributed in accordance with the liquidation preferences set forth in the amended and restated certificate of incorporation unless the holders of redeemable convertible preferred stock have converted their redeemable convertible preferred shares into common stock. Therefore, the redeemable convertible preferred stock is classified outside of permanent equity on the consolidated balance sheets as events triggering the liquidation preferences are not solely within our control. We have not adjusted the carrying values of the redeemable convertible preferred stock to the liquidation preferences of such shares because it is uncertain whether or when an event would occur that would obligate us to pay the liquidation preferences to holders of shares of redeemable convertible preferred stock. Subsequent adjustments to the carrying values to the liquidation preferences will be made only when it becomes probable that such a liquidation event will occur.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We account for warrants to purchase shares of our redeemable convertible preferred stock as liabilities at their estimated fair value because these warrants may obligate us to transfer assets to the holders at a future date upon a deemed liquidation event. The warrants are recorded at fair value upon issuance and are subject to remeasurement to fair value at each period end, with any fair value adjustments recognized in the consolidated statements of operations and comprehensive loss. We will continue to adjust the warrant liability for changes in fair value until the earlier of the exercise or expiration of the convertible preferred stock warrants, the completion of a deemed liquidation event, or the conversion of redeemable convertible preferred stock into common stock, or until holders of the redeemable convertible preferred stock can no longer trigger a deemed liquidation event. In connection with this offering, the convertible preferred stock warrants will be automatically converted into warrants to purchase shares of our common stock.</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Our common stock warrants are classified as equity as they meet all criteria for equity classification. The common stock warrants are recorded at fair value upon issuance as additional paid-in-capital in the consolidated balance sheets. The common stock warrants are not remeasured after the issuance date. In connection with an initial public offering, the common stock warrants will remain outstanding unless voluntarily exercised by the holder.</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 xml:space="preserve">We evaluate and account for conversion options embedded in convertible instruments in accordance with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Applicable GAAP requires companies to bifurcate conversion options from their host instruments and account for them as</w:t>
      </w:r>
      <w:r>
        <w:rPr>
          <w:rFonts w:ascii="Arial" w:cs="Arial" w:eastAsia="Arial" w:hAnsi="Arial"/>
          <w:sz w:val="18"/>
          <w:szCs w:val="18"/>
          <w:i w:val="1"/>
          <w:iCs w:val="1"/>
          <w:color w:val="auto"/>
        </w:rPr>
        <w:t xml:space="preserve"> </w:t>
      </w:r>
      <w:r>
        <w:rPr>
          <w:rFonts w:ascii="Arial" w:cs="Arial" w:eastAsia="Arial" w:hAnsi="Arial"/>
          <w:sz w:val="18"/>
          <w:szCs w:val="18"/>
          <w:color w:val="auto"/>
        </w:rPr>
        <w:t>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account for stock-based compensation arrangements with employees, using a fair value-based method, for costs related to all stock-based payments including stock options and stock awards. Our determination of the fair value of stock options on the date of grant utilizes the Black-Scholes option-pricing model.</w:t>
      </w:r>
    </w:p>
    <w:p>
      <w:pPr>
        <w:spacing w:after="0" w:line="18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fair value of the option granted is recognized over the period during which an optionee is required to provide services in exchange for the option award, known as the requisite service period which usually is the vesting period, on a straight-line basis.</w:t>
      </w:r>
    </w:p>
    <w:p>
      <w:pPr>
        <w:spacing w:after="0" w:line="170"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valuation models, such as the Black-Scholes option-pricing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w:t>
      </w:r>
    </w:p>
    <w:p>
      <w:pPr>
        <w:spacing w:after="0" w:line="54" w:lineRule="exact"/>
        <w:rPr>
          <w:sz w:val="20"/>
          <w:szCs w:val="20"/>
          <w:color w:val="auto"/>
        </w:rPr>
      </w:pPr>
    </w:p>
    <w:p>
      <w:pPr>
        <w:jc w:val="both"/>
        <w:ind w:left="1080" w:hanging="438"/>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assumption represents the weighted-average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have elected to use the “simplified method” for estimating the expected term of the options, whereby the expected term equals the arithmetic average of the vesting term and the original contractual term of the option.</w:t>
      </w:r>
    </w:p>
    <w:p>
      <w:pPr>
        <w:spacing w:after="0" w:line="88"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volatility data was estimated based on a study of publicly traded industry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purposes of identifying these peer companies, we considered the industry, stage of development, size, and financial leverage of potential comparable companies.</w:t>
      </w:r>
    </w:p>
    <w:p>
      <w:pPr>
        <w:spacing w:after="0" w:line="88"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option-pricing valuation model calls for a single expected dividend yield as an input.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have no history or expectation of paying cash dividends on its common stock.</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similar in duration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of the equity-settled award.</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estimated the fair value of the time-based employee stock options using the Black-Scholes option-pricing model based on the date of grant with the following assumptions: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estimated fair value of the common stock underlying our stock options was determined at each grant date by our board of directors, with input from management. All options to purchase shares of our common stock are intended to be exercisable at a price per share not less than the per-share fair value of our common stock underlying those options on the date of grant.</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In the absence of a public trading market for our common stock, on each grant date, we develop an estimate of the fair value of our common stock based on the information known to us on the date of grant, upon a review of any recent events and their potential impact on the estimated fair value per share of the common stock, and in part on input from an independent third-party valuation firm. As provided in Section 409A of the U.S. Internal Revenue Code of 1986, as amended (the “Code”), we generally rely on our valuations for up to twelve months unless we have experienced a material event that would have affected the estimated fair value per common share.</w:t>
      </w:r>
    </w:p>
    <w:p>
      <w:pPr>
        <w:spacing w:after="0" w:line="19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 xml:space="preserve">Our valuations of our common stock were determined in accordance with the guidelines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(the “Practice Aid”). The methodology to determine the fair value of our common stock included estimating the fair value of the enterprise using the “backsolve” method, which estimates the fair value of our company by reference to the value and preferences of our last round of financing, as well as our capitalization.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assumptions used to determine the estimated fair value of our common stock are based on numerous objective and subjective factors, combined with management’s judgment, including external market conditions affecting the pharmaceutical and biotechnology industry and trends within the industry:</w:t>
      </w:r>
    </w:p>
    <w:p>
      <w:pPr>
        <w:spacing w:after="0" w:line="88" w:lineRule="exact"/>
        <w:rPr>
          <w:sz w:val="20"/>
          <w:szCs w:val="20"/>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our stage of development, and business strategy;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U.S. market conditions and the lack of marketability of our common stock.</w:t>
      </w:r>
    </w:p>
    <w:p>
      <w:pPr>
        <w:spacing w:after="0" w:line="225" w:lineRule="exact"/>
        <w:rPr>
          <w:sz w:val="20"/>
          <w:szCs w:val="20"/>
          <w:color w:val="auto"/>
        </w:rPr>
      </w:pPr>
    </w:p>
    <w:p>
      <w:pPr>
        <w:ind w:left="220" w:right="20" w:firstLine="440"/>
        <w:spacing w:after="0" w:line="307"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53" w:lineRule="exact"/>
        <w:rPr>
          <w:sz w:val="20"/>
          <w:szCs w:val="20"/>
          <w:color w:val="auto"/>
        </w:rPr>
      </w:pPr>
    </w:p>
    <w:p>
      <w:pPr>
        <w:jc w:val="both"/>
        <w:ind w:left="1080" w:hanging="438"/>
        <w:spacing w:after="0" w:line="254"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The income approach attempts to value an asset or security by estimating the present value of the future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asset’s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w:t>
      </w:r>
    </w:p>
    <w:p>
      <w:pPr>
        <w:spacing w:after="0" w:line="98" w:lineRule="exact"/>
        <w:rPr>
          <w:rFonts w:ascii="Arial" w:cs="Arial" w:eastAsia="Arial" w:hAnsi="Arial"/>
          <w:sz w:val="18"/>
          <w:szCs w:val="18"/>
          <w:color w:val="auto"/>
        </w:rPr>
      </w:pPr>
    </w:p>
    <w:p>
      <w:pPr>
        <w:jc w:val="both"/>
        <w:ind w:left="1080" w:hanging="438"/>
        <w:spacing w:after="0" w:line="296"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The market approach attempts to value an asset or security by examining observable market values for similar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spacing w:after="0" w:line="65" w:lineRule="exact"/>
        <w:rPr>
          <w:rFonts w:ascii="Arial" w:cs="Arial" w:eastAsia="Arial" w:hAnsi="Arial"/>
          <w:sz w:val="16"/>
          <w:szCs w:val="16"/>
          <w:color w:val="auto"/>
        </w:rPr>
      </w:pPr>
    </w:p>
    <w:p>
      <w:pPr>
        <w:jc w:val="both"/>
        <w:ind w:left="1080" w:hanging="438"/>
        <w:spacing w:after="0" w:line="254"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The cost approach to valuation is based upon the concept of replacement cost as an indicator of value and the notion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would pay no more for an asset than what it would cost to replace the asset with one of equal utility. The cost approach estimates value based upon the estimated cost of replacing or reproducing the asset, less adjustments for physical deterioration and functional obsolescence, if relevant. When applied to an enterprise, a type of cost approach referred to as the Net Asset Method is sometimes employed. This method measures the value of equity as the sum of the values of its assets reduced by the sum of the values of its liabilities. The resulting equity is reflective of a 100% ownership interest in the business. This approach is frequently used in valuing holding companies.</w:t>
      </w:r>
    </w:p>
    <w:p>
      <w:pPr>
        <w:spacing w:after="0" w:line="19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Based on our early stage of development and other relevant factors, we considered all three approaches and have chosen to apply both income and market approaches in our analyses. We determined these approaches were the most appropriate methods for allocating our enterprise value to determine the estimated fair value of our common stock for valuations performed for periods as of December 31, 2018 or earlier. In determining the estimated fair value of our common stock, our board of directors also considered the fact that our stockholders could not freely trade our common stock in the public markets. Accordingly, we applied discounts to reflect the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307" w:lineRule="auto"/>
        <w:rPr>
          <w:sz w:val="20"/>
          <w:szCs w:val="20"/>
          <w:color w:val="auto"/>
        </w:rPr>
      </w:pPr>
      <w:r>
        <w:rPr>
          <w:rFonts w:ascii="Arial" w:cs="Arial" w:eastAsia="Arial" w:hAnsi="Arial"/>
          <w:sz w:val="17"/>
          <w:szCs w:val="17"/>
          <w:color w:val="auto"/>
        </w:rPr>
        <w:t>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4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Following the completion of this offering, our board of directors intends to determine the fair value of our common stock based on the closing quoted market price of our common stock on the date of grant.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156"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w:t>
      </w:r>
    </w:p>
    <w:p>
      <w:pPr>
        <w:spacing w:after="0" w:line="16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have elected to account for the tax on Global Intangible Low-Taxed Income, enacted as part of the Tax Cuts and Jobs Act as a component of tax expense in the period in which the tax is incurred.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See the sections titled “Summary of Significant Accounting Policies—Recent Accounting Pronouncements” and “—Recent Accounting Pronouncements Not Yet Adopted” in Note 2 to our consolidated financial statements for additional information.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We are also developing a complementary liquid biopsy assay that analyzes all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are also planning to release a diagnostic based on our NeXT Platform that we envision being used initially by biopharmaceutical customers and clinical collaborators. Since inception, we have provided our services to more than 45 biopharmaceutical customers, including several of the largest pharmaceutical companies in the world.</w:t>
      </w:r>
    </w:p>
    <w:p>
      <w:pPr>
        <w:spacing w:after="0" w:line="180"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In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While tumor molecular profiling technologies have enhanced research and development efforts, most current tumor biopsy and liquid biopsy tests analyze a relatively narrow set of roughly 50 to 500 tumor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70"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Our platform helps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 analytics. NeXT represents the next step of our existing ACE platform, allowing customers to move up the value chain by gaining more information from a single sample. We believe that our platform has the potential to enable a research, development, and treatment paradigm that is dynamic and adaptive to the evolving genomic and immune system landscape of patients’ tumors over time. We believe our technology will drive this evolving paradigm, which will ultimately enable our customers to develop safer and more efficacious therapeutics (see Figure 1). As the clinical utility of our platform increases, we expect to grow our diagnostic capabilities, including the ability to guide therapy based on a patient’s changing tumor and immune system, and supporting the commercialization of therapeutics developed by our biopharmaceutical customers.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 Personalis NeXT Platform addresses the increasingly complex understanding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168910</wp:posOffset>
            </wp:positionV>
            <wp:extent cx="4659630" cy="3006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59630" cy="300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Personalis: The Genomics Engine for Next-Generation Cancer Therapies</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Biopharmaceutical customers use our comprehensive platform across a diverse set of therapeutic approaches to cancer. We generate and analyze data from patients who participated in clinical trials, which we believe will enable these customers to develop more effective therapies. These opportunities represent a significant end market that is much larger than our initial clinical-trial focused market, as the spending on cancer therapies and supportive care drugs for cancer increased to $133 billion globally in 2017.</w:t>
      </w:r>
    </w:p>
    <w:p>
      <w:pPr>
        <w:spacing w:after="0" w:line="186"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information we generate is important to our customers developing three major classes of next-generation therapeutics: immunotherapies, targeted therapies, and personalized cancer therapies. Based on the approximately 195,000 patients who are currently expected to enroll in the over 1,600 immunotherapy, targeted therapy, and personalized therapy clinical trials that commenced in 2018, we estimate the total addressable market for multiple time point comprehensive tissue and liquid biopsy testing in clinical trials is over $5.0 billion annually. See the section titled “Market, Industry, and Other Data” for additional information regarding the data, sources, and assumptions we used for this estimate.</w:t>
      </w:r>
    </w:p>
    <w:p>
      <w:pPr>
        <w:spacing w:after="0" w:line="62" w:lineRule="exact"/>
        <w:rPr>
          <w:sz w:val="20"/>
          <w:szCs w:val="20"/>
          <w:color w:val="auto"/>
        </w:rPr>
      </w:pPr>
    </w:p>
    <w:p>
      <w:pPr>
        <w:jc w:val="both"/>
        <w:ind w:left="1080" w:hanging="438"/>
        <w:spacing w:after="0" w:line="29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Immunotherapies: </w:t>
      </w:r>
      <w:r>
        <w:rPr>
          <w:rFonts w:ascii="Arial" w:cs="Arial" w:eastAsia="Arial" w:hAnsi="Arial"/>
          <w:sz w:val="16"/>
          <w:szCs w:val="16"/>
          <w:color w:val="auto"/>
        </w:rPr>
        <w:t>Over the past decade, a number of drugs have emerged based on the discovery that the immune system plays a key role</w:t>
      </w:r>
      <w:r>
        <w:rPr>
          <w:rFonts w:ascii="Arial" w:cs="Arial" w:eastAsia="Arial" w:hAnsi="Arial"/>
          <w:sz w:val="16"/>
          <w:szCs w:val="16"/>
          <w:b w:val="1"/>
          <w:bCs w:val="1"/>
          <w:color w:val="auto"/>
        </w:rPr>
        <w:t xml:space="preserve"> </w:t>
      </w:r>
      <w:r>
        <w:rPr>
          <w:rFonts w:ascii="Arial" w:cs="Arial" w:eastAsia="Arial" w:hAnsi="Arial"/>
          <w:sz w:val="16"/>
          <w:szCs w:val="16"/>
          <w:color w:val="auto"/>
        </w:rPr>
        <w:t>in addressing cancer. Checkpoint inhibitors, a specific type of immunotherapy, generated worldwide sales of over $16.6 billion in 2018, up from approximately $1.4 billion in 2014. The commercial success of these drugs has shown the potential of immunotherapy; however, the development of new therapies in this category has been challenged by difficulties understanding the precise interaction between cancer and the immune system. The number of clinical trials in this space involving at least one cancer immunotherapy drug has grown from 123 that started in 2012 to 1,000 that started in 2018. Since our platform provides comprehensive insights on tumor and immune biology, we believe it will enable biopharmaceutical companies to better understand how therapeutics are working in patients.</w:t>
      </w:r>
    </w:p>
    <w:p>
      <w:pPr>
        <w:spacing w:after="0" w:line="65" w:lineRule="exact"/>
        <w:rPr>
          <w:rFonts w:ascii="Arial" w:cs="Arial" w:eastAsia="Arial" w:hAnsi="Arial"/>
          <w:sz w:val="16"/>
          <w:szCs w:val="16"/>
          <w:color w:val="auto"/>
        </w:rPr>
      </w:pPr>
    </w:p>
    <w:p>
      <w:pPr>
        <w:ind w:left="1080" w:hanging="438"/>
        <w:spacing w:after="0" w:line="28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Targeted Therapies: </w:t>
      </w:r>
      <w:r>
        <w:rPr>
          <w:rFonts w:ascii="Arial" w:cs="Arial" w:eastAsia="Arial" w:hAnsi="Arial"/>
          <w:sz w:val="18"/>
          <w:szCs w:val="18"/>
          <w:color w:val="auto"/>
        </w:rPr>
        <w:t>A growing category of successful cancer treatments consists of therapies that target specific genes or molecular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of cancer. These drugs are not designed to influence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spacing w:after="0" w:line="272" w:lineRule="auto"/>
        <w:rPr>
          <w:sz w:val="20"/>
          <w:szCs w:val="20"/>
          <w:color w:val="auto"/>
        </w:rPr>
      </w:pPr>
      <w:r>
        <w:rPr>
          <w:rFonts w:ascii="Arial" w:cs="Arial" w:eastAsia="Arial" w:hAnsi="Arial"/>
          <w:sz w:val="17"/>
          <w:szCs w:val="17"/>
          <w:color w:val="auto"/>
        </w:rPr>
        <w:t>immune system directly but the success of immunotherapies has brought acknowledgment that the immune system has a significant effect on their efficacy.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which of these therapies a patient may respond to. We believe that more comprehensive coverage of all of the approximately 20,000 genes positions us competitively against existing cancer panels that cover roughly 50 to 500 genes. We are positioning our company to be a leading provider of the complex information that we believe will continue to inform the development of targeted cancer therapies.</w:t>
      </w:r>
    </w:p>
    <w:p>
      <w:pPr>
        <w:spacing w:after="0" w:line="77" w:lineRule="exact"/>
        <w:rPr>
          <w:sz w:val="20"/>
          <w:szCs w:val="20"/>
          <w:color w:val="auto"/>
        </w:rPr>
      </w:pPr>
    </w:p>
    <w:p>
      <w:pPr>
        <w:jc w:val="both"/>
        <w:ind w:left="1080" w:hanging="438"/>
        <w:spacing w:after="0" w:line="28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Personalized Cancer Therapies: </w:t>
      </w:r>
      <w:r>
        <w:rPr>
          <w:rFonts w:ascii="Arial" w:cs="Arial" w:eastAsia="Arial" w:hAnsi="Arial"/>
          <w:sz w:val="16"/>
          <w:szCs w:val="16"/>
          <w:color w:val="auto"/>
        </w:rPr>
        <w:t>Many biopharmaceutical companies are pursuing personalized cancer therapies, which are designed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manufactured, individually, for each patient based on genomic alterations in a given patient’s tumor. While there are many potential approaches to developing these therapies, including neoantigen-based vaccines and T-cell therapies, all of them can potentially benefit from the data and analytics that our platform can generate about a patient’s tumor. Given the more than 700,000 cancer patients projected to be diagnosed with late-stage disease in the United States in 2019, we estimate that the total addressable market for our data and analytics for personalized cancer therapy could reach as much as $20 billion in the United States and as much as $40 billion worldwide. See the section titled “Market, Industry, and Other Data” for additional information regarding the data, sources, and assumptions we used for this estimate. Many of our customers have leveraged our U.S. Food and Drug Administration (the “FDA”) Device Master File as a component of their investigational new drug (“IND”) filings with the FDA. We anticipate that if drugs are approved that used our platform in the clinical trials forming the basis for approval, we may be able to derive revenue in connection with the sale of these drugs. We believe we are working with the majority of companies developing neoantigen-targeted personalized cancer therapies.</w:t>
      </w:r>
    </w:p>
    <w:p>
      <w:pPr>
        <w:spacing w:after="0" w:line="16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anticipate that as the clinical utility of our platform is validated, we will have opportunities in connection with diagnostics and the commercialization of cancer therapeutics, which are significantly larger than our initial clinical-trial focused markets. Over time, we expect our biopharmaceutical customers and research collaborators to build evidence of clinical utility for our platform as a diagnostic for advanced cancer therapies. Separately, we are also acquiring samples and are building a database which will hold value for our biopharmaceutical customers and may ultimately allow us to discover new mechanisms of cancer treatment.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NeXT Platform</w:t>
      </w:r>
    </w:p>
    <w:p>
      <w:pPr>
        <w:spacing w:after="0" w:line="121"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Our NeXT Platform is designed to provide comprehensive analysis of both a tumor and its immune microenvironment, from a single limited tissue sample. Our platform covers the deoxyribonucleic acid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160"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Given the practical challenges in obtaining high-quality tumor samples via biopsy, we have developed our platform to work with a limited tumor tissue sample. Biopharmaceutical companies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sequencing approach, validated with orthogonal technologies, allows us to run multiple analyses on a single sample. Our platform is composed of multiple proprietary technologies, many of which we have developed from the ground up. The breadth of the assays that we have integrated into our platform, our proprietary sample preparation process, and</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the comprehensiveness of our platform allow us to maximize the utility of often limited tumor tissue samples that our customers have from their clinical trials.</w:t>
      </w:r>
    </w:p>
    <w:p>
      <w:pPr>
        <w:spacing w:after="0" w:line="170" w:lineRule="exact"/>
        <w:rPr>
          <w:sz w:val="20"/>
          <w:szCs w:val="20"/>
          <w:color w:val="auto"/>
        </w:rPr>
      </w:pPr>
    </w:p>
    <w:p>
      <w:pPr>
        <w:jc w:val="both"/>
        <w:ind w:left="220" w:firstLine="440"/>
        <w:spacing w:after="0" w:line="288" w:lineRule="auto"/>
        <w:rPr>
          <w:sz w:val="20"/>
          <w:szCs w:val="20"/>
          <w:color w:val="auto"/>
        </w:rPr>
      </w:pPr>
      <w:r>
        <w:rPr>
          <w:rFonts w:ascii="Arial" w:cs="Arial" w:eastAsia="Arial" w:hAnsi="Arial"/>
          <w:sz w:val="16"/>
          <w:szCs w:val="16"/>
          <w:color w:val="auto"/>
        </w:rPr>
        <w:t>We have also shown that our technology can analyze cell-free DNA (“cfDNA”) obtained from blood plasma, also known as a liquid biopsy. As with a tissue biopsy, we plan to analyze all of the approximately 20,000 human genes in each plasma sample, in contrast to currently marketed liquid biopsy panels. We are not aware of any other company that has publicly announced that they are developing a cell-free DNA (“cfDNA”) platform that analyzes all of the approximately 20,000 human genes. We expect this cfDNA to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plan to launch our first liquid biopsy assay designed to analyze all human genes so as to detect potential neoantigens and tumor escape mechanisms that arise under therapeutic pressure. Although we believe our cfDNA test will offer new insights, we believe it will be most useful for our biopharmaceutical customers alongside our primary tumor biopsy product, given that a tumor biopsy is required to analyze gene expression and elucidate tumor-infiltrating lymphocytes which are critical to understanding cancer’s interaction with the immune system.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NeXT Platform was announced in late 2018, and the first revenues from this platform are expected in 2019.</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Robust Operational Infrastructure to Scale with Our Customers</w:t>
      </w:r>
    </w:p>
    <w:p>
      <w:pPr>
        <w:spacing w:after="0" w:line="121"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 processes, ensures consistency across all components used for the duration of each clinical trial, is traceable for compliance purposes, and allows us to scale while maintaining rapid turnaround times.</w:t>
      </w:r>
    </w:p>
    <w:p>
      <w:pPr>
        <w:spacing w:after="0" w:line="160"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(“LIMS”)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19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are sequencing and analyzing up to 100 trillion bases of DNA per week in our facility. We believe this capacity is already larger than most cancer genomics companies and we are building the automation and other infrastructure to scale further as demand increases and in support of the planned 2020 launch of our NeXT liquid biopsy assay.</w:t>
      </w:r>
    </w:p>
    <w:p>
      <w:pPr>
        <w:spacing w:after="0" w:line="183"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Since 2012, we have been contracted to provide DNA sequencing and data analysis services to the United States Veterans Administration’s (the “VA”) Million Veteran Program (the “VA MVP”). The VA MVP began collecting samples in 2011 and is a landmark research effort aimed at better understanding how genetic variations affect health. Up to a million veterans are expected to enroll in the VA MVP study by 2021. With approximately 750,000 enrollees to date, the VA MVP exceeds the enrollment numbers of any single VA study or research program in the past, and is in fact one of the largest research cohorts of its kind. In September 2017, we entered into a one-year contract with three one-year renewal option periods with the VA for the VA MVP, and received orders under this contract in September 2017 and 2018. We are currently contracted to deliver approximately</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80,000 genome sequence data sets to the VA MVP, and we expect revenue from the contracts awarded to date to continue into 2021. This relationship with the VA MVP has enabled us to scale our operational infrastructure and achieve greater efficiencies in our lab. It has also supported our development of industry-leading, large-scale cancer genomic testing. The substantial experience that we have and expect to continue to develop in whole genome sequencing also optimally positions us for what we anticipate to be the longer-term strategic direction of the cancer genomics industry, which may include whole genome sequencing of tumors.</w:t>
      </w:r>
    </w:p>
    <w:p>
      <w:pPr>
        <w:spacing w:after="0" w:line="19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believe our platform is well positioned to scale rapidly and substantially as the field of personalized cancer therapies matures. We believe that our platform could be essential to the composition and manufacture of any personalized cancer therapy developed using our platform. Furthermore, we expect that patients would be tested at multiple time 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uses our NeXT Platform achieves regulatory approval, we believe that our commercial opportunity may increase substantially.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Personalis is Valuable to Biopharmaceutical Companies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platform is valuable to our customers because:</w:t>
      </w:r>
    </w:p>
    <w:p>
      <w:pPr>
        <w:spacing w:after="0" w:line="126" w:lineRule="exact"/>
        <w:rPr>
          <w:sz w:val="20"/>
          <w:szCs w:val="20"/>
          <w:color w:val="auto"/>
        </w:rPr>
      </w:pPr>
    </w:p>
    <w:p>
      <w:pPr>
        <w:jc w:val="both"/>
        <w:ind w:left="1080" w:hanging="438"/>
        <w:spacing w:after="0" w:line="25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Our tumor and immune molecular profiling capabilities provide an unprecedented breadth of data from a single limited tumor sample. </w:t>
      </w:r>
      <w:r>
        <w:rPr>
          <w:rFonts w:ascii="Arial" w:cs="Arial" w:eastAsia="Arial" w:hAnsi="Arial"/>
          <w:sz w:val="18"/>
          <w:szCs w:val="18"/>
          <w:color w:val="auto"/>
        </w:rPr>
        <w:t>We provide information on all of the approximately 20,000 human genes, as well as gene expression, the immune system,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cancer biology, in contrast to other currently marketed panels that cover a limited range of roughly 50 to 500 genes and do not focus on immune cells. The commercial success of immunotherapy drugs has demonstrated the need to better understand the immune system. Unfortunately, development of new therapies in this category has been challenged by difficulties understanding the precise interaction between cancer and the immune system. Since our platform provides comprehensive insights on tumor and immune biology, including in both innate and adaptive immune cells, we believe it will enable drug companies to better understand the biological effect of therapeutics in patients.</w:t>
      </w:r>
    </w:p>
    <w:p>
      <w:pPr>
        <w:spacing w:after="0" w:line="95" w:lineRule="exact"/>
        <w:rPr>
          <w:rFonts w:ascii="Arial" w:cs="Arial" w:eastAsia="Arial" w:hAnsi="Arial"/>
          <w:sz w:val="18"/>
          <w:szCs w:val="18"/>
          <w:color w:val="auto"/>
        </w:rPr>
      </w:pPr>
    </w:p>
    <w:p>
      <w:pPr>
        <w:jc w:val="both"/>
        <w:ind w:left="1080" w:hanging="438"/>
        <w:spacing w:after="0" w:line="29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Our platform enhances the opportunity to conduct translational research by analyzing tumor tissues from patients in clinical trials, rather than animal models or in vitro cancer cell lines, which have historically limited cancer research. </w:t>
      </w:r>
      <w:r>
        <w:rPr>
          <w:rFonts w:ascii="Arial" w:cs="Arial" w:eastAsia="Arial" w:hAnsi="Arial"/>
          <w:sz w:val="16"/>
          <w:szCs w:val="16"/>
          <w:color w:val="auto"/>
        </w:rPr>
        <w:t>While conventional</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model systems, such as animal models and cancer cell lines, have been instrumental in early-stage cancer research and drug development, translation of results to the clinic has been limited and remains a significant barrier to progress, in part because these models do not sufficiently reflect the complexity of human cancer and the human immune system. Over recent years, tools used to study tissue from patients have improved and the utilization of tissue from trials has increased. We believe our platform represents the next step in this transition by further enabling biopharmaceutical companies to address the historical limitations of analyzing patient tissue comprehensively.</w:t>
      </w:r>
    </w:p>
    <w:p>
      <w:pPr>
        <w:spacing w:after="0" w:line="65" w:lineRule="exact"/>
        <w:rPr>
          <w:rFonts w:ascii="Arial" w:cs="Arial" w:eastAsia="Arial" w:hAnsi="Arial"/>
          <w:sz w:val="16"/>
          <w:szCs w:val="16"/>
          <w:color w:val="auto"/>
        </w:rPr>
      </w:pPr>
    </w:p>
    <w:p>
      <w:pPr>
        <w:jc w:val="both"/>
        <w:ind w:left="1080" w:hanging="438"/>
        <w:spacing w:after="0" w:line="290"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The information we provide to personalized cancer therapy companies is used to design therapeutics. </w:t>
      </w:r>
      <w:r>
        <w:rPr>
          <w:rFonts w:ascii="Arial" w:cs="Arial" w:eastAsia="Arial" w:hAnsi="Arial"/>
          <w:sz w:val="16"/>
          <w:szCs w:val="16"/>
          <w:color w:val="auto"/>
        </w:rPr>
        <w:t>Many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pursuing personalized cancer therapies, which are designed and manufactured, individually, for each patient based on genomic alterations in a given patient’s tumor. While there are many potential approaches towards developing these therapies including neoantigen therapeutics, peptide-based vaccines, RNA and DNA vaccines, virally or bacterially encoded vaccines, and adoptive cell therapies, all of them benefit from the data and analytics that our platform can generate about a patient’s tumor. We anticipate that drugs approved based on these therapeutic strategies may specify the use of our platform, enabling us to derive revenue in connection with the sale of commercial drugs, including the data generation and information processing required to treat each patient. We believe we are working with the majority of companies developing neoantigen-targeted personalized cancer therapies.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hanging="438"/>
        <w:spacing w:after="0" w:line="297"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Our enterprise-grade operational infrastructure is scalable, enables rapid turnaround times, and is tailored to meet the unique workflow needs of our customers. </w:t>
      </w:r>
      <w:r>
        <w:rPr>
          <w:rFonts w:ascii="Arial" w:cs="Arial" w:eastAsia="Arial" w:hAnsi="Arial"/>
          <w:sz w:val="16"/>
          <w:szCs w:val="16"/>
          <w:color w:val="auto"/>
        </w:rPr>
        <w:t>We have invested significant resources to develop an operational infrastructure that allows us to easily</w:t>
      </w:r>
      <w:r>
        <w:rPr>
          <w:rFonts w:ascii="Arial" w:cs="Arial" w:eastAsia="Arial" w:hAnsi="Arial"/>
          <w:sz w:val="16"/>
          <w:szCs w:val="16"/>
          <w:b w:val="1"/>
          <w:bCs w:val="1"/>
          <w:color w:val="auto"/>
        </w:rPr>
        <w:t xml:space="preserve"> </w:t>
      </w:r>
      <w:r>
        <w:rPr>
          <w:rFonts w:ascii="Arial" w:cs="Arial" w:eastAsia="Arial" w:hAnsi="Arial"/>
          <w:sz w:val="16"/>
          <w:szCs w:val="16"/>
          <w:color w:val="auto"/>
        </w:rPr>
        <w:t>customize our services for each of our customers and scale rapidly to meet their potential research and commercial demands. Moreover, our infrastructure provides customers with visibility and control over processes, ensures consistency across all components used for the duration of each clinical trial, is fully traceable for compliance purposes, and allows us to scale while maintaining rapid turnaround times.</w:t>
      </w:r>
    </w:p>
    <w:p>
      <w:pPr>
        <w:spacing w:after="0" w:line="62" w:lineRule="exact"/>
        <w:rPr>
          <w:rFonts w:ascii="Arial" w:cs="Arial" w:eastAsia="Arial" w:hAnsi="Arial"/>
          <w:sz w:val="16"/>
          <w:szCs w:val="16"/>
          <w:color w:val="auto"/>
        </w:rPr>
      </w:pPr>
    </w:p>
    <w:p>
      <w:pPr>
        <w:jc w:val="both"/>
        <w:ind w:left="1080" w:hanging="438"/>
        <w:spacing w:after="0" w:line="290"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We are developing a complementary liquid biopsy test, which also offers broad 20,000-gene coverage versus more narrowly focused liquid biopsy tests that are currently available. </w:t>
      </w:r>
      <w:r>
        <w:rPr>
          <w:rFonts w:ascii="Arial" w:cs="Arial" w:eastAsia="Arial" w:hAnsi="Arial"/>
          <w:sz w:val="16"/>
          <w:szCs w:val="16"/>
          <w:color w:val="auto"/>
        </w:rPr>
        <w:t>We have also shown that our technology can analyze DNA obtained from blood plasma,</w:t>
      </w:r>
      <w:r>
        <w:rPr>
          <w:rFonts w:ascii="Arial" w:cs="Arial" w:eastAsia="Arial" w:hAnsi="Arial"/>
          <w:sz w:val="16"/>
          <w:szCs w:val="16"/>
          <w:b w:val="1"/>
          <w:bCs w:val="1"/>
          <w:color w:val="auto"/>
        </w:rPr>
        <w:t xml:space="preserve"> </w:t>
      </w:r>
      <w:r>
        <w:rPr>
          <w:rFonts w:ascii="Arial" w:cs="Arial" w:eastAsia="Arial" w:hAnsi="Arial"/>
          <w:sz w:val="16"/>
          <w:szCs w:val="16"/>
          <w:color w:val="auto"/>
        </w:rPr>
        <w:t>also known as a liquid biopsy. As with a tissue biopsy, we analyze all of the approximately 20,000 human genes. We are not aware of any other company developing a cfDNA platform that analyzes all of the approximately 20,000 human genes. We expect this cfDNA to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plan to launch our first liquid biopsy assay designed to monitor known neoantigens and detect novel neoantigens and tumor escape mechanisms that arise under therapeutic pressure.</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Our mission is to transform the development of next-generation cancer therapies by providing more comprehensive molecular data about each patient’s tumor. To achieve this mission, our strategy is to:</w:t>
      </w:r>
    </w:p>
    <w:p>
      <w:pPr>
        <w:spacing w:after="0" w:line="71" w:lineRule="exact"/>
        <w:rPr>
          <w:sz w:val="20"/>
          <w:szCs w:val="20"/>
          <w:color w:val="auto"/>
        </w:rPr>
      </w:pPr>
    </w:p>
    <w:p>
      <w:pPr>
        <w:jc w:val="both"/>
        <w:ind w:left="1080" w:hanging="438"/>
        <w:spacing w:after="0" w:line="289"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Drive adoption of our platform by establishing and expanding relationships with leading developers of oncology therapeutics.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we can address the leading companies in oncology therapeutics with a small team of sales representatives and highly targeted marketing efforts. We augment this team with Ph.D.-level Field Application Specialists that provide deep understanding and expertise in the areas of oncology and genomics applications, allowing us to develop sciences-based dialog with our customers who are conducting clinical trials in many parts of their organizations. Once we have completed pilot studies with these customers, we work to expand our footprint by partnering with them on additional clinical trials using the newest versions of our technology. For example, we have successfully utilized this strategy with one of our large biopharmaceutical customers, with our revenues from this customer growing from approximately $473,000 during fiscal year 2017 to approximately $2.3 million during the three months ended March 31, 2019. We plan to continue to enter into such partnerships and pursue a publication strategy that further demonstrates the utility of our platform.</w:t>
      </w:r>
    </w:p>
    <w:p>
      <w:pPr>
        <w:spacing w:after="0" w:line="69" w:lineRule="exact"/>
        <w:rPr>
          <w:rFonts w:ascii="Arial" w:cs="Arial" w:eastAsia="Arial" w:hAnsi="Arial"/>
          <w:sz w:val="16"/>
          <w:szCs w:val="16"/>
          <w:color w:val="auto"/>
        </w:rPr>
      </w:pPr>
    </w:p>
    <w:p>
      <w:pPr>
        <w:jc w:val="both"/>
        <w:ind w:left="1080" w:hanging="438"/>
        <w:spacing w:after="0" w:line="27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Invest in new product innovations and enhancements to maintain our leading position. </w:t>
      </w:r>
      <w:r>
        <w:rPr>
          <w:rFonts w:ascii="Arial" w:cs="Arial" w:eastAsia="Arial" w:hAnsi="Arial"/>
          <w:sz w:val="17"/>
          <w:szCs w:val="17"/>
          <w:color w:val="auto"/>
        </w:rPr>
        <w:t>We will continue to make investments in new</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that enhance our platform and further our competitive advantages. As the breadth of data used in drug development and cancer treatment becomes more and more complex, we believe our biopharmaceutical customers will look to our platform as a complete solution to drive efficiency in research and development. In 2020 we expect to launch a liquid biopsy test, which also offers broad 20,000-gene coverage versus the more narrowly focused liquid biopsy tests that are currently available.</w:t>
      </w:r>
    </w:p>
    <w:p>
      <w:pPr>
        <w:spacing w:after="0" w:line="76" w:lineRule="exact"/>
        <w:rPr>
          <w:rFonts w:ascii="Arial" w:cs="Arial" w:eastAsia="Arial" w:hAnsi="Arial"/>
          <w:sz w:val="17"/>
          <w:szCs w:val="17"/>
          <w:color w:val="auto"/>
        </w:rPr>
      </w:pPr>
    </w:p>
    <w:p>
      <w:pPr>
        <w:jc w:val="both"/>
        <w:ind w:left="1080" w:hanging="438"/>
        <w:spacing w:after="0" w:line="280"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Continue to build a body of evidence demonstrating the utility of comprehensive genomic data. </w:t>
      </w:r>
      <w:r>
        <w:rPr>
          <w:rFonts w:ascii="Arial" w:cs="Arial" w:eastAsia="Arial" w:hAnsi="Arial"/>
          <w:sz w:val="17"/>
          <w:szCs w:val="17"/>
          <w:color w:val="auto"/>
        </w:rPr>
        <w:t>We expect the actionable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customers gain from our platform will increase demand for our services. We intend to align ourselves with our customers, enabling them to develop better cancer therapeutics, which in turn demonstrates the utility of our platform. We expect this supportive cycle to increase our penetration into pharmaceutical and biotechnology enterprises over time.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hanging="438"/>
        <w:spacing w:after="0" w:line="260"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Continue to grow our relationship with the VA MVP. </w:t>
      </w:r>
      <w:r>
        <w:rPr>
          <w:rFonts w:ascii="Arial" w:cs="Arial" w:eastAsia="Arial" w:hAnsi="Arial"/>
          <w:sz w:val="18"/>
          <w:szCs w:val="18"/>
          <w:color w:val="auto"/>
        </w:rPr>
        <w:t>In addition to providing a stable source of revenue, our relationship with the VA</w:t>
      </w:r>
      <w:r>
        <w:rPr>
          <w:rFonts w:ascii="Arial" w:cs="Arial" w:eastAsia="Arial" w:hAnsi="Arial"/>
          <w:sz w:val="18"/>
          <w:szCs w:val="18"/>
          <w:b w:val="1"/>
          <w:bCs w:val="1"/>
          <w:color w:val="auto"/>
        </w:rPr>
        <w:t xml:space="preserve"> </w:t>
      </w:r>
      <w:r>
        <w:rPr>
          <w:rFonts w:ascii="Arial" w:cs="Arial" w:eastAsia="Arial" w:hAnsi="Arial"/>
          <w:sz w:val="18"/>
          <w:szCs w:val="18"/>
          <w:color w:val="auto"/>
        </w:rPr>
        <w:t>MVP has enabled us to innovate, scale our operational infrastructure, and achieve greater efficiencies in our lab. The substantial experience that we have and expect to continue to develop in whole genome sequencing also optimally positions us for what we anticipate to be the longer-term strategic direction of the cancer genomics industry.</w:t>
      </w:r>
    </w:p>
    <w:p>
      <w:pPr>
        <w:spacing w:after="0" w:line="87" w:lineRule="exact"/>
        <w:rPr>
          <w:rFonts w:ascii="Arial" w:cs="Arial" w:eastAsia="Arial" w:hAnsi="Arial"/>
          <w:sz w:val="18"/>
          <w:szCs w:val="18"/>
          <w:color w:val="auto"/>
        </w:rPr>
      </w:pPr>
    </w:p>
    <w:p>
      <w:pPr>
        <w:jc w:val="both"/>
        <w:ind w:left="1080" w:hanging="438"/>
        <w:spacing w:after="0" w:line="280"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Leverage a growing body of evidence from our platform to develop a diagnostic. </w:t>
      </w:r>
      <w:r>
        <w:rPr>
          <w:rFonts w:ascii="Arial" w:cs="Arial" w:eastAsia="Arial" w:hAnsi="Arial"/>
          <w:sz w:val="17"/>
          <w:szCs w:val="17"/>
          <w:color w:val="auto"/>
        </w:rPr>
        <w:t>It is estimated that over 70% of oncology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in development are classified as personalized medicines, which require specific diagnostic testing prior to administration. We see a growing long-term diagnostic opportunity for NeXT as a one-stop, universal tumor profiling test for cancer patients. We are planning to release a diagnostic based on our NeXT Platform that we envision being used with biopharmaceutical and clinical partners.</w:t>
      </w:r>
    </w:p>
    <w:p>
      <w:pPr>
        <w:spacing w:after="0" w:line="72" w:lineRule="exact"/>
        <w:rPr>
          <w:rFonts w:ascii="Arial" w:cs="Arial" w:eastAsia="Arial" w:hAnsi="Arial"/>
          <w:sz w:val="17"/>
          <w:szCs w:val="17"/>
          <w:color w:val="auto"/>
        </w:rPr>
      </w:pPr>
    </w:p>
    <w:p>
      <w:pPr>
        <w:jc w:val="both"/>
        <w:ind w:left="1080" w:hanging="438"/>
        <w:spacing w:after="0" w:line="272"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Build out a comprehensive tumor-genomics database</w:t>
      </w:r>
      <w:r>
        <w:rPr>
          <w:rFonts w:ascii="Arial" w:cs="Arial" w:eastAsia="Arial" w:hAnsi="Arial"/>
          <w:sz w:val="17"/>
          <w:szCs w:val="17"/>
          <w:color w:val="auto"/>
        </w:rPr>
        <w:t>. We also see a growing long-term opportunity to generate rich databases of content</w:t>
      </w:r>
      <w:r>
        <w:rPr>
          <w:rFonts w:ascii="Arial" w:cs="Arial" w:eastAsia="Arial" w:hAnsi="Arial"/>
          <w:sz w:val="17"/>
          <w:szCs w:val="17"/>
          <w:b w:val="1"/>
          <w:bCs w:val="1"/>
          <w:color w:val="auto"/>
        </w:rPr>
        <w:t xml:space="preserve"> </w:t>
      </w:r>
      <w:r>
        <w:rPr>
          <w:rFonts w:ascii="Arial" w:cs="Arial" w:eastAsia="Arial" w:hAnsi="Arial"/>
          <w:sz w:val="17"/>
          <w:szCs w:val="17"/>
          <w:color w:val="auto"/>
        </w:rPr>
        <w:t>across a large number of cancer patients. Most current diagnostic based databases built using cancer panels cover just a small fraction of genes and miss information about the immune system whereas our platform will provide comprehensive information. This database would serve as a valuable tool to discover new cancer biology, new biomarkers, and potential therapeutic targets. It may include integration with other sources of real-world data (“RWD”), such as electronic health records, which can generate real-world evidence (“RWE”) that may be used to reduce risk in early discovery by helping to identify biomarkers of response, improve trial execution through external control arms, expand indications for therapy, reduce trial size, and improve trial design.</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We have assembled a multidisciplinary team of experienced industry leaders to drive continuous innovation. Scientific and operational excellence is a guiding principle for our employees. As we have grown to over 145 employees, we have invested not only in the technology to provide information of sufficient quality for clinical use, but also in the people to continuously innovate for the industry’s growing and changing demands.</w:t>
      </w:r>
    </w:p>
    <w:p>
      <w:pPr>
        <w:spacing w:after="0" w:line="148"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Our President and Chief Executive Officer, John West, co-founded our company in 2011 in conjunction with four Stanford professors, Euan Ashley, M.D., Ph.D., Atul Butte, M.D., Ph.D., Russ Altman, M.D., Ph.D., and Michael Snyder, Ph.D. More broadly, our executive officers and management team members have had previous experience at a variety of genomics, pharmaceuticals, biotechnology, diagnostics, data analytics, service, enterprise software, and technology companies including Agilent Technologies, Inc., Applied Biosystems Inc., ARMO Biosciences, Inc., Illumina, Inc., Informatica LLC, Ingenuity Systems, Inc., Lumentum Holdings Inc., Merck &amp; Co., Inc., Molecular Dynamics, Inc., Natera, Inc., Novartis Pharmaceuticals Corp., Pacific Biosciences of California, Inc., RainDance Technologies, Inc., and Solexa, Ltd.</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Our revenues have grown rapidly as our penetration of clinical trials in advanced oncology therapeutics has expanded, consistent with our reputation as a leader in the field. We generated revenues of $9.4 million, $37.8 million, and $14.1 million for the years ended December 31, 2017 and 2018 and the three months ended March 31, 2019, respectively. We also incurred net losses of $23.6 million, $19.9 million, and $5.7 million for the years ended December 31, 2017 and 2018 and the three months ended March 31, 2019, respectively.</w:t>
      </w:r>
    </w:p>
    <w:p>
      <w:pPr>
        <w:spacing w:after="0" w:line="170"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As of March 31, 2019, we had $33.2 million of cash and cash equivalents, an increase of $11.4 million from March 31, 2018. Our revenues are primarily generated through sales of our services to biopharmaceutical companies and the VA MVP. Unlike diagnostic or therapeutic companies, we have not sought reimbursement through traditional healthcare payors. We have raised $89.6 million in preferred stock equity financing to date.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Despite the large sums invested in research and despite new treatments, cancer remains a major challenge for modern medicine and a source of high unmet medical need. According to a 2018 American Cancer Society report, “Cancer Facts &amp; Figures,” as of January 1, 2016, there were more than 15.5 million people in the United States who were suffering from cancer or who had previously suffered from cancer, and more than 1.7 million people were expected to be diagnosed with the disease in 2018. Cancer prevalence is increasing globally as well. The World Health Organization (the “WHO”) predicted in its September 2018 estimates on the global prevalence of cancer that there would be 18.1 million new cancer cases and nearly 10 million cancer deaths globally in 2018. According to the WHO, the total economic impact of healthcare expenditure and loss of productivity resulting from cancer worldwide was approximately $1.2 trillion in 2010.</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Improving Cancer Treatment is Increasingly About Leveraging Molecular Data</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Despite the rapid evolution of cancer therapies, the current research and development paradigm in oncology is beset by significant inefficiencies and costs. Cancer therapeutics have one of the lowest clinical trial success rates of all major diseases. According to a study of 7,455 drug development programs during 2006 to 2015, the overall likelihood of FDA approval from Phase I clinical trial for oncology developmental candidates was 5.1%. The majority of currently available cancer therapeutics have serious limitations, including efficacy only in certain subsets of patients, limited long-term survival rates, and significant toxicities. The mechanisms underlying the success or failure of clinical trials are often poorly understood. To develop more efficacious cancer treatments, the biopharmaceutical community is faced with multiple key questions for a given therapeutic approach:</w:t>
      </w:r>
    </w:p>
    <w:p>
      <w:pPr>
        <w:spacing w:after="0" w:line="69" w:lineRule="exact"/>
        <w:rPr>
          <w:sz w:val="20"/>
          <w:szCs w:val="20"/>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Why do some patients respond to treatment and others do not?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What are the underlying mechanisms of treatment resistance?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there additional therapeutic targets or alternative pathways that can improve outcomes?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What therapeutic combinations can improve outcomes?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there ways to increase patient response through personalized therapeutics?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there ways to reduce toxicity?</w:t>
      </w:r>
    </w:p>
    <w:p>
      <w:pPr>
        <w:spacing w:after="0" w:line="225"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There is a growing recognition that there is a tremendous amount of untapped molecular data that can be derived from analyzing tumors from large numbers of cancer patients, whether in cancer clinical trials or post-commercialization, that can help answer some of these seminal questions and accelerate therapeutic development. The threefold increase in probability of FDA approval from Phase I clinical trial for therapies with biomarkers across all diseases and therapeutic types provides an indication of the benefits of leveraging molecular data.</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Tumor Molecular Profiling Solutions Have Not Kept Pace with New Cancer Therapies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Biopharmaceutical companies are increasingly turning to tumor molecular profiling across large cohorts of patients to generate the data needed to answer these questions. Unfortunately, current tumor molecular profiling methods have not kept pace with new therapy development and overlook crucial elements of our evolving understanding of cancer biology.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tumor molecular profiling falls short for new cancer immunotherapies</w:t>
      </w:r>
    </w:p>
    <w:p>
      <w:pPr>
        <w:spacing w:after="0" w:line="117"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Most current tumor molecular profiling panels were designed with a focus on targeted therapies, which, along with chemotherapy, have been used for cancer treatment for the past several decades. Targeted therapies treat cancers based on the specific genomic alterations driving their growth. Some targeted therapies have been developed to target specific molecules that are overexpressed or mutated in cancer cells. Because targeted therapies focus on cancer driver genes, the vast majority of tumor molecular profiling panels today, whether tissue or liquid biopsy based, typically sequence the DNA of between 50 to 500 genes, just a small fraction of the approximately 20,000 human genes.</w:t>
      </w: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Recently, however, transformational new approaches to cancer therapy that have been developed to harness the patient’s own immune system have changed the treatment paradigm and our understanding of cancer biology. These new immunotherapies have dramatically improved the treatment of certain tumors that have previously been difficult to treat. Among these new immunotherapies, checkpoint inhibitors of the CTLA-4 and PD-1/PD-L1 genes are particularly effective. These therapies help “take the brakes off” the immune system and elicit a stronger immune response against the tumor. Patients can also be treated by adoptive cell therapy, in which the patient’s immune system is supplemented with cytotoxic cells that have been programmed to attack cells expressing specific antigens on their tumors. There are also new opportunities for personalized cancer therapies where a new therapeutic vaccine or cell therapy is developed for each patient. Despite early success, the majority of patients today still do not respond to immunotherapy, underscoring the importance of gathering data that can help biopharmaceutical companies understand factors governing response and resistance to therapy.</w:t>
      </w:r>
    </w:p>
    <w:p>
      <w:pPr>
        <w:spacing w:after="0" w:line="179"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With these new immunotherapies and our rapidly evolving understanding of cancer biology, we believe the data needed to inform therapeutic development goes far beyond the typical 50 to 500 genes on current tumor molecular profiling panels. The paradigm has shifted from the need to understand mechanisms behind a single gene target to a dynamic, systems biology view involving complex interactions between thousands of genes in the tumor and the immune system in the pathogenesis of cancer and cancer drug response (see Figure 1).</w:t>
      </w:r>
    </w:p>
    <w:p>
      <w:pPr>
        <w:spacing w:after="0" w:line="19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Information about all of the approximately 20,000 human genes allows deeper insight into the biology of cancer, identifying novel or patient-specific therapeutic targets, including neoantigens, and predictive biomarkers of response to therapy. Understanding the immune cell signatures in the tumor microenvironment and immune repertoire changes is critical for understanding drug response. In addition to DNA, comprehensive RNA expression information from the tumor is needed to analyze complex pathways that may be activated in the tumor. It is important to identify the increasingly complex mechanisms of tumor response and resistance to cancer therapy, such as neoantigen burden, tumor antigens, deficient antigen presentation, oncogenic pathways, immune evasion pathways, HLA mutations, T-cell clonality, immune infiltration, and others. Table 1 describes some of the biological gaps in current panels. Most of these elements go beyond the capabilities of today’s tumor molecular profiling panels.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Table 1. Most current tumor tissue and liquid biopsy profiling panels miss critical tumor and immune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168910</wp:posOffset>
            </wp:positionV>
            <wp:extent cx="4899660" cy="4676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99660" cy="467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40"/>
        <w:spacing w:after="0"/>
        <w:rPr>
          <w:sz w:val="20"/>
          <w:szCs w:val="20"/>
          <w:color w:val="auto"/>
        </w:rPr>
      </w:pPr>
      <w:r>
        <w:rPr>
          <w:rFonts w:ascii="Arial" w:cs="Arial" w:eastAsia="Arial" w:hAnsi="Arial"/>
          <w:sz w:val="17"/>
          <w:szCs w:val="17"/>
          <w:i w:val="1"/>
          <w:iCs w:val="1"/>
          <w:color w:val="auto"/>
        </w:rPr>
        <w:t>Figure 2. Lack of a comprehensive tumor molecular profiling platform leads to major challenges for cancer therapy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175895</wp:posOffset>
            </wp:positionV>
            <wp:extent cx="4762500" cy="2715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00" cy="271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Fragmented tumor molecular profiling approaches result in a fragmented view of biology and limited insights</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With the lack of a comprehensive profiling solution, biopharmaceutical companies often turn to fragmented, piecemeal approaches to tumor molecular profiling as a stopgap measure (see Figure 2).</w:t>
      </w:r>
    </w:p>
    <w:p>
      <w:pPr>
        <w:spacing w:after="0" w:line="170"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Those fragmented tumor molecular profiling approaches lead to major problems for therapeutic development. Limitations in available tumor samples, including liquid biopsies, force scientists to pick and choose which profiling platforms to include and which to omit, resulting in a fragmented picture of the biology. Fragmented profiling solutions also result in inconsistent profiling from patient to patient, and clinical trial to clinical trial. This results in data heterogeneity that makes it difficult to mine for new biological insights across cohorts of patients in trials. Finally, these piecemeal approaches to tumor molecular profiling result in solutions that often are difficult to use at scale in a clinical or therapeutic setting where logistical simplicity, cost, turnaround time, and validation are important.</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tumor molecular profiling panels can become antiquated with evolving science</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With the explosion of immunotherapy and advances in our understanding of cancer, new insights into the underlying mechanisms of response and resistance have emerged. New putative genetic or immune biomarkers of response are regularly identified for different therapies in the context of different cancers. For instance, new biomarkers have been identified including tumor mutational burden, neoantigens, HLA type, B2M mutations, TGFß, JAK1/JAK2 mutations, expression signatures, cytotoxicity signatures, and T-cell clonality, among others. A recent Nature Medicine review identified 18 different categories of biomarkers correlating with immunotherapy response spanning tumor, immune cells, and the tumor microenvironment. Due to the limited coverage of most cancer panels, they may miss new biomarkers. We believe this problem will continue as research uncovers new insights into cancer.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Platform: Advanced Tumor Molecular Profiling Built for the Future of Cancer Therapy</w:t>
      </w:r>
    </w:p>
    <w:p>
      <w:pPr>
        <w:spacing w:after="0" w:line="121"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Our NeXT Platform ushers in a new paradigm for tumor molecular profiling by looking beyond the roughly 50 to 500 genes that limit current tumor profiling solutions. NeXT is designed to elucidate both the tumor genomics and its immune microenvironment simultaneously, representing a major step forward in tumor molecular profiling. Our platform interrogates all of the approximately 20,000 human genes in each tumor, generating more comprehensive molecular information than current profiling panels, from a single limited tumor sample. We have built NeXT to not only address the complex biology of new immunotherapies, but also to be broad enough to accommodate our rapidly evolving and increasingly complex understanding cancer. Finally, through technology innovation, we have made comprehensive tumor molecular profiling cost-efficient and scalable, enabling its use for large-scale profiling of cancer patients.</w:t>
      </w:r>
    </w:p>
    <w:p>
      <w:pPr>
        <w:spacing w:after="0" w:line="19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NeXT enables a paradigm where each cancer patient can benefit from comprehensive tumor molecular profiling, providing important data for cancer therapy development, personalized therapies, therapy selection, and diagnostics. Our platform enables biopharmaceutical customers to increase the insights generated from each tumor sample, reduce data heterogeneity, and simplify the process of tumor analysis. Our platform can be used to advance therapeutic development by elucidating diverse mechanisms of tumor escape, detecting neoantigens, identifying novel biomarker signatures, and characterizing the immune response.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Figure 3. The NeXT Platform generates the most comprehensive view of the tumor and immune biology today, all from a single limited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183515</wp:posOffset>
            </wp:positionV>
            <wp:extent cx="4796790" cy="40005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96790" cy="400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NeXT Platform: Overview of Key Features &amp; Differentiators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Comprehensive tumor and immune genomics from a single limited sample</w:t>
      </w:r>
    </w:p>
    <w:p>
      <w:pPr>
        <w:spacing w:after="0" w:line="134" w:lineRule="exact"/>
        <w:rPr>
          <w:sz w:val="20"/>
          <w:szCs w:val="20"/>
          <w:color w:val="auto"/>
        </w:rPr>
      </w:pPr>
    </w:p>
    <w:p>
      <w:pPr>
        <w:ind w:left="1080" w:hanging="438"/>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Sequencing and analyzing all of the approximately 20,000 human genes generates more comprehensive molecular information than current tumor tissue and liquid biopsy panels focused on roughly 50 to 500 genes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Covers a much broader set of biomarkers for new immunotherapies and traditional targeted therapies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Analysis of both tumor DNA and RNA expression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Analysis of both tumor and normal tissue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Analysis of non-human species such as oncoviruses (analytics in development)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NeXT liquid biopsy, which we plan to launch in 2020, will target approximately 20,000 genes, enabling testing at multiple time points</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Proprietary technology enables superior sequencing quality and advanced analytics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Makes single, comprehensive tumor molecular profiling practical for cancer patients</w:t>
      </w:r>
    </w:p>
    <w:p>
      <w:pPr>
        <w:spacing w:after="0" w:line="134" w:lineRule="exact"/>
        <w:rPr>
          <w:sz w:val="20"/>
          <w:szCs w:val="20"/>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Tumor and immune molecular profiling from one limited tumor sample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Engineered to be cost-effective and scalable, with rapid turnaround times, making it suitable for large-scale profiling of cancer patients</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Overcomes the need for fragmented tumor testing</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platform for both research and clinical use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Platform anticipates future cancer biomarkers that will come with evolving science</w:t>
      </w:r>
    </w:p>
    <w:p>
      <w:pPr>
        <w:spacing w:after="0" w:line="134" w:lineRule="exact"/>
        <w:rPr>
          <w:sz w:val="20"/>
          <w:szCs w:val="20"/>
          <w:color w:val="auto"/>
        </w:rPr>
      </w:pPr>
    </w:p>
    <w:p>
      <w:pPr>
        <w:ind w:left="1080" w:hanging="438"/>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NeXT overcomes the limitations of small panels that become out of date when new genetic biomarkers or therapeutic targets are identified</w:t>
      </w:r>
    </w:p>
    <w:p>
      <w:pPr>
        <w:spacing w:after="0" w:line="153"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Comprehensive coverage of all genes, DNA and RNA, tumor and normal tissue, and immune biology enables our platform to accommodate new genetic biomarkers and signatures as they are published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Generates comprehensive, harmonized data across patients to enable large-scale database creation and insight</w:t>
      </w:r>
    </w:p>
    <w:p>
      <w:pPr>
        <w:spacing w:after="0" w:line="134" w:lineRule="exact"/>
        <w:rPr>
          <w:sz w:val="20"/>
          <w:szCs w:val="20"/>
          <w:color w:val="auto"/>
        </w:rPr>
      </w:pPr>
    </w:p>
    <w:p>
      <w:pPr>
        <w:ind w:left="1080" w:hanging="438"/>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Comprehensive profiling for large cohorts of patients leads to more useful databases for biopharmaceutical customers using our platform and our internal database</w:t>
      </w:r>
    </w:p>
    <w:p>
      <w:pPr>
        <w:spacing w:after="0" w:line="75"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Opportunity for integration with other sources of RWD such as electronic health records to generate RWE that may be used by biopharmaceutical customers to inform and accelerate therapeutic development</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Data harmonization, analytics, and machine learning maximize therapeutic insight</w:t>
      </w:r>
    </w:p>
    <w:p>
      <w:pPr>
        <w:spacing w:after="0" w:line="130" w:lineRule="exact"/>
        <w:rPr>
          <w:rFonts w:ascii="Arial" w:cs="Arial" w:eastAsia="Arial" w:hAnsi="Arial"/>
          <w:sz w:val="18"/>
          <w:szCs w:val="18"/>
          <w:color w:val="auto"/>
        </w:rPr>
      </w:pPr>
    </w:p>
    <w:p>
      <w:pPr>
        <w:ind w:left="5580" w:hanging="4938"/>
        <w:spacing w:after="0" w:line="449" w:lineRule="auto"/>
        <w:tabs>
          <w:tab w:leader="none" w:pos="10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Comprehensive nature of the platform provides long-lasting data relevance, yielding new insights over time as new biomarkers are identified 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Platform: Advanced Tumor Molecular Profiling Built for Present and Future Cancer Therapies</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To elucidate the complexity of tumor and immune biology, we have developed many new technologies that enable our platform to generate and analyze an order of magnitude more genomic data than most other cancer panels (see Figure 4). Our proprietary technologies and innovations span the entire NeXT Platform, including sample sparing preparation, advanced genomic sequencing, and new analytics with machine learning algorithms. We have also developed proprietary software and automation to integrate and scale the data, complex assays, analytics, and workflows underlying the platform (see Figure 5).</w:t>
      </w:r>
    </w:p>
    <w:p>
      <w:pPr>
        <w:spacing w:after="0" w:line="191" w:lineRule="exact"/>
        <w:rPr>
          <w:sz w:val="20"/>
          <w:szCs w:val="20"/>
          <w:color w:val="auto"/>
        </w:rPr>
      </w:pPr>
    </w:p>
    <w:p>
      <w:pPr>
        <w:jc w:val="center"/>
        <w:ind w:left="440" w:right="120"/>
        <w:spacing w:after="0" w:line="277" w:lineRule="auto"/>
        <w:rPr>
          <w:sz w:val="20"/>
          <w:szCs w:val="20"/>
          <w:color w:val="auto"/>
        </w:rPr>
      </w:pPr>
      <w:r>
        <w:rPr>
          <w:rFonts w:ascii="Arial" w:cs="Arial" w:eastAsia="Arial" w:hAnsi="Arial"/>
          <w:sz w:val="18"/>
          <w:szCs w:val="18"/>
          <w:i w:val="1"/>
          <w:iCs w:val="1"/>
          <w:color w:val="auto"/>
        </w:rPr>
        <w:t>Figure 4. The order of magnitude increase in biological complexity, data size and analytical complexity has required innovation throughout the entire NeXT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133985</wp:posOffset>
            </wp:positionV>
            <wp:extent cx="4582795" cy="3220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82795" cy="322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5: Areas of innovation across the NeXT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168910</wp:posOffset>
            </wp:positionV>
            <wp:extent cx="3417570" cy="23641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17570"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Through our technology innovation, proprietary methods, and intellectual property, our platform is capable of detecting mutations across all of the approximately 20,000 human genes in both DNA and RNA, immune repertoire for TCR a, ß, g, d and BCR l, k, immune signatures, diverse tumor escape mechanisms, and oncoviruses (in development). Compared to traditional cancer panels, our platform is broader in multiple dimensions.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6. NeXT generates broader biological insight than existing panel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168910</wp:posOffset>
            </wp:positionV>
            <wp:extent cx="4762500" cy="3109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00"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Covers Biomarkers for Current and Future Therapies Through Broad Sequencing and Analysis of Approximately 20,000 Human Genes</w:t>
      </w:r>
    </w:p>
    <w:p>
      <w:pPr>
        <w:spacing w:after="0" w:line="128"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Far beyond current cancer panels focused on roughly 50 to 500 genes, our platform sequences all of the approximately 20,000 human genes, enabling a broader view of tumor and immune genomics. Mutations of all types including single nucleotide variants, insertion-deletions, fusions, and copy number variations have been implicated in tumor resistance and response mechanisms for both targeted cancer therapies and immunotherapies, and thousands of these mutations can occur in each tumor. Our platform can identify crucial tumor and immune biomarkers, including in the tumor microenvironment, related biomarkers and critical alterations in the antigen presenting machinery, DNA repair and replication, immune checkpoint modulation, tumor associated antigens, immune response, microsatellite instability, cytokines and chemokines, and cytotoxicity.</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Simultaneously Provides Both Tumor and Immune Insights, including T and B Cell Repertoire</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Simultaneously understanding both the tumor cells and the immune cells is critical for a deeper understanding of patient response to therapy. Unlike most cancer profiling panels that are focused on the tumor or immune repertoire alone, NeXT interrogates both the tumor and immune repertoire simultaneously. This is crucial as both the tumor and immune microenvironment can impact therapy response. Our platform sequences the broad immune repertoire including TCR a, b, g, d and BCR l, k from tumor FFPE (and fresh frozen) samples. The immune repertoire specific sequencing data derived from the NeXT assay is processed by our analytics, and a report is generated providing key metrics such as clonality, CDR3 nucleotide and amino acid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sequences, clonotype quantitation, distribution, and frequency, V, D, and J gene segments usage and overlap, and CDR3 nucleotide sequence length. These deliverables enable researchers to investigate the immune repertoire’s potential as a predictive biomarker of response to immunotherapies and combination therapies.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Analyzes Both DNA and RNA for a Patient’s Tumor</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In contrast to most cancer diagnostic panels, the NeXT Platform sequences and analyzes both the DNA and RNA, which is extracted from the same limited sample. As shown in Figure 7, DNA and RNA sequencing data yields complementary insights into the tumor and immune genomics, providing a more complete view of tumor features that can impact cancer therapy. Furthermore, by simultaneously looking at both, there are new opportunities to combine information to improve analytical results for neoantigens and other advanced biomarkers, which can include multi-gene signatures.</w:t>
      </w:r>
    </w:p>
    <w:p>
      <w:pPr>
        <w:spacing w:after="0" w:line="191"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Figure 7. DNA and RNA from our platform yield different but synergistic insights into the tumor and immune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168910</wp:posOffset>
            </wp:positionV>
            <wp:extent cx="4848225" cy="36150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48225" cy="361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Analyzing Both Tumor and Normal Tissue</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Most cancer panels do not sequence the genome of the patient’s non-cancer tissue (“normal tissue”), which can contain pertinent information for understanding therapy response. By analyzing the normal tissue from the patient (typically blood samples), we improve the accuracy of identifying cancer specific mutations by using genetic variants found in the normal tissue as a reference point. Panels that do not utilize the normal tissue as a reference point can mistake germline mutations for cancer mutations. Furthermore, the normal tissue can yield additional genetic information that may be relevant to interpreting cancer therapy response. One example of this is HLA type, which has been correlated with response to immunotherapy. Germline mutations can also predispose patients to cancer.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Analysis of Neoantigens with Proprietary Assay Design and Machine Learning Algorithms</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Neoantigens are derived from tumor-specific mutations that vary from patient to patient and can potentially trigger an immune response to the tumor. When neoantigens bind to and are presented on the major histocompatibility complex (“MHC”) on cells, they can be recognized as “foreign” by the immune system and elicit an immune response to the tumor. Because of this, neoantigens have attracted strong biopharmaceutical interest as both a therapeutic target for personalized therapies and a biomarker for drug response. The predicted neoantigen burden in tumors has also been reported to be a biomarker of response of immunotherapies in certain cancers. Many neoantigens are missed by narrow cancer panels because they can arise from mutations in any of the approximately 20,000 human genes.</w:t>
      </w:r>
    </w:p>
    <w:p>
      <w:pPr>
        <w:spacing w:after="0" w:line="17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To enable these applications, we have developed proprietary methods to better identify and characterize neoantigens from a patient tumor sample. We have designed proprietary assay and algorithmic elements in NeXT including enhanced DNA and RNA sequencing technology, HLA typing, MHC-binding prediction, similarity-to-self, similarity-to-known antigens, and immunogenicity that are all used to improve detection and characterization of potential neoantigens.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Figure 8. Our neoantigen prediction engine combines proprietary assay design and proprietary analytics to identify and characterize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183515</wp:posOffset>
            </wp:positionV>
            <wp:extent cx="4848225" cy="16192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4822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MHC-binding prediction for each candidate neoantigen is a particularly critical step in the neoantigen characterization process. There are multiple variants (“alleles”) of MHC proteins present in any individual and these alleles also vary between individuals. Each MHC variant has a unique set of peptides or neoantigens that it can present to the immune system. If an individual does not have an MHC allele that can bind to a particular neoantigen it will not be able to trigger an immune response to the tumor.</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While academic groups have developed machine learning algorithms that can help predict the binding of peptides to individual MHC alleles, these algorithms were built upon data that was obtained from many different sources and was of limited quantity and varying quality. To address the limitations of existing tools, we have generated our own MHC binding data and used this high quality, systematically collected data as the basis for training our machine learning algorithms.</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have engineered proprietary cell lines that express only one MHC allele at a time and used a combination of chromatography and mass spectrometry to determine which peptides are bound to each allele. We believe we have one of the most comprehensive databases of peptide binding to specific MHCs of this type. We use this data and our computational tools to build proprietary peptide binding predictions that are individualized for each MHC allele.</w:t>
      </w:r>
    </w:p>
    <w:p>
      <w:pPr>
        <w:spacing w:after="0" w:line="18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As seen in Figure 9, our MHC neoantigen binding predictions perform more accurately than the best publicly available prediction tools. A good prediction algorithm should be able to accurately identify peptides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that are well known to bind to a specific MHC receptor. There are two ways to measure the power of a neoantigen prediction algorithm: the ability to accurately identify a given neoantigen as binding to a specific MHC, known as precision (which is a measure of how likely the predicted binding is to be correct, meaning true positives divided by true positives plus false positives), and the ability to find all known neoantigens that bind to that MHC, known as recall (which is a measure of how likely binders will be found, meaning true positives divided by true positives plus false negatives). We attribute the increased accuracy of our predictions to the high quality of the data we have generated, as well as our proprietary machine learning algorithms.</w:t>
      </w:r>
    </w:p>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9. Predictive power of our MHC neoantigen binding method compared to standard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168910</wp:posOffset>
            </wp:positionV>
            <wp:extent cx="4051935" cy="35293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51935" cy="352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Elucidating a Broad Set of Biomarkers Spanning Tumor and Immune Biology</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Since we offer a more comprehensive platform than others, we enable a broader analysis of key genomic biomarkers and signatures across multiple tumor and immune biomarker categories, such as neoantigens, HLA, immune modulator, DNA repair and replication, tumor-associated antigens, immune signatures, cytotoxicity, cytokines and chemokines, antigen processing machinery, and others (see Figure 10). Many of these biomarkers require both simultaneous assay and analytical technology development.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10. Broad biomarkers enabled by our platform give a comprehensive view of the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168910</wp:posOffset>
            </wp:positionV>
            <wp:extent cx="4754245" cy="2869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54245" cy="286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In contrast to traditional approaches where assays are designed independently from the analytics, we have co-optimized our genomic assay design and analytics simultaneously to enable both unique analytical capabilities and enhanced performance for key biomarkers. Figure 11 summarizes some of the approaches we developed to achieve superior performance and comprehensiveness in our platform across a broad range of biomarkers: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11. Proprietary genomic assay and analytical innovations to enable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168910</wp:posOffset>
            </wp:positionV>
            <wp:extent cx="4762500" cy="1798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00"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Superior Sequencing Quality and Coverage</w:t>
      </w:r>
    </w:p>
    <w:p>
      <w:pPr>
        <w:spacing w:after="0" w:line="12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Next generation sequencing (“NGS”) is the technological basis for many tumor molecular profiling platforms today. NGS rapidly sequences nucleic acids and then uses a computationally intensive process to reconstruct gene sequences from millions of short sequence segments. These segments are processed in parallel, an approach that greatly increases the speed that the sequence data can be generated. However, because the segments come from random locations in the genome, reassembling the original sequence is both a technically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86" w:lineRule="auto"/>
        <w:rPr>
          <w:sz w:val="20"/>
          <w:szCs w:val="20"/>
          <w:color w:val="auto"/>
        </w:rPr>
      </w:pPr>
      <w:r>
        <w:rPr>
          <w:rFonts w:ascii="Arial" w:cs="Arial" w:eastAsia="Arial" w:hAnsi="Arial"/>
          <w:sz w:val="17"/>
          <w:szCs w:val="17"/>
          <w:color w:val="auto"/>
        </w:rPr>
        <w:t>and computationally challenging process. A key objective is to ensure that every portion of the genes being sequenced is covered by at least one sequence segment. The average number of sequence segments representing a gene is referred to as the sequence depth. The deeper the coverage, the greater fraction of the gene is likely to be covered and the higher confidence that low-frequency variants can be found.</w:t>
      </w:r>
    </w:p>
    <w:p>
      <w:pPr>
        <w:spacing w:after="0" w:line="16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However, even when sequenced to high depth, typical NGS approaches can leave uneven, poor coverage in genes with mutations linked to cancer and cancer therapy. Many of these regions cannot be fully covered by simply sequencing to higher depth because their sequencing coverage deficits are due to inherent limitations of the NGS platform. Regions of high guanine-cytosine (“GC”) content or repetitive sequence regions are two such examples of regions that are difficult to cover with standard NGS assays. This can leave gaps in coverage of therapeutically important genes (see Figure 12). This is particularly problematic in cancer, where there can be significant heterogeneity in the tumor samples that can make it even harder to see mutations in regions of poor coverage.</w:t>
      </w:r>
    </w:p>
    <w:p>
      <w:pPr>
        <w:spacing w:after="0" w:line="191"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Figure 12. Coverage of SKT11 gene with standard NGS techniques leaves gaps in critical exonic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168910</wp:posOffset>
            </wp:positionV>
            <wp:extent cx="4599940" cy="950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99940"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To address the limitations of typical NGS-based assay, we have developed our patented Accuracy and Content Enhanced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w:t>
      </w:r>
    </w:p>
    <w:p>
      <w:pPr>
        <w:spacing w:after="0" w:line="186"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Our NeXT Platform uses our ACE technology to provide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(see Figure 13). ACE is able to deliver more comprehensive coverage not by simply generating more data, but by generating higher quality data. We and others have shown in two publications that our ACE technology achieves superior gene sequencing coverage and finishing (see Figure 14).</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13. Coverage of SKT11 with our ACE sequencing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168910</wp:posOffset>
            </wp:positionV>
            <wp:extent cx="4539615" cy="1892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39615" cy="189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14. Personalis’ ACE technology achieves superior sequencing coverage and gene finishing.</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(Patwardhan et al Genome Med.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160020</wp:posOffset>
            </wp:positionV>
            <wp:extent cx="4762500" cy="42659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00" cy="426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Liquid Biopsy Capabilities</w:t>
      </w:r>
    </w:p>
    <w:p>
      <w:pPr>
        <w:spacing w:after="0" w:line="121" w:lineRule="exact"/>
        <w:rPr>
          <w:sz w:val="20"/>
          <w:szCs w:val="20"/>
          <w:color w:val="auto"/>
        </w:rPr>
      </w:pPr>
    </w:p>
    <w:p>
      <w:pPr>
        <w:jc w:val="both"/>
        <w:ind w:left="220" w:firstLine="440"/>
        <w:spacing w:after="0" w:line="341" w:lineRule="auto"/>
        <w:rPr>
          <w:sz w:val="20"/>
          <w:szCs w:val="20"/>
          <w:color w:val="auto"/>
        </w:rPr>
      </w:pPr>
      <w:r>
        <w:rPr>
          <w:rFonts w:ascii="Arial" w:cs="Arial" w:eastAsia="Arial" w:hAnsi="Arial"/>
          <w:sz w:val="16"/>
          <w:szCs w:val="16"/>
          <w:color w:val="auto"/>
        </w:rPr>
        <w:t>Liquid biopsy approaches look at cfDNA in plasma samples derived from the blood. cfDNA is DNA that is released into circulation by cells, including tumor cells, as a result of cell death. This cfDNA can be obtained by a blood draw and can be used to monitor changes in tumor genetics.</w:t>
      </w:r>
    </w:p>
    <w:p>
      <w:pPr>
        <w:spacing w:after="0" w:line="125"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We believe tumor biopsy and liquid biopsy approaches to tumor molecular profiling can provide complementary information for each patient. Tumor biopsies provide tumor immune microenvironment and tumor gene expression information that current liquid biopsy panels do not provide. Liquid biopsies can be useful for providing additional DNA mutation information, especially for monitoring therapy response across different time points when tumor biopsies are not feasible. Unlike typical liquid biopsy panel approaches focused on roughly 50 to 500 driver genes, we are designing our cfDNA approach, NeXT Liquid Biopsy, which is currently in development, to sequence all of the approximately 20,000 genes in the human genome. Our broader liquid biopsy approach will help biopharmaceutical customers identify biological changes across multiple time points for each patient in their trials that they would otherwise miss with the current, narrowly focused liquid biopsy panels. We also believe broader coverage will enable better neoantigen prediction, broader biomarker coverage, and higher potential to identify new drug targets.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Figure 15: ImmunoID NeXT tumor biopsy and NeXT liquid biopsy (in development) yields complementary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believe that combining tumor biopsies with cfDNA can provide a more complete picture of the spectrum of mutations found in a cancer patient. As an example of this, we compared the mutations found in eight late-stage colorectal tumor biopsy samples with those found in the plasma taken at the same time. We found a range of overlap between tumor biopsy-identified sequence variations and the sequences generated using cfDNA. These observations show that, while there was significant overlap between the tumor and liquid biopsy results, there were also mutations unique to tumor biopsy and vice versa (see examples of this in Figure 16). This observation underscores the concept that tissue and liquid biopsies may be complementary, and when combined, may provide a more complete picture of the patient’s disease.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16. Overlap of sequence variations detected in matched tumor and blood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168910</wp:posOffset>
            </wp:positionV>
            <wp:extent cx="4857115" cy="1816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57115" cy="181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Numbers indicate variants detected in the tumor only, plasma only, or in both.</w:t>
      </w:r>
    </w:p>
    <w:p>
      <w:pPr>
        <w:spacing w:after="0" w:line="234"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anticipate that our liquid biopsy approach will have many applications, including monitoring of tumor response to therapy over many time points, detecting new genetic variants from evolution of the tumor under therapeutic pressure, detecting acquired mechanisms of resistance, and identifying neoantigens.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makes comprehensive tumor molecular profiling practical for cancer patients at scale</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To deliver a comprehensive immune-genomic assessment of a tumor, we invested substantial resources to engineer NeXT to provide data and analysis that would otherwise be unavailable or require many individual technologies, which collectively present significant costs and logistical impracticalities. With NeXT, we built a proprietary platform that is comprehensive, cost-effective, and scalable and enables a short turnaround time, making it practical to profile cancer patients at scale. This has required innovation on a number of fronts.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Comprehensive tumor and immune molecular profiling from a single limited tumor sample</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quality and quantity of tumor sample available for each patient is often very limited. We have developed proprietary techniques to overcome the challenges of working with these samples.</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Tumor tissue biopsies, fine needle aspirates (“FNAs”), core biopsies, surgical resections, and blood specimens collected from cancer patients’ samples are typically stored as fresh frozen (“FF”) or formalin-fixed, paraffin-embedded (“FFPE”) tissue. In both cases, there is typically limited tumor tissue available for molecular profiling. This can make it challenging, if not impossible, to achieve a comprehensive picture of the biology for each patient.</w:t>
      </w:r>
    </w:p>
    <w:p>
      <w:pPr>
        <w:spacing w:after="0" w:line="186"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The quality of the tumor samples can also be a significant challenge. The best type of tumor sample for DNA and RNA sequencing and analysis is widely recognized to be FF biopsies. However, FF biopsies are not routinely collected because FFPE material is the specimen of choice for histopathological diagnosis. In almost every case, DNA extracted from FFPE specimens is degraded due to specimen processing, resulting in nucleic acid fragmentation, DNA crosslinks, random loss of nucleotide bases, localized DNA denaturation, strand breaks, and modification of bases leading to mutation artifacts which impede downstream sequencing analysis. Conversely, FF samples are expensive to store and difficult to collect for large-scale studies. FFPE samples’ quality issues exacerbate the issue of limited sample availability because when tissue is degraded, more of it is needed to generate sufficient sequencing data.</w:t>
      </w:r>
    </w:p>
    <w:p>
      <w:pPr>
        <w:spacing w:after="0" w:line="19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have a simplified process using a dual simultaneous extraction of both DNA and RNA from challenging FFPE samples in a tissue-sparing manner. This allows us to use less tissue biopsy overall while preserving the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quality of the extraction. When combined with our comprehensive assay, we are able to generate much more comprehensive data from a single limited sample than other platforms.</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have also developed techniques to overcome the challenges of working with difficult and degraded samples, including FFPE, FNAs, FF, PBMCs, and plasma. We are able to achieve high success rate with our customers. For prospectively collected FFPE samples with our personalized therapy partners, we achieve a greater than 95% success rate for obtaining high-quality data from tumor samples received from personalized cancer therapy customers due to our optimized nucleic acid extraction protocols.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proprietary software and operational infrastructure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leverage Symphony, laboratory automation and protocols, and other technological improvements to power our NeXT Platform.</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Symphony Enterprise Informatics Platform</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Symphony is a flexible and scalable enterprise-grade system designed to manage the unique complexity and challenges of our large-scale genomics and analytics.</w:t>
      </w:r>
    </w:p>
    <w:p>
      <w:pPr>
        <w:spacing w:after="0" w:line="17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Symphony also integrates our LIMS and bioinformatics systems to connect laboratory operations with downstream data analysis. Symphony orchestrates all operational activities from the laboratory starting with sample receipt to the reporting of results of the tumor molecular profiling and data delivery. We developed Symphony to address the specific challenges associated with genomic data. Genomic data is unique in its size and complexity, even at the level of a single patient. The complexity is driven by data heterogeneity, such as DNA mutations, expression data, T-cell repertoire, and other sources, and the multifaceted workflows required to derive this data.</w:t>
      </w:r>
    </w:p>
    <w:p>
      <w:pPr>
        <w:spacing w:after="0" w:line="19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When scaled to the tens of thousands of samples per year, the complexity of genomic data grows and presents immense software engineering challenges. Since we did not identify any commercially available enterprise software system capable of addressing these challenges, we custom built Symphony from the ground up to address these specific challenges. In addition, Symphony manages multiple data and reporting streams with transparent versioning and traceability. This infrastructure allows us to meet the needs of all of our customers and provides a robust framework for future expansion as our customers anticipate clinical approval of their products.</w:t>
      </w:r>
    </w:p>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Figure 17. Key customer benefits of Symphony.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168910</wp:posOffset>
            </wp:positionV>
            <wp:extent cx="4796790" cy="2244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96790"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Laboratory scale and automation</w:t>
      </w:r>
    </w:p>
    <w:p>
      <w:pPr>
        <w:spacing w:after="0" w:line="117"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We have developed robust standard operating protocols and workflows that enable the accurate and efficient processing of samples from acquisition to data reporting. The combination of these standard protocols with dedicated staff and laboratory robotics has allowed us to develop an infrastructure that is designed to operate at scale. Our sequencing capacity has significantly increased each year since 2016, and we have an anticipated capacity of sequencing over 100,000 whole-genome length samples a year. Our high-performance computing infrastructure is capable of processing and storing the vast amount of data we generate with thousands of CPUs and petabytes of storage.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Enabling rapid turnaround time</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Given the therapeutic and diagnostic applications of our platform, our customers require rapid turnaround times. The above technologies, which we have developed over years of engineering and optimization, allow us to achieve rapid turnaround times consistent with our customers’ expectations, while also addressing the data complexity and achieving the level of comprehensiveness discussed above. For our personalized therapy partners, for example, we routinely deliver data and analytics in less than two weeks from sample receipt. Reductions in turnaround time have also required optimization of our laboratory processes. Our approach incorporates staffing of multiple shifts and over the weekends, so that each sample continues movement towards completion as rapidly as possible. We have purchased and installed highly parallel laboratory instruments, high-performance computing equipment, and multiple laboratory robots, developed laboratory workflow automation software, and invested in a significant multi-year research and development effort to integrate these pieces.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Delivering value to our customers</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To deliver a comprehensive immuno-genomics assessment of a tumor, NeXT combines many elements that would previously have been individual assays, each with significant cost. These include a exome-scale sequencing assay that covers approximately 20,000 genes at high depth of sequence coverage, a transcriptome, a focused panel of cancer driver genes, a T-cell repertoire assay, a B-cell repertoire assay, an HLA typing assay, a microsatellite instability assay and several separate oncoviral assays. Although it has taken us several years to develop, optimize and validate, NeXT can now deliver all of these in a single platform, from a single sample. This is a major simplification of the testing process requiring fewer samples to be collected from each tumor. We offer NeXT at a cost that is competitive with tests that only address a single aspect of the spectrum of results NeXT delivers.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Breaking down the traditional separation between research and clinical platforms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parts of our platform have been analytically validated to support use in clinical trials, personalized therapies, and diagnostics.</w:t>
      </w:r>
    </w:p>
    <w:p>
      <w:pPr>
        <w:spacing w:after="0" w:line="225"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We have actively differentiated our company and our services by building our ability to support our customers’ regulatory filings, particularly with an eye toward personalized cancer therapeutics. In personalized cancer therapeutics, DNA sequencing and the associated data analysis are an integral part of each therapy and are a required element of the regulatory submission to obtain marketing approval. In addition to achieving CLIA licensing, CAP accreditation, and New York state certification for our laboratory over several years, starting in early 2017, we also began working with the FDA on filing a Device Master File. Our Device Master File is a document focused on the technology, quality management, and validation of our platform, specifically focused on its use for the development of personalized cancer therapies. This detailed information is not shared with our customers, but with our permission they can reference our FDA file number in their IND filings. We also provide support if the FDA has questions on our Device Master File. A growing number of clinical trials from a growing number of biopharmaceutical companies have been approved by the FDA that reference our Device Master File. To our knowledge, we are the only company with such a track record.</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anticipates future cancer biomarkers that will be identified by rapidly evolving science</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Existing narrow cancer panels can become outdated when new genetic biomarkers are identified. Given the rapid pace at which new cancer biomarkers and biology are being elucidated, this will continue to be a growing problem.</w:t>
      </w:r>
    </w:p>
    <w:p>
      <w:pPr>
        <w:spacing w:after="0" w:line="17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By covering all genes, DNA and RNA, tumor and normal tissue, tumor and immune biology, our platform can readily accommodate many of the new genetic biomarkers and signatures as they are published. This capability also allows the data generated from our platform to continue to yield new therapeutic insights even as our understanding of cancer and immune biology evolves. For example, just in the past few years, with immunotherapy, new tumor resistance biomarkers, such as HLA, JAK1/JAK2, B2M, and tumor mutational burden, and new gene expression signatures correlating with response have been published. By design, our platform already included these genes when the biomarkers were discovered.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generates comprehensive, harmonized data across patients to enable large-scale database creation and insight</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As cancer therapy development becomes increasingly data driven, large databases aggregating information for many patients can be mined for new biomarkers and new potential therapeutic targets. By enabling comprehensive, harmonized data to be collected across large numbers of cancer patients, NeXT is setting the stage for new large-scale databases with unprecedented richness of tumor and immune data for each patient. Personalis is starting to build internal databases based on NeXT called NeXT DB (see Figure 18), as well as enabling our biopharmaceutical customers to build their own databases based on NeXT. With NeXT, we expect to solve many of the major challenges confronting biopharmaceutical companies trying to build these databases. In particular, our ability to solve the problem of data heterogeneity is important because it allows for more effective data mining and enables machine learning applications needed to analyze patient data within and across trials.</w:t>
      </w:r>
    </w:p>
    <w:p>
      <w:pPr>
        <w:spacing w:after="0" w:line="16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also see a longer-term opportunity to enhance the value of a comprehensive tumor genomics database. This may include integration with other sources of RWD, such as electronic health records, which can generate RWE that may be used to reduce risk in early discovery by helping to identify biomarkers of response, improve trial execution through external control arms, expand indications for therapy, reduce trial size, and improve trial design. In December 2018, the FDA published a framework for evaluating RWD and RWE for use in regulatory decisions. This includes the potential use of RWD and RWE by biopharmaceutical companies to provide additional support for drug product effectiveness, serve as an external control for clinical trials, and provide data for observational studies.</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Figure 18. Comprehensive genomic data for each sample can be structured and inputted into NeXT 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168910</wp:posOffset>
            </wp:positionV>
            <wp:extent cx="4796790" cy="19786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9679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Platform Provides Value Across Many Therapeutic and Diagnostic Applications</w:t>
      </w:r>
    </w:p>
    <w:p>
      <w:pPr>
        <w:spacing w:after="0" w:line="121"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We work closely with biopharmaceutical companies who are advancing new therapies in three major areas: immunotherapies, targeted therapies, and personalized cancer therapies. We have a critical role in generating new data and biological insights from patients in those clinical trials. We also see a long-term diagnostic opportunity for NeXT. Here, we describe some of the key products and applications of our platform.</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Cancer Immunotherapy Applications</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Over the prior decade, a number of drugs have been approved by the FDA based on the discovery that the immune system plays a key role in fighting cancer. Checkpoint inhibitors, a specific type of immunotherapy, generated worldwide sales of over $16.6 billion in 2018, up from approximately $1.4 billion in 2014. Despite the medical and commercial success of these drugs showing the transformational potential of immunotherapy, the majority of patients do not respond to immune checkpoint inhibitors. The explosion in immunotherapy clinical trials across different immunotherapy modalities has also seen major challenges. The development of new therapies in this category is challenged by difficulties understanding the precise interaction between cancer and the immune system.</w:t>
      </w:r>
    </w:p>
    <w:p>
      <w:pPr>
        <w:spacing w:after="0" w:line="191" w:lineRule="exact"/>
        <w:rPr>
          <w:sz w:val="20"/>
          <w:szCs w:val="20"/>
          <w:color w:val="auto"/>
        </w:rPr>
      </w:pPr>
    </w:p>
    <w:p>
      <w:pPr>
        <w:jc w:val="both"/>
        <w:ind w:left="220" w:right="20" w:firstLine="440"/>
        <w:spacing w:after="0" w:line="272" w:lineRule="auto"/>
        <w:rPr>
          <w:sz w:val="20"/>
          <w:szCs w:val="20"/>
          <w:color w:val="auto"/>
        </w:rPr>
      </w:pPr>
      <w:r>
        <w:rPr>
          <w:rFonts w:ascii="Arial" w:cs="Arial" w:eastAsia="Arial" w:hAnsi="Arial"/>
          <w:sz w:val="17"/>
          <w:szCs w:val="17"/>
          <w:color w:val="auto"/>
        </w:rPr>
        <w:t>Our NeXT product is the newest version of our ImmunoID Platform aimed at immunotherapy development in translational research and clinical trials. NeXT enables immunotherapy translational and clinical researchers to comprehensively analyze both a tumor and its immune microenvironment from a single limited tissue sample. These samples are typically tumor tissue samples coming from patients enrolled in clinical trials. Our NeXT Platform can be used to investigate key areas of tumor biology, from elucidating mechanisms of tumor escape and detecting neoantigens, to identifying novel biomarker signatures and characterizing the immune repertoire. Since our platform provides comprehensive insights on tumor and immune biology, including in both innate and adaptive immune cells, we believe it will enable drug companies to identify biomarkers of response, mechanisms of resistance, and better understand how immunotherapies are working in patients.</w:t>
      </w:r>
    </w:p>
    <w:p>
      <w:pPr>
        <w:spacing w:after="0" w:line="176"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Our collaboration with Inova Health System, a non-profit health organization based in Virginia, demonstrates how immunotherapy developers could use our platform to identify potential mechanisms of resistance. In this study, we applied our platform to generate profiles of the patients’ tumors and to correlate those with the observed clinical responses. A cohort of the first 19 late-stage melanoma patients in this study were treated with anti-PD-1 checkpoint inhibitor immunotherapy. Consistent with prior research, the patients in our study with higher neoantigen burden were more likely to respond to checkpoint therapy, compared to those with lower neoantigen burden.</w:t>
      </w:r>
    </w:p>
    <w:p>
      <w:pPr>
        <w:spacing w:after="0" w:line="191" w:lineRule="exact"/>
        <w:rPr>
          <w:sz w:val="20"/>
          <w:szCs w:val="20"/>
          <w:color w:val="auto"/>
        </w:rPr>
      </w:pPr>
    </w:p>
    <w:p>
      <w:pPr>
        <w:jc w:val="center"/>
        <w:ind w:left="440" w:right="20"/>
        <w:spacing w:after="0" w:line="277" w:lineRule="auto"/>
        <w:rPr>
          <w:sz w:val="20"/>
          <w:szCs w:val="20"/>
          <w:color w:val="auto"/>
        </w:rPr>
      </w:pPr>
      <w:r>
        <w:rPr>
          <w:rFonts w:ascii="Arial" w:cs="Arial" w:eastAsia="Arial" w:hAnsi="Arial"/>
          <w:sz w:val="18"/>
          <w:szCs w:val="18"/>
          <w:i w:val="1"/>
          <w:iCs w:val="1"/>
          <w:color w:val="auto"/>
        </w:rPr>
        <w:t>Figure 19. Neoantigen burden versus response to PD-1 checkpoint inhibitors in 19 late-stage melanoma patients and putative tumor escape mechanisms of outliers.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133985</wp:posOffset>
            </wp:positionV>
            <wp:extent cx="4625340" cy="2089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25340"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However, there were three outlier patients with high neoantigen burden whose response to checkpoint therapy was weaker than expected. Data from our platform helped provide putative mechanisms of tumor resistance. One patient had mutations in two MHC genes that may have caused this patient to be unable to properly present neoantigens found in the tumor to T-cells and thus prevented an effective immune response. A second non-responder patient had a mutation in the B2M gene which is a key part of the antigen presentation machinery. The third patient had expression levels of a gene called indoleamine 2,3-dioxygenase 1 (“IDO1”) that were hundreds of times higher than the other patients in the cohort. The high levels of IDO1 in this patient may have therefore prevented T-cell activation through increased levels of these immunosuppressive molecules. This study highlights how this type of data can help immunotherapy developers identify new biological mechanisms that may be responsible for variable response to therapy.</w:t>
      </w:r>
    </w:p>
    <w:p>
      <w:pPr>
        <w:spacing w:after="0" w:line="19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also believe our NeXT liquid biopsy (in development) has a strong application in biopharmaceutical clinical trials. With coverage of approximately 20,000 genes compared to smaller liquid biopsy panels focused on roughly 50 to 500 genes, we believe our liquid biopsy approach will allow our customers to see biological changes when monitoring tumor response to therapy.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Cancer Therapies Applications</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Another growing category of successful cancer treatments consists of therapies that target specific genes or molecular mechanisms of cancer. These drugs are not designed to influence the immune system directly, but the success of immunotherapies has brought acknowledgment that the immune system has a significant effect on their efficacy. These therapies have grown to represent a considerable share of the overall oncology therapeutics market today. Much like for immunotherapy, our ImmunoID NeXT Platform helps targeted therapy developers better understand each patient’s tumor and immune genomics more comprehensively, leading to insights that can help drive development of more successful therapies. We have customers developing solid tumor and hematological tumor-targeted therapies that are utilizing our platform as part of their drug development. We are positioning our company to be a leading provider of the detailed information that we believe will continue to drive targeted cancer therapy.</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Personalized Cancer Therapy Applications</w:t>
      </w:r>
    </w:p>
    <w:p>
      <w:pPr>
        <w:spacing w:after="0" w:line="117"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Many biopharmaceutical companies are pursuing personalized cancer therapies, which are designed and manufactured, individually, for each patient based on genomic alterations in a given patient’s tumor. While there are many potential approaches towards developing these therapies including neoantigen therapeutics, peptide-based vaccines, RNA and DNA vaccines, virally or bacterially encoded vaccines, and adoptive cell therapies, all of them benefit from the data and analytics that our platform can generate about a patient’s tumor. Given the more than 700,000 cancer patients projected to be diagnosed with late-stage disease in the United States in 2019, we estimate that the total addressable market for our data and analytics for personalized cancer therapy could reach as much as $20 billion in the United States and as much as $40 billion worldwide. See the section titled “Market, Industry, and Other Data” for additional information regarding the data, sources, and assumptions we used for this estimate. Many of our customers have leveraged our FDA Device Master File as a component of their IND filings with the FDA. We anticipate that if drugs are approved whose design and clinical trials involved the use of our platform, we may be able to derive revenue in connection with the sale of these drugs, including the data generation and information processing required to treat each patient.</w:t>
      </w:r>
    </w:p>
    <w:p>
      <w:pPr>
        <w:spacing w:after="0" w:line="183"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We believe we are working with the majority of companies developing neoantigen-targeted personalized cancer therapies. We work with companies developing both neoantigen-based personalized vaccines and personalized cell therapies for patients. Our platform serves as the genomics engine for many of these companies to generate comprehensive information required to identify potential neoantigens which can be used in personalized therapies. In addition, we generate other genomic information potentially useful in their therapy design process (see Figure 20).</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Figure 20. Our platform is the genomics engine for the majority of personalized therapy companies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168910</wp:posOffset>
            </wp:positionV>
            <wp:extent cx="3623310" cy="26638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23310" cy="266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platform helps address key challenges for our personalized therapy partners:</w:t>
      </w:r>
    </w:p>
    <w:p>
      <w:pPr>
        <w:spacing w:after="0" w:line="126" w:lineRule="exact"/>
        <w:rPr>
          <w:sz w:val="20"/>
          <w:szCs w:val="20"/>
          <w:color w:val="auto"/>
        </w:rPr>
      </w:pPr>
    </w:p>
    <w:p>
      <w:pPr>
        <w:jc w:val="both"/>
        <w:ind w:left="1080" w:hanging="438"/>
        <w:spacing w:after="0" w:line="260"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The ability to identify more potential neoantigens. </w:t>
      </w:r>
      <w:r>
        <w:rPr>
          <w:rFonts w:ascii="Arial" w:cs="Arial" w:eastAsia="Arial" w:hAnsi="Arial"/>
          <w:sz w:val="18"/>
          <w:szCs w:val="18"/>
          <w:color w:val="auto"/>
        </w:rPr>
        <w:t>With our platform, we use our proprietary technology to fill in sequencing gaps in</w:t>
      </w:r>
      <w:r>
        <w:rPr>
          <w:rFonts w:ascii="Arial" w:cs="Arial" w:eastAsia="Arial" w:hAnsi="Arial"/>
          <w:sz w:val="18"/>
          <w:szCs w:val="18"/>
          <w:b w:val="1"/>
          <w:bCs w:val="1"/>
          <w:color w:val="auto"/>
        </w:rPr>
        <w:t xml:space="preserve"> </w:t>
      </w:r>
      <w:r>
        <w:rPr>
          <w:rFonts w:ascii="Arial" w:cs="Arial" w:eastAsia="Arial" w:hAnsi="Arial"/>
          <w:sz w:val="18"/>
          <w:szCs w:val="18"/>
          <w:color w:val="auto"/>
        </w:rPr>
        <w:t>genes so more neoantigens are detected. Furthermore we sequence approximately 20,000 genes to high depth in both DNA and RNA to increase sensitivity for mutations that can lead to neoantigens. We are also developing our NeXT liquid biopsy approach to identify additional and monitor existing neoantigens for personalized therapies.</w:t>
      </w:r>
    </w:p>
    <w:p>
      <w:pPr>
        <w:spacing w:after="0" w:line="87" w:lineRule="exact"/>
        <w:rPr>
          <w:rFonts w:ascii="Arial" w:cs="Arial" w:eastAsia="Arial" w:hAnsi="Arial"/>
          <w:sz w:val="18"/>
          <w:szCs w:val="18"/>
          <w:color w:val="auto"/>
        </w:rPr>
      </w:pPr>
    </w:p>
    <w:p>
      <w:pPr>
        <w:jc w:val="both"/>
        <w:ind w:left="1080" w:hanging="438"/>
        <w:spacing w:after="0" w:line="28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The ability to better predict which putative neoantigens will trigger an immune response. </w:t>
      </w:r>
      <w:r>
        <w:rPr>
          <w:rFonts w:ascii="Arial" w:cs="Arial" w:eastAsia="Arial" w:hAnsi="Arial"/>
          <w:sz w:val="17"/>
          <w:szCs w:val="17"/>
          <w:color w:val="auto"/>
        </w:rPr>
        <w:t>We have developed an analytical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that helps identify putative neoantigens by synthesizing data from our platform. We also have developed proprietary mass spectrometry data and machine learning algorithms that improve accuracy of neoantigen-to-MHC binding prediction.</w:t>
      </w:r>
    </w:p>
    <w:p>
      <w:pPr>
        <w:spacing w:after="0" w:line="65" w:lineRule="exact"/>
        <w:rPr>
          <w:rFonts w:ascii="Arial" w:cs="Arial" w:eastAsia="Arial" w:hAnsi="Arial"/>
          <w:sz w:val="17"/>
          <w:szCs w:val="17"/>
          <w:color w:val="auto"/>
        </w:rPr>
      </w:pPr>
    </w:p>
    <w:p>
      <w:pPr>
        <w:jc w:val="both"/>
        <w:ind w:left="1080" w:hanging="438"/>
        <w:spacing w:after="0" w:line="28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The ability to assess the MHC Class I and II HLA types for patients. </w:t>
      </w:r>
      <w:r>
        <w:rPr>
          <w:rFonts w:ascii="Arial" w:cs="Arial" w:eastAsia="Arial" w:hAnsi="Arial"/>
          <w:sz w:val="17"/>
          <w:szCs w:val="17"/>
          <w:color w:val="auto"/>
        </w:rPr>
        <w:t>We have designed our assay specifically to augment HLA regions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high-accuracy HLA typing, a key input into the neoantigen prediction process for personalized therapies. This allows some of our customers to avoid separate HLA testing for each patient in their trial, simplifying logistics, and reducing turnaround time.</w:t>
      </w:r>
    </w:p>
    <w:p>
      <w:pPr>
        <w:spacing w:after="0" w:line="65" w:lineRule="exact"/>
        <w:rPr>
          <w:rFonts w:ascii="Arial" w:cs="Arial" w:eastAsia="Arial" w:hAnsi="Arial"/>
          <w:sz w:val="17"/>
          <w:szCs w:val="17"/>
          <w:color w:val="auto"/>
        </w:rPr>
      </w:pPr>
    </w:p>
    <w:p>
      <w:pPr>
        <w:jc w:val="both"/>
        <w:ind w:left="1080" w:hanging="438"/>
        <w:spacing w:after="0" w:line="26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Broad characterization of other tumor immunogenomic modifiers that can impact patient response. </w:t>
      </w:r>
      <w:r>
        <w:rPr>
          <w:rFonts w:ascii="Arial" w:cs="Arial" w:eastAsia="Arial" w:hAnsi="Arial"/>
          <w:sz w:val="18"/>
          <w:szCs w:val="18"/>
          <w:color w:val="auto"/>
        </w:rPr>
        <w:t>With our ImmungenomicsID</w:t>
      </w:r>
      <w:r>
        <w:rPr>
          <w:rFonts w:ascii="Arial" w:cs="Arial" w:eastAsia="Arial" w:hAnsi="Arial"/>
          <w:sz w:val="18"/>
          <w:szCs w:val="18"/>
          <w:b w:val="1"/>
          <w:bCs w:val="1"/>
          <w:color w:val="auto"/>
        </w:rPr>
        <w:t xml:space="preserve"> </w:t>
      </w:r>
      <w:r>
        <w:rPr>
          <w:rFonts w:ascii="Arial" w:cs="Arial" w:eastAsia="Arial" w:hAnsi="Arial"/>
          <w:sz w:val="18"/>
          <w:szCs w:val="18"/>
          <w:color w:val="auto"/>
        </w:rPr>
        <w:t>report, we analyze both the DNA and RNA expression data for tumor and immune biomarkers that can inform the design of a personalized therapy.</w:t>
      </w:r>
    </w:p>
    <w:p>
      <w:pPr>
        <w:spacing w:after="0" w:line="80" w:lineRule="exact"/>
        <w:rPr>
          <w:rFonts w:ascii="Arial" w:cs="Arial" w:eastAsia="Arial" w:hAnsi="Arial"/>
          <w:sz w:val="18"/>
          <w:szCs w:val="18"/>
          <w:color w:val="auto"/>
        </w:rPr>
      </w:pPr>
    </w:p>
    <w:p>
      <w:pPr>
        <w:jc w:val="both"/>
        <w:ind w:left="1080" w:hanging="438"/>
        <w:spacing w:after="0" w:line="26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High success rate on patient tumor samples. </w:t>
      </w:r>
      <w:r>
        <w:rPr>
          <w:rFonts w:ascii="Arial" w:cs="Arial" w:eastAsia="Arial" w:hAnsi="Arial"/>
          <w:sz w:val="18"/>
          <w:szCs w:val="18"/>
          <w:color w:val="auto"/>
        </w:rPr>
        <w:t>With our proprietary methods and processes, we have been able to achieve a high success</w:t>
      </w:r>
      <w:r>
        <w:rPr>
          <w:rFonts w:ascii="Arial" w:cs="Arial" w:eastAsia="Arial" w:hAnsi="Arial"/>
          <w:sz w:val="18"/>
          <w:szCs w:val="18"/>
          <w:b w:val="1"/>
          <w:bCs w:val="1"/>
          <w:color w:val="auto"/>
        </w:rPr>
        <w:t xml:space="preserve"> </w:t>
      </w:r>
      <w:r>
        <w:rPr>
          <w:rFonts w:ascii="Arial" w:cs="Arial" w:eastAsia="Arial" w:hAnsi="Arial"/>
          <w:sz w:val="18"/>
          <w:szCs w:val="18"/>
          <w:color w:val="auto"/>
        </w:rPr>
        <w:t>rate with samples from our personalized therapy customers. This is particularly critical for these clinical trials because if the tumor molecular profiling fails, these patients cannot receive the personalized therapy.</w:t>
      </w:r>
    </w:p>
    <w:p>
      <w:pPr>
        <w:spacing w:after="0" w:line="80" w:lineRule="exact"/>
        <w:rPr>
          <w:rFonts w:ascii="Arial" w:cs="Arial" w:eastAsia="Arial" w:hAnsi="Arial"/>
          <w:sz w:val="18"/>
          <w:szCs w:val="18"/>
          <w:color w:val="auto"/>
        </w:rPr>
      </w:pPr>
    </w:p>
    <w:p>
      <w:pPr>
        <w:jc w:val="both"/>
        <w:ind w:left="1080" w:hanging="438"/>
        <w:spacing w:after="0" w:line="25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Rapid turnaround time. </w:t>
      </w:r>
      <w:r>
        <w:rPr>
          <w:rFonts w:ascii="Arial" w:cs="Arial" w:eastAsia="Arial" w:hAnsi="Arial"/>
          <w:sz w:val="18"/>
          <w:szCs w:val="18"/>
          <w:color w:val="auto"/>
        </w:rPr>
        <w:t>The patients in clinical trials of these novel cancer therapeutics are often in the late-stages of disease. A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needs to be administered quickly to have the best chance of therapeutic benefit. This poses a challenge for personalized therapeutics. While a standard cancer therapy might be administered starting shortly after a patient is diagnosed, a personalized therapy will face a delay. This is the time required to obtain a sample from a patient, analyze the genetics of that individual tumor, and design, manufacture, and perform quality control on the therapy. Getting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comprehensive tumor molecular profiling data from our platform is a key component of the overall time to personalized therapeutic delivery. With technology innovation, laboratory automation, and operational optimization, we have been able to achieve rapid turnaround time for our partners of less than two weeks in most cases, and for some in as few as seven days. Our ability to achieve rapid turnaround provides a large benefit to customers in this area.</w:t>
      </w:r>
    </w:p>
    <w:p>
      <w:pPr>
        <w:spacing w:after="0" w:line="87" w:lineRule="exact"/>
        <w:rPr>
          <w:sz w:val="20"/>
          <w:szCs w:val="20"/>
          <w:color w:val="auto"/>
        </w:rPr>
      </w:pPr>
    </w:p>
    <w:p>
      <w:pPr>
        <w:jc w:val="both"/>
        <w:ind w:left="1080" w:hanging="438"/>
        <w:spacing w:after="0" w:line="260"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Proactive approach with the FDA. </w:t>
      </w:r>
      <w:r>
        <w:rPr>
          <w:rFonts w:ascii="Arial" w:cs="Arial" w:eastAsia="Arial" w:hAnsi="Arial"/>
          <w:sz w:val="18"/>
          <w:szCs w:val="18"/>
          <w:color w:val="auto"/>
        </w:rPr>
        <w:t>Because the area of personalized therapy is still being defined from a regulatory standpoint,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 proactive approach to working with the FDA. To enable our partners in this space, we have filed a Device Master File with the FDA that our customers can refer to in their IND submissions. This document details the technology underlying our platform as well as the validation that has been performed.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Diagnostic Applications</w:t>
      </w:r>
    </w:p>
    <w:p>
      <w:pPr>
        <w:spacing w:after="0" w:line="121"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Over time, we also expect to work with our biopharmaceutical customers and research collaborators to build evidence of clinical utility for our platform as a diagnostic for advanced cancer therapies. We see a growing long-term diagnostic opportunity for NeXT as a one-stop, universal tumor molecular profiling test for cancer patients covering all of the approximately 20,000 human genes compared to the roughly 50 to 500 genes covered by many currently marketed panels. We are planning to release a diagnostic based on our NeXT Platform that we envision being used with biopharmaceutical and clinical partners. This product analyzes FFPE tumor samples with our NeXT Platform and returns a CLIA diagnostic report for physicians that details the therapeutic options for patient-based on the tumor mutations identified from our analysis of the sample. We also see this product as one that will help us build our internal NeXT database over time. We estimate that the total addressable market in the United States and the European Union for oncology clinical diagnostic testing was $14.4 billion in 2018. See the section titled “Market, Industry, and Other Data” for additional information regarding the data, sources, and assumptions we used for this estimate.</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We commercialize our products in the United States and Europe through our targeted sales organization. In 2018, we derived substantially all of our revenues from our customers in the United States. Our sales representatives have extensive experience in enterprise/consultative selling in the genomics space. We augment this team with Ph.D.-level Field Application Specialists that provide deep understanding and expertise in the areas of oncology and genomics applications, ensuring top-quality pre- and post-sales customer support. Our commercial efforts are focused on demonstrating the value proposition of the NeXT Platform to biopharmaceutical customers with the goal of both increasing utilization of the product at existing accounts and to drive adoption in new targeted accounts. Our entire commercial organization promotes our ability to support biopharmaceutical customers across several application areas including biomarker discovery, new target discovery, therapy development, and treatment monitoring.</w:t>
      </w:r>
    </w:p>
    <w:p>
      <w:pPr>
        <w:spacing w:after="0" w:line="16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anticipate that patients in clinical trials for cancer therapies will increasingly be tested pre-treatment and periodically afterwards to understand response to treatment in deep molecular detail, as their tumors evolve under therapeutic pressure. Although the majority of our revenues come from single time point testing, we believe our revenues from multiple time point testing will continue to grow. We also derive revenues from analysis of multiple customer samples from the same patient and time point to assess genetic differences between the primary tumor and metastases. Given the value of comprehensive genomic information from multiple time points or samples, we anticipate that our revenue, and the available market, will continue to grow.</w:t>
      </w:r>
    </w:p>
    <w:p>
      <w:pPr>
        <w:spacing w:after="0" w:line="19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As the clinical utility of advanced biomarkers is further established, we expect there to be a patient-centered diagnostic opportunity whereby some patients would be guided to personalized therapies. We believe that our platform’s ability to support biomarkers for a broad range of therapeutics positions us to be a leader in therapy selection for patients. We are currently developing this diagnostic and we anticipate launch, initially for use in biopharmaceutical clinical trials, in 2019.</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 MVP Agreement</w:t>
      </w:r>
    </w:p>
    <w:p>
      <w:pPr>
        <w:spacing w:after="0" w:line="117"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On September 28, 2017, we entered into a contract with the VA for the VA MVP to provide them with a combination of whole genome sequencing services (the “VA MVP Agreement”). The performance period for the services includes a base period of one year (September 2017 to August 2018), with three one-year renewal option periods that may be exercised upon discretion of the VA MVP (September 2018 to August 2019; September 2019 to August 2020; and September 2020 to August 2021). Each task order issued against the VA MVP Agreement has a separate period of performance and is subject to the terms and conditions of the VA MVP Agreement. Funds are obligated by the VA MVP under each task order based on actual needs.</w:t>
      </w:r>
    </w:p>
    <w:p>
      <w:pPr>
        <w:spacing w:after="0" w:line="16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All materials and samples utilized during the course of the VA MVP Agreement and all data first produced or delivered under the VA MVP Agreement are the sole property of the VA MVP. Under the VA MVP Agreement, we are subject to confidentiality and security obligations, as well as various obligations upon events of default.</w:t>
      </w:r>
    </w:p>
    <w:p>
      <w:pPr>
        <w:spacing w:after="0" w:line="18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VA MVP may terminate the VA MVP Agreement, or any part thereof, at its sole convenience. Subject to the terms of the VA MVP Agreement, we shall be paid a percentage of the contract price reflecting the percentage of the work performed prior to the notice of termination, plus reasonable charges that we can demonstrate have resulted from the termination.</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VA MVP may terminate the VA MVP Agreement, or any part thereof, for cause in the event of any default by us, or if we fail to comply with any contract terms and conditions, or fail to provide the VA MVP, upon request, with adequate assurances of future performance. In the event of termination for cause, the VA MVP shall not be liable to us for any amount for supplies or services not accepted, and we shall be liable to the VA MVP for any and all rights and remedies provided by law. If it is determined that the VA MVP improperly terminated this contract for default, such termination shall be deemed a termination for convenience.</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Agreements with Illumina</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On March 21, 2017 we received a quotation for supply of genetic analysis products (the “Quote”) from Illumina. The Quote provided information as to the cost of five Illumina</w:t>
      </w:r>
      <w:r>
        <w:rPr>
          <w:rFonts w:ascii="Arial" w:cs="Arial" w:eastAsia="Arial" w:hAnsi="Arial"/>
          <w:sz w:val="13"/>
          <w:szCs w:val="13"/>
          <w:color w:val="auto"/>
        </w:rPr>
        <w:t>®</w:t>
      </w:r>
      <w:r>
        <w:rPr>
          <w:rFonts w:ascii="Arial" w:cs="Arial" w:eastAsia="Arial" w:hAnsi="Arial"/>
          <w:sz w:val="16"/>
          <w:szCs w:val="16"/>
          <w:color w:val="auto"/>
        </w:rPr>
        <w:t xml:space="preserve"> Product Care NovaSeq</w:t>
      </w:r>
      <w:r>
        <w:rPr>
          <w:rFonts w:ascii="Arial" w:cs="Arial" w:eastAsia="Arial" w:hAnsi="Arial"/>
          <w:sz w:val="13"/>
          <w:szCs w:val="13"/>
          <w:color w:val="auto"/>
        </w:rPr>
        <w:t>®</w:t>
      </w:r>
      <w:r>
        <w:rPr>
          <w:rFonts w:ascii="Arial" w:cs="Arial" w:eastAsia="Arial" w:hAnsi="Arial"/>
          <w:sz w:val="16"/>
          <w:szCs w:val="16"/>
          <w:color w:val="auto"/>
        </w:rPr>
        <w:t>6000 Comprehensive Plans and five NovaSeq™6000 Sequencing System instruments. The term of the Quote extended through March 31, 2017. On March 31, 2017, we submitted a purchase order to Illumina for five NovaSeq™6000 Sequencing System instruments, all of which we have received. On March 1, 2019, we received another quotation for supply of genetic analysis products (the “Second Quote”) from Illumina. The Second Quote provided information as to the cost of five NovaSeq</w:t>
      </w:r>
      <w:r>
        <w:rPr>
          <w:rFonts w:ascii="Arial" w:cs="Arial" w:eastAsia="Arial" w:hAnsi="Arial"/>
          <w:sz w:val="13"/>
          <w:szCs w:val="13"/>
          <w:color w:val="auto"/>
        </w:rPr>
        <w:t>TM</w:t>
      </w:r>
      <w:r>
        <w:rPr>
          <w:rFonts w:ascii="Arial" w:cs="Arial" w:eastAsia="Arial" w:hAnsi="Arial"/>
          <w:sz w:val="16"/>
          <w:szCs w:val="16"/>
          <w:color w:val="auto"/>
        </w:rPr>
        <w:t>6000 Sequencing System instruments. The term of the Second Quote extended through March 31, 2019. On March 20, 2019, we submitted a purchase order to Illumina for five NovaSeq</w:t>
      </w:r>
      <w:r>
        <w:rPr>
          <w:rFonts w:ascii="Arial" w:cs="Arial" w:eastAsia="Arial" w:hAnsi="Arial"/>
          <w:sz w:val="13"/>
          <w:szCs w:val="13"/>
          <w:color w:val="auto"/>
        </w:rPr>
        <w:t>TM</w:t>
      </w:r>
      <w:r>
        <w:rPr>
          <w:rFonts w:ascii="Arial" w:cs="Arial" w:eastAsia="Arial" w:hAnsi="Arial"/>
          <w:sz w:val="16"/>
          <w:szCs w:val="16"/>
          <w:color w:val="auto"/>
        </w:rPr>
        <w:t>6000 Sequencing System instruments, one of which we have received and four of which will be received on or before the due date of March 23, 2023.</w:t>
      </w:r>
    </w:p>
    <w:p>
      <w:pPr>
        <w:spacing w:after="0" w:line="165"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On November 1, 2017, we entered into a master services subcontract agreement (the “Subcontract Agreement”) with Illumina. Under the terms of the Subcontract Agreement, we engaged Illumina as our subcontractor to perform certain genotyping services (the “Services”) on our behalf pursuant to written purchase orders in fulfillment of our VA MVP Agreement. The price for Illumina’s Services set forth in the Subcontract Agreement is effective through December 31, 2021, or later if the VA MVP Agreement is extended.</w:t>
      </w:r>
    </w:p>
    <w:p>
      <w:pPr>
        <w:spacing w:after="0" w:line="186"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The Subcontract Agreement extends through the last day of the VA MVP Agreement, currently August 2021 but as may be extended, unless it is otherwise terminated early pursuant to its terms. All or part of the Subcontract Agreement may be terminated at our convenience in the event that the VA MVP terminates the VA MVP Agreement or terminates the part of the VA MVP Agreement that affects the Services provided by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Illumina. Each party may terminate the Subcontract Agreement for default in the event that the other party materially fails to perform any of the provisions of the Subcontract Agreement, materially fails to make progress so as to endanger performance of the Subcontract Agreement in accordance with its terms, or becomes financially or legally incapable of completing the work and does not provide a plan of correction or recovery within the provided period of time to cure such failure. The Subcontract Agreement may be renewed for subsequent one-year terms as agreed by the parties subject to a four-year limit.</w:t>
      </w:r>
    </w:p>
    <w:p>
      <w:pPr>
        <w:spacing w:after="0" w:line="19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On November 22, 2017, we entered into a pricing agreement with Illumina. The pricing agreement provided pricing terms for the NovaSeq™ 5000/6000 S4 Reagent Kit (each, a “Kit”). On March 26, 2019, we entered into a new pricing agreement with Illumina, which replaced in its entirety the agreement dated November 22, 2017. The new pricing agreement has a purchase commitment of $1.7 million by June 30, 2019 to purchase these Kits. The term of the pricing agreement extends through December 31, 2022.</w:t>
      </w:r>
    </w:p>
    <w:p>
      <w:pPr>
        <w:spacing w:after="0" w:line="186"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On December 13, 2017, we received a Fast Track genetic analysis services agreement (the “Services Agreement”) from Illumina that provides pricing information for the Infinium Global Screening Array V2.0 Fast Track Service. The term of the Services Agreement extends through June 30, 2019.</w:t>
      </w:r>
    </w:p>
    <w:p>
      <w:pPr>
        <w:spacing w:after="0" w:line="183"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On February 22, 2019 we received a quotation for supply of genetic analysis products (the “Master Quote”) from Illumina that provides for additional pricing terms on Illumina products. The term of the Master Quote extends through February 14, 2020.</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provide a comprehensive, exome-scale analysis of both a tumor and its microenvironment, including the immune cells, from a single tissue sample.</w:t>
      </w:r>
    </w:p>
    <w:p>
      <w:pPr>
        <w:spacing w:after="0" w:line="170"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Our primary competition comes from companies offering genomic profiling services for either the tumor or the immune microenvironment. These companies offer services that implement various technological approaches including next-generation sequencing and microarray analyses. These competitors include Guardant Health, Inc., Foundation Medicine, Inc., which was acquired by Roche Holdings, Inc. in July 2018, Roche Molecular Systems, Inc., NanoString Technologies, Inc., Personal Genome Diagnostics, Inc., and Adaptive Biotechnologies Corporation.</w:t>
      </w:r>
    </w:p>
    <w:p>
      <w:pPr>
        <w:spacing w:after="0" w:line="170"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Competitors within the broader genomics profiling space include laboratory companies such as Laboratory Corporation of America Holdings, Quest Diagnostics, Inc., Caris Life Sciences, Inc., Myriad Genetics, Inc., Tempus, Inc., InVitae Corp., BGI Group, Macrogen, Inc., Natera, Inc., Illumina, Thermo Fisher Scientific Inc., and MedGenome Inc. Additionally, several companies develop next-generation sequencing platforms that can be used for genomic profiling for biopharmaceutical research and development applications. These include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9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believe that we compete favorably because of the integrity and comprehensiveness of the data generated by our NeXT Platform.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7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Our patent strategy is focused on seeking coverage for our core technology, our ACE assay, and specific follow-on applications and implementations for enhancing sequencing coverage of certain genomic regions and analyzing cell-free nucleic acids. In addition, we file for patent protection on our ongoing research and development, particularly other novel assay technologies which may be applicable in cancer cases and other diseases.</w:t>
      </w:r>
    </w:p>
    <w:p>
      <w:pPr>
        <w:spacing w:after="0" w:line="186"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Notwithstanding these efforts, we cannot be sure that patents will be granted with respect to any patent applications we have filed or may license or file in the future, and we cannot be sure that any patents we have or may be licensed or granted to us in the future, will not be challenged, invalidated, or circumvented, or that such patents will be commercially useful in protecting our technology. Moreover, we rely, in part, on trade secrets to protect aspects of our business that are not amenable to, or that we do not consider appropriate for, patent protection. However, trade secrets can be difficult to protect. While we take steps to protect and preserve our trade secrets, including by entering into confidentiality agreements with our employees, consultants, scientific advisors, and contractors, and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Factors—Risks Related to Our Intellectual Property.”</w:t>
      </w:r>
    </w:p>
    <w:p>
      <w:pPr>
        <w:spacing w:after="0" w:line="179"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patent portfolio is comprised of patents and patent applications owned by the company. These patents and patent applications generally fall into four broad categories:</w:t>
      </w:r>
    </w:p>
    <w:p>
      <w:pPr>
        <w:spacing w:after="0" w:line="75" w:lineRule="exact"/>
        <w:rPr>
          <w:sz w:val="20"/>
          <w:szCs w:val="20"/>
          <w:color w:val="auto"/>
        </w:rPr>
      </w:pPr>
    </w:p>
    <w:p>
      <w:pPr>
        <w:jc w:val="both"/>
        <w:ind w:left="1080" w:hanging="438"/>
        <w:spacing w:after="0" w:line="34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ACE assay technology, including claims directed to methods for enriching sample nucleic acids based on differences in GC-content, molecular size, presence of genetic variations or rearrangements, epigenetic modifications, and species-origin (e.g., human and non-human);</w:t>
      </w:r>
    </w:p>
    <w:p>
      <w:pPr>
        <w:spacing w:after="0" w:line="30"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hybrid exome-genome technologies, including claims directed to methods for combining exome and genome sequencing data generated from a sample to identify polymorphisms;</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liquid biopsy methods, including claims directed to methods of analyzing sequenced cell-free and leukocyte-derived nucleic acids in a blood sample to identify a tissue source, or recommend a drug treatment; and</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clinical interpretation methods, including claims directed to methods of ranking genes associated with a phenotype and inheritance pattern.</w:t>
      </w:r>
    </w:p>
    <w:p>
      <w:pPr>
        <w:spacing w:after="0" w:line="248"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As of May 9, 2019, we own ten issued U.S. and foreign patents in China and the United Kingdom and several pending U.S. and foreign patent applications. Issued U.S. patents in our portfolio of company-owned patents and patent applications are expected to expire between 2033 and 2035, excluding any additional term for patent term adjustments or patent term extensions.</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Laboratory Licensing Requirements</w:t>
      </w:r>
    </w:p>
    <w:p>
      <w:pPr>
        <w:spacing w:after="0" w:line="117"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Under the Clinical Laboratory Improvement Amendments of 1988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75"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To renew our CLIA certificate, we are subject to survey and inspection every two years to assess compliance with program standards. Because we are a College of American Pathologists (“CAP”) accredited laboratory, the Centers for Medicare &amp; Medicaid Services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77"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We maintain a current license with the New York State Department of Health for our laboratory. Other states may currently have or adopt similar licensure requirements in the future, which may require us to modify, delay, or stop its operations in those states.</w:t>
      </w:r>
    </w:p>
    <w:p>
      <w:pPr>
        <w:spacing w:after="0" w:line="164"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framework for medical devices in the United States</w:t>
      </w:r>
    </w:p>
    <w:p>
      <w:pPr>
        <w:spacing w:after="0" w:line="117"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Pursuant to its authority under the Federal Food, Drug and Cosmetic Act (the “FDC Act”), the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PMA. Both the 510(k) clearance and PMA processes can be resource intensive, expensive, and lengthy, and require payment of significant user fees.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FDA Regulation of Laboratory Developed Tests</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intend to market a diagnostic test based on the NeXT Platform as an LDT. As a result, we believe our diagnostic services are not currently subject to the FDA’s enforcement of its medical device regulations and the applicable FDC Act provisions.</w:t>
      </w:r>
    </w:p>
    <w:p>
      <w:pPr>
        <w:spacing w:after="0" w:line="191"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Legislative and administrative proposals addressing oversight of LDTs were introduced in recent years and we expect that new legislative and administrative proposals will be introduced from time to time. It is possible that legislation could be enacted into law or regulations or guidance could be issued by the FDA, which may result in new or increased regulatory requirements for us to continue to offer our LDTs or to develop and introduce new tests as LDTs. For example, in 2014 the FDA issued two draft guidance documents proposing a risk-based framework with respect to applying the FDA’s oversight over LDTs. The framework guidance stated that the FDA intended to modify its policy of enforcement discretion with respect to LDTs in a risk-based manner consistent with the existing classification of medical devices. Thus, the FDA planned to begin to enforce its medical device requirements, including premarket submission requirements, on LDTs that have historically been marketed without FDA premarket review and oversight. In November 2016, the FDA announced its intention not to finalize the 2014 draft guidance to allow for further public discussion on an appropriate oversight approach to LDTs and to give congressional authorizing committees the opportunity to develop a legislative solution. In January 2017, the FDA issued a discussion paper on possible approaches to the regulation of LDTs.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83"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86"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The Stark Law and similar state laws, including California’s Physician Ownership and Referral Act,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86"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Other federal fraud and abuse laws to which we are subject include, but are not limited to, 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payers, including private insurers.</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(“HIPAA”), as amended by the Health Information Technology for Economic and Clinical Health Act “HITECH”), the U.S. Department of Health and Human Services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HIPAA and HITECH include privacy and security rules, breach notification requirements, and electronic transaction standards.</w:t>
      </w:r>
    </w:p>
    <w:p>
      <w:pPr>
        <w:spacing w:after="0" w:line="225" w:lineRule="exact"/>
        <w:rPr>
          <w:sz w:val="20"/>
          <w:szCs w:val="20"/>
          <w:color w:val="auto"/>
        </w:rPr>
      </w:pPr>
    </w:p>
    <w:p>
      <w:pPr>
        <w:jc w:val="both"/>
        <w:ind w:left="220" w:right="20" w:firstLine="440"/>
        <w:spacing w:after="0" w:line="286" w:lineRule="auto"/>
        <w:rPr>
          <w:sz w:val="20"/>
          <w:szCs w:val="20"/>
          <w:color w:val="auto"/>
        </w:rPr>
      </w:pPr>
      <w:r>
        <w:rPr>
          <w:rFonts w:ascii="Arial" w:cs="Arial" w:eastAsia="Arial" w:hAnsi="Arial"/>
          <w:sz w:val="17"/>
          <w:szCs w:val="17"/>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65"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6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91"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payers and government payers,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91"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w:t>
      </w:r>
    </w:p>
    <w:p>
      <w:pPr>
        <w:spacing w:after="0" w:line="183"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anticipate there will continue to be proposals by legislators at both the federal and state levels, regulators and commercial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As of March 31, 2019, we had 147 full-time employees, with 64 in research and development, 47 in laboratory operations, 19 in commercial operations and 17 in general and administrative functions. Of these full-time employees, 144 are located in the United States (including 135 who work at our corporate headquarters in Menlo Park, California and 9 who work remotely) and three are located in the United Kingdom and Germany. As of March 31, 2019, more than 60 of our full-time employees had completed a Ph.D. or other advanced science or medical degree.</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None of our employees is represented by a labor union or covered by collective bargaining agreements, and we have not experienced any work stoppages. We consider our relations with our employees to be good.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corporate headquarters are located in Menlo Park, California, and comprise approximately 31,280 square feet of space, pursuant to an operating lease that expires in 2020. This lease includes an option to extend for an additional three years, at market rates that prevail at the time of our election to extend. Our CLIA-certified laboratory is located in this facility.</w:t>
      </w:r>
    </w:p>
    <w:p>
      <w:pPr>
        <w:spacing w:after="0" w:line="18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believe that this facility is sufficient to meet our current needs. We also believe we will be able to obtain additional space, as needed, on commercially reasonable terms.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our executive officers and directors as of March 31, 2019:</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color w:val="auto"/>
              </w:rPr>
              <w:t>John West</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Chen, M.D., 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color w:val="auto"/>
              </w:rPr>
              <w:t>Clinton Musil</w:t>
            </w:r>
          </w:p>
        </w:tc>
        <w:tc>
          <w:tcPr>
            <w:tcW w:w="240" w:type="dxa"/>
            <w:vAlign w:val="bottom"/>
          </w:tcPr>
          <w:p>
            <w:pPr>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Tachibana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Balthrop</w:t>
            </w:r>
            <w:r>
              <w:rPr>
                <w:rFonts w:ascii="Arial" w:cs="Arial" w:eastAsia="Arial" w:hAnsi="Arial"/>
                <w:sz w:val="15"/>
                <w:szCs w:val="15"/>
                <w:color w:val="auto"/>
              </w:rPr>
              <w:t>(2)(3)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color w:val="auto"/>
              </w:rPr>
              <w:t>A. Blaine Bowman</w:t>
            </w:r>
            <w:r>
              <w:rPr>
                <w:rFonts w:ascii="Arial" w:cs="Arial" w:eastAsia="Arial" w:hAnsi="Arial"/>
                <w:sz w:val="15"/>
                <w:szCs w:val="15"/>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Colowick, M.D.</w:t>
            </w:r>
            <w:r>
              <w:rPr>
                <w:rFonts w:ascii="Arial" w:cs="Arial" w:eastAsia="Arial" w:hAnsi="Arial"/>
                <w:sz w:val="15"/>
                <w:szCs w:val="15"/>
                <w:color w:val="auto"/>
              </w:rPr>
              <w:t>(3)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color w:val="auto"/>
              </w:rPr>
              <w:t>Kenneth Ludlum</w:t>
            </w:r>
            <w:r>
              <w:rPr>
                <w:rFonts w:ascii="Arial" w:cs="Arial" w:eastAsia="Arial" w:hAnsi="Arial"/>
                <w:sz w:val="15"/>
                <w:szCs w:val="15"/>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MacQuitty, Ph.D.</w:t>
            </w:r>
            <w:r>
              <w:rPr>
                <w:rFonts w:ascii="Arial" w:cs="Arial" w:eastAsia="Arial" w:hAnsi="Arial"/>
                <w:sz w:val="15"/>
                <w:szCs w:val="15"/>
                <w:color w:val="auto"/>
              </w:rPr>
              <w:t>(2)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rPr>
                <w:sz w:val="20"/>
                <w:szCs w:val="20"/>
                <w:color w:val="auto"/>
              </w:rPr>
            </w:pPr>
            <w:r>
              <w:rPr>
                <w:rFonts w:ascii="Arial" w:cs="Arial" w:eastAsia="Arial" w:hAnsi="Arial"/>
                <w:sz w:val="18"/>
                <w:szCs w:val="18"/>
                <w:color w:val="auto"/>
              </w:rPr>
              <w:t>Paul Ricci</w:t>
            </w:r>
            <w:r>
              <w:rPr>
                <w:rFonts w:ascii="Arial" w:cs="Arial" w:eastAsia="Arial" w:hAnsi="Arial"/>
                <w:sz w:val="15"/>
                <w:szCs w:val="15"/>
                <w:color w:val="auto"/>
              </w:rPr>
              <w:t>(1)(2)</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3" w:lineRule="exact"/>
        <w:rPr>
          <w:sz w:val="20"/>
          <w:szCs w:val="20"/>
          <w:color w:val="auto"/>
        </w:rPr>
      </w:pPr>
    </w:p>
    <w:p>
      <w:pPr>
        <w:ind w:left="540" w:hanging="330"/>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540" w:hanging="330"/>
        <w:spacing w:after="0" w:line="221"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540" w:hanging="330"/>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John West. </w:t>
      </w:r>
      <w:r>
        <w:rPr>
          <w:rFonts w:ascii="Arial" w:cs="Arial" w:eastAsia="Arial" w:hAnsi="Arial"/>
          <w:sz w:val="16"/>
          <w:szCs w:val="16"/>
          <w:color w:val="auto"/>
        </w:rPr>
        <w:t>Mr. West is one of our founders and has served as Chief Executive Officer and as a member of our board of directors since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From May 2009 to July 2011, Mr. West served as Chief Executive Officer of ViaCyte, Inc., a regenerative medicine company. From August 2004 to January 2008, Mr. West served in various roles, including Chief Executive Officer from August 2004 to March 2005 at Solexa, Ltd., a DNA sequencing company, which became Solexa, Inc., Chief Executive Officer from March 2005 to January 2007 at Solexa, Inc., and Senior Vice President of DNA Sequencing from January 2007 to January 2008 at Illumina, Inc., a biotechnology company, after the sale of Solexa, Inc. to Illumina, Inc. Mr. West’s earlier career included positions related to DNA sequencing automation. Mr. West holds a B.S. in Nuclear Engineering and an M.S. in Mechanical Engineering from Massachusetts Institute of Technology and an M.B.A. from the Wharton School at the University of Pennsylvania. Mr. West was selected to serve on our board of directors because of the perspective and experience he brings as our Chief Executive Officer and his operating and management experience in the healthcare technology industry, particularly related to DNA sequencing and its applications.</w:t>
      </w:r>
    </w:p>
    <w:p>
      <w:pPr>
        <w:spacing w:after="0" w:line="160" w:lineRule="exact"/>
        <w:rPr>
          <w:sz w:val="20"/>
          <w:szCs w:val="20"/>
          <w:color w:val="auto"/>
        </w:rPr>
      </w:pPr>
    </w:p>
    <w:p>
      <w:pPr>
        <w:jc w:val="both"/>
        <w:ind w:left="220" w:firstLine="440"/>
        <w:spacing w:after="0" w:line="260" w:lineRule="auto"/>
        <w:rPr>
          <w:sz w:val="20"/>
          <w:szCs w:val="20"/>
          <w:color w:val="auto"/>
        </w:rPr>
      </w:pPr>
      <w:r>
        <w:rPr>
          <w:rFonts w:ascii="Arial" w:cs="Arial" w:eastAsia="Arial" w:hAnsi="Arial"/>
          <w:sz w:val="18"/>
          <w:szCs w:val="18"/>
          <w:b w:val="1"/>
          <w:bCs w:val="1"/>
          <w:i w:val="1"/>
          <w:iCs w:val="1"/>
          <w:color w:val="auto"/>
        </w:rPr>
        <w:t>Richard Chen, M.D., 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Chen has served as our Chief Scientific Officer since November 2011. Since September 2011, Dr. Chen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w:t>
      </w:r>
    </w:p>
    <w:p>
      <w:pPr>
        <w:spacing w:after="0" w:line="182" w:lineRule="exact"/>
        <w:rPr>
          <w:sz w:val="20"/>
          <w:szCs w:val="20"/>
          <w:color w:val="auto"/>
        </w:rPr>
      </w:pPr>
    </w:p>
    <w:p>
      <w:pPr>
        <w:jc w:val="both"/>
        <w:ind w:left="220" w:firstLine="440"/>
        <w:spacing w:after="0" w:line="258" w:lineRule="auto"/>
        <w:rPr>
          <w:sz w:val="20"/>
          <w:szCs w:val="20"/>
          <w:color w:val="auto"/>
        </w:rPr>
      </w:pPr>
      <w:r>
        <w:rPr>
          <w:rFonts w:ascii="Arial" w:cs="Arial" w:eastAsia="Arial" w:hAnsi="Arial"/>
          <w:sz w:val="18"/>
          <w:szCs w:val="18"/>
          <w:b w:val="1"/>
          <w:bCs w:val="1"/>
          <w:i w:val="1"/>
          <w:iCs w:val="1"/>
          <w:color w:val="auto"/>
        </w:rPr>
        <w:t>Clinton Musil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Musil has served as our Chief Business Officer since December 2018. From September 2017 to July 2018, Mr. Musil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Corporate Development at ARMO Biosciences, an immuno-oncology company that was acquired by Eli Lilly and Company. From July 2017 to September 2017, Mr. Musil served as a Managing Director at Hercules Capital, an investment firm. From September 2014 to March 2017, Mr. Musil served as a Vice President in the Healthcare Investment Banking Group at Deutsche Bank AG, an investment bank. From July 2013 to July 2014, Mr. Musil served as a Vice President in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63" w:lineRule="auto"/>
        <w:rPr>
          <w:sz w:val="20"/>
          <w:szCs w:val="20"/>
          <w:color w:val="auto"/>
        </w:rPr>
      </w:pPr>
      <w:r>
        <w:rPr>
          <w:rFonts w:ascii="Arial" w:cs="Arial" w:eastAsia="Arial" w:hAnsi="Arial"/>
          <w:sz w:val="18"/>
          <w:szCs w:val="18"/>
          <w:color w:val="auto"/>
        </w:rPr>
        <w:t>Healthcare Investment Banking Group at Wells Fargo &amp; Company, an investment bank. Earlier in his career, Mr. Musil was an investor at Essex Woodlands, a healthcare-focused investment fund. Mr. Musil holds a B.S. in Molecular and Cellular Biology from the University of Arizona and an M.B.A. from Harvard Business School.</w:t>
      </w:r>
    </w:p>
    <w:p>
      <w:pPr>
        <w:spacing w:after="0" w:line="183"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Aaron Tachibana. </w:t>
      </w:r>
      <w:r>
        <w:rPr>
          <w:rFonts w:ascii="Arial" w:cs="Arial" w:eastAsia="Arial" w:hAnsi="Arial"/>
          <w:sz w:val="17"/>
          <w:szCs w:val="17"/>
          <w:color w:val="auto"/>
        </w:rPr>
        <w:t>Mr. Tachibana has served as our Chief Financial Officer since March 2019. From August 2015 to September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jc w:val="both"/>
        <w:ind w:left="220" w:firstLine="440"/>
        <w:spacing w:after="0" w:line="274" w:lineRule="auto"/>
        <w:rPr>
          <w:sz w:val="20"/>
          <w:szCs w:val="20"/>
          <w:color w:val="auto"/>
        </w:rPr>
      </w:pPr>
      <w:r>
        <w:rPr>
          <w:rFonts w:ascii="Arial" w:cs="Arial" w:eastAsia="Arial" w:hAnsi="Arial"/>
          <w:sz w:val="17"/>
          <w:szCs w:val="17"/>
          <w:b w:val="1"/>
          <w:bCs w:val="1"/>
          <w:i w:val="1"/>
          <w:iCs w:val="1"/>
          <w:color w:val="auto"/>
        </w:rPr>
        <w:t>Patrick Balthrop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Balthrop has served on our board of directors since July 2015. Since February 2016, Mr. Balthrop has served on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of Oxford Immunotec Global PLC, a diagnostics company. Since January 2015, Mr. Balthrop has been the Founding Principal of Apalachee Ventures, LLC, an investment and advisory firm. From September 2004 to October 2014, Mr. Balthrop served on the board of directors and as Chief Executive Officer, President, and Director of Luminex Corporation, a diagnostics, tools, and devices company. Mr. Balthrop holds a B.S. in Biology from Spring Hill College and an M.B.A. from the Kellogg School of Management at Northwestern University. Mr. Balthrop was selected to serve on our board of directors because of his management experience in the healthcare and medical device industry.</w:t>
      </w:r>
    </w:p>
    <w:p>
      <w:pPr>
        <w:spacing w:after="0" w:line="176"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A. Blaine Bowman. </w:t>
      </w:r>
      <w:r>
        <w:rPr>
          <w:rFonts w:ascii="Arial" w:cs="Arial" w:eastAsia="Arial" w:hAnsi="Arial"/>
          <w:sz w:val="16"/>
          <w:szCs w:val="16"/>
          <w:color w:val="auto"/>
        </w:rPr>
        <w:t>Mr. Bowman has served on our board of directors since May 2019. Beginning in 2006, Mr. Bowman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Solexa, Inc., a DNA sequencing company, until its sale to Illumina, Inc., a biotechnology company, after which Mr. Bowman continued to serve on the board of directors until May 2018. From March 1977 to August 2005, Mr. Bowman served in various roles at Dionex Corporation, a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programmable logic devices company. Mr. Bowman holds a B.S. in Physics from Brigham Young University and an M.B.A. from the Stanford Graduate School of Business. Mr. Bowman was selected to serve on our board of directors because of his experience in executive roles and his experience serving on the boards of directors of various instrumentation and biotechnology companies.</w:t>
      </w:r>
    </w:p>
    <w:p>
      <w:pPr>
        <w:spacing w:after="0" w:line="164"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Alan Colowick, M.D. </w:t>
      </w:r>
      <w:r>
        <w:rPr>
          <w:rFonts w:ascii="Arial" w:cs="Arial" w:eastAsia="Arial" w:hAnsi="Arial"/>
          <w:sz w:val="17"/>
          <w:szCs w:val="17"/>
          <w:color w:val="auto"/>
        </w:rPr>
        <w:t>Dr. Colowick has served on our board of directors since May 2019. Since May 2017, Dr. Colowick has served as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Sofinnova Investment, Inc., a clinical stage life sciences venture capital firm. From February 2010 to April 2017, Dr. Colowick held various positions, including Executive Vice President, at Celgene Corporation, a pharmaceutical company. From February 2008 to January 2010, Dr. Colowick served as the Chief Executive Officer of Gloucester Pharmaceuticals Inc., an early stage cancer pharmaceutical company, until its acquisition by Celgene Corporation in January 2010. From October 2006 to February 2008, Dr. Colowick served as President, Oncology at Geron Corporation, an early stage pharmaceutical company. Earlier in his career, Dr. Colowick served in various capacities at Amgen Inc., a biopharmaceutical company. Dr. Colowick has served on the board of directors of Human Longevity, Inc., a genomics-based health intelligence company, since June 2016, and has served on the board of directors of Principia Biopharma Inc., a biopharmaceutical company, since February 2017. Dr. Colowick previously served on the board of directors of Achaogen, Inc., a biopharmaceutical company, from August 2015 to August 2017, and on the board of directors of Dimension Therapeutics, Inc., a biopharmaceutical company, from August 2015 to November 2017. Dr. Colowick holds a B.S. in Molecular Biology from the University of Colorado, an M.D. from Stanford University School of Medicine, and an M.P.H. from the Harvard School of Public Health. Dr. Colowick was selected to serve on our board of directors because of his educational background in sciences, as well as financial understanding of the biotechnology industry gained from his investing experience.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20" w:firstLine="440"/>
        <w:spacing w:after="0" w:line="276" w:lineRule="auto"/>
        <w:rPr>
          <w:sz w:val="20"/>
          <w:szCs w:val="20"/>
          <w:color w:val="auto"/>
        </w:rPr>
      </w:pPr>
      <w:r>
        <w:rPr>
          <w:rFonts w:ascii="Arial" w:cs="Arial" w:eastAsia="Arial" w:hAnsi="Arial"/>
          <w:sz w:val="17"/>
          <w:szCs w:val="17"/>
          <w:b w:val="1"/>
          <w:bCs w:val="1"/>
          <w:i w:val="1"/>
          <w:iCs w:val="1"/>
          <w:color w:val="auto"/>
        </w:rPr>
        <w:t>Kenneth Ludlum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Ludlum has served on our board of directors since July 2015. Since January 2002, Mr. Ludlum has served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NATUS Medical, Inc., a medical device and equipment company. From February 2014 to April 2016, Mr. Ludlum served as Chief Financial Officer at CareDx, a molecular diagnostics company. Mr. Ludlum holds a B.S. in Business Administration from Lehigh University and an M.B.A. from Columbia Business School. Mr. Ludlum was selected to serve on our board of directors because of his experience working for and with healthcare, medical device, biotechnology, and diagnostic companies and his expertise in finance, accounting, and general management.</w:t>
      </w:r>
    </w:p>
    <w:p>
      <w:pPr>
        <w:spacing w:after="0" w:line="171"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b w:val="1"/>
          <w:bCs w:val="1"/>
          <w:i w:val="1"/>
          <w:iCs w:val="1"/>
          <w:color w:val="auto"/>
        </w:rPr>
        <w:t>Jonathan MacQuitty, Ph.D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MacQuitty, our Chairman of the Board, has served on our board of directors since June 2011. Since July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MacQuitty has served on the board of directors of and as Chief Executive Officer of D2G Oncology, Inc., an oncology biotechnology company. Since April 2016, Dr. MacQuitty has served as a Venture Partner at Lightspeed Venture Partners, an early-stage technology venture capital firm. From May 2015 to April 2017, Dr. MacQuitty served as Chief Executive Officer of Forty Seven, Inc., an immuno-oncology company. From May 1999 to December 2014, Dr. MacQuitty served in various roles, including Partner, at Abingworth Management Inc., a trans-Atlantic bio-investment firm. Dr. MacQuitty holds a B.A. and M.A. in Chemistry from Oxford University, a Ph.D. in Chemistry from the University of Sussex, and an M.B.A. from the Stanford Graduate School of Business. Dr. MacQuitty was selected to serve on our board of directors because of his operational experience in life science companies.</w:t>
      </w:r>
    </w:p>
    <w:p>
      <w:pPr>
        <w:spacing w:after="0" w:line="190" w:lineRule="exact"/>
        <w:rPr>
          <w:sz w:val="20"/>
          <w:szCs w:val="20"/>
          <w:color w:val="auto"/>
        </w:rPr>
      </w:pPr>
    </w:p>
    <w:p>
      <w:pPr>
        <w:jc w:val="both"/>
        <w:ind w:left="220" w:firstLine="440"/>
        <w:spacing w:after="0" w:line="297" w:lineRule="auto"/>
        <w:rPr>
          <w:sz w:val="20"/>
          <w:szCs w:val="20"/>
          <w:color w:val="auto"/>
        </w:rPr>
      </w:pPr>
      <w:r>
        <w:rPr>
          <w:rFonts w:ascii="Arial" w:cs="Arial" w:eastAsia="Arial" w:hAnsi="Arial"/>
          <w:sz w:val="16"/>
          <w:szCs w:val="16"/>
          <w:b w:val="1"/>
          <w:bCs w:val="1"/>
          <w:i w:val="1"/>
          <w:iCs w:val="1"/>
          <w:color w:val="auto"/>
        </w:rPr>
        <w:t>Paul Ricci</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Ricci has served on our board of directors since February 2019. Since October 2018, Mr. Ricci has served as an Advisor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Lightspeed Venture Partners, an early-stage technology venture capital firm. Since September 2018, Mr. Ricci has served as an Advisor to Warburg Pincus, a private equity firm. Mr. Ricci served as Chief Executive Officer of Nuance Communications, Inc., a computer software technology company, from August 2000 to March 2018 and as its Chairman from March 1999 to February 2018. Mr. Ricci holds a B.A. and an M.A. in Economics from Stanford University. Mr. Ricci was selected to serve on our board of directors because of his management abilities and experience.</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seven directors and two vacancies. The following members of our board of directors were elected pursuant to our current certificate of incorporation, as amended, and under the provisions of our amended and restated voting agreement, which requires the stockholders who are party to the agreement to vote their respective shares of our capital stock to elect directors as follows:</w:t>
      </w:r>
    </w:p>
    <w:p>
      <w:pPr>
        <w:spacing w:after="0" w:line="91" w:lineRule="exact"/>
        <w:rPr>
          <w:sz w:val="20"/>
          <w:szCs w:val="20"/>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John West, as the individual serving as our Chief Executive Officer and elected by the holders of our common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individual designated by Abingworth Bioventures V LP and elected by the holders of our preferred stock (currently vacant);</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Jonathan MacQuitty, Ph.D., as the individual designated by Lightspeed General Partner VIII, L.P. and elected by the holders of our preferred stock;</w:t>
      </w:r>
    </w:p>
    <w:p>
      <w:pPr>
        <w:spacing w:after="0" w:line="75"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individual jointly designated by Abingworth Bioventures V LP and Lightspeed General Partner VIII, L.P. and elected by the holders of our preferred stock (currently vacant); and</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Patrick Balthrop, Alan Colowick, M.D., and Kenneth Ludlum, as independent individuals designated by our board of directors and elected by the holders of our capital stock.</w:t>
      </w:r>
    </w:p>
    <w:p>
      <w:pPr>
        <w:spacing w:after="0" w:line="170"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In addition, pursuant to our current certificate of incorporation, as amended, the holders of our capital stock elected A. Blaine Bowman and Paul Ricci as at-large directors.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provisions of our amended and restated voting agreement relating to the election of our directors will terminate and the provisions of our current certificate of incorporation by which our directors were elected will be amended and restated in connection with this offering. After the closing of this offering, the number of directors will be fixed by our board of directors, subject to the terms of our amended and restated certificate of incorporation and amended and restated bylaws that will become effective immediately prior to the closing of this offering. Each of our current directors will continue to serve as a director until the election and qualification of their successor, or until their earlier death, resignation, or removal.</w:t>
      </w:r>
    </w:p>
    <w:p>
      <w:pPr>
        <w:spacing w:after="0" w:line="16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closing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7" w:lineRule="exact"/>
        <w:rPr>
          <w:sz w:val="20"/>
          <w:szCs w:val="20"/>
          <w:color w:val="auto"/>
        </w:rPr>
      </w:pPr>
    </w:p>
    <w:p>
      <w:pPr>
        <w:ind w:left="1080" w:right="20" w:hanging="438"/>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 directors will be Messrs. Balthrop and Ludlum,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will be Messrs. West and Ricci and Dr. Colowick,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III directors will be Mr. Bowman and Dr. MacQuitty, and their terms will expire at our third annual meeting of stockholders following this offering.</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background, employment, and affiliations, our board of directors has determined that Messrs. Balthrop, Bowman, Ludlum, and Ricci and Drs. Colowick and MacQuitty do not have relationships that would interfere with the exercise of independent judgment in carrying out the responsibilities of a director and that each of these directors is “independent” as that term is defined under the applicable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Our audit committee consists of Messrs. Bowman, Ludlum, and Ricci. Our board of directors has determined that each member of the audit committee satisfies the independence requirements under the Nasdaq</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301" w:lineRule="auto"/>
        <w:rPr>
          <w:sz w:val="20"/>
          <w:szCs w:val="20"/>
          <w:color w:val="auto"/>
        </w:rPr>
      </w:pPr>
      <w:r>
        <w:rPr>
          <w:rFonts w:ascii="Arial" w:cs="Arial" w:eastAsia="Arial" w:hAnsi="Arial"/>
          <w:sz w:val="16"/>
          <w:szCs w:val="16"/>
          <w:color w:val="auto"/>
        </w:rPr>
        <w:t>listing standards and Rule 10A-3(b)(1) of the Exchange Act. The chair of our audit committee is Mr. Ludlum. Our board of directors has determined that each of Mr. Ludlum, Mr. Bowman, and Mr. Ricci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56"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8" w:lineRule="exact"/>
        <w:rPr>
          <w:sz w:val="20"/>
          <w:szCs w:val="20"/>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8"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that satisfies the applicable listing standards of Nasdaq.</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compensation committee consists of Messrs. Balthrop and Ricci and Dr. MacQuitty. The chair of our compensation committee is Dr. MacQuitty. Our board of directors has determined that each member of the compensation committee is independent under the listing standards of Nasdaq, and a “non-employee director” as defined in Rule 16b-3 promulgated under the Exchange Act.</w:t>
      </w:r>
    </w:p>
    <w:p>
      <w:pPr>
        <w:spacing w:after="0" w:line="183"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8" w:lineRule="exact"/>
        <w:rPr>
          <w:sz w:val="20"/>
          <w:szCs w:val="20"/>
          <w:color w:val="auto"/>
        </w:rPr>
      </w:pPr>
    </w:p>
    <w:p>
      <w:pPr>
        <w:ind w:left="1080" w:hanging="438"/>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chief executive officer and other executive officers;</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jc w:val="both"/>
        <w:ind w:left="1080" w:hanging="438"/>
        <w:spacing w:after="0" w:line="34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38"/>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that satisfies the applicable listing standards of Nasdaq.</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nominating and corporate governance committee consists of Mr. Balthrop and Dr. Colowick. The chair of our nominating and corporate governance committee is Mr. Balthrop. Our board of directors has determined that each member of the nominating and corporate governance committee is independent under the listing standards of Nasdaq.</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0" w:lineRule="exact"/>
        <w:rPr>
          <w:sz w:val="20"/>
          <w:szCs w:val="20"/>
          <w:color w:val="auto"/>
        </w:rPr>
      </w:pPr>
    </w:p>
    <w:p>
      <w:pPr>
        <w:ind w:left="1080" w:right="20" w:hanging="438"/>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that satisfies the applicable listing standards of Nasdaq.</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https://www.personalis.com.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20" w:right="20" w:firstLine="440"/>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2018, we did not pay cash compensation to any of our non-employee directors for service on our board of directors.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In April 2018, the board of directors granted a stock option to purchase 50,000 shares of our common stock to Mr. Balthrop at an exercise price per share of $0.95. The shares underlying the option vest in 12 equal monthly installments measured from August 17, 2018, subject to Mr. Balthrop’s continuous service with us as of each such vesting date. In April 2018, the board of directors granted a stock option to purchase 50,000 shares of our common stock to Mr. Ludlum at an exercise price per share of $0.95. The shares underlying the option vest in 12 equal monthly installments measured from June 20, 2018, subject to Mr. Ludlum’s continuous service with us as of each such vesting date. In April 2018, the board of directors granted a stock option to purchase 75,000 shares of our common stock to Dr. MacQuitty at an exercise price per share of $0.95. The shares underlying the option vest in 12 equal monthly installments measured from February 1, 2018, subject to Dr. MacQuitty’s continuous service with us as of each such vesting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 change in control (as defined in the 2011 Plan), the vesting of each option described above shall accelerate in full.</w:t>
      </w:r>
    </w:p>
    <w:p>
      <w:pPr>
        <w:spacing w:after="0" w:line="22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addition, we have reimbursed and will continue to reimburse all of our non-employee directors for their reasonable out-of-pocket expenses incurred in attending board of directors and committee meetings.</w:t>
      </w:r>
    </w:p>
    <w:p>
      <w:pPr>
        <w:spacing w:after="0" w:line="17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following table sets forth information regarding the compensation earned by or paid to our directors during the year ended December 31, 2018, other than John West, our President and Chief Executive Officer, who is also a member of our board of directors but did not receive any additional compensation for service as a director. The compensation of Mr. West as a named executive officer is set forth below under “Executive Compensation— Summary Compensation Table.” Because each of A. Blaine Bowman, Alan Colowick, and Paul Ricci joined our board of directors in 2019 and did not earn or receive any compensation from us in 2018, Mr. Bowman, Dr. Colowick, and Mr. Ricci are not included in the following table.</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Fees Earned or Paid</w:t>
            </w: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120" w:type="dxa"/>
            <w:vAlign w:val="bottom"/>
            <w:vMerge w:val="restart"/>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 Cash</w:t>
            </w: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5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5"/>
                <w:szCs w:val="15"/>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820" w:type="dxa"/>
            <w:vAlign w:val="bottom"/>
          </w:tcPr>
          <w:p>
            <w:pPr>
              <w:spacing w:after="0"/>
              <w:rPr>
                <w:sz w:val="15"/>
                <w:szCs w:val="15"/>
                <w:color w:val="auto"/>
              </w:rPr>
            </w:pPr>
          </w:p>
        </w:tc>
        <w:tc>
          <w:tcPr>
            <w:tcW w:w="680" w:type="dxa"/>
            <w:vAlign w:val="bottom"/>
          </w:tcPr>
          <w:p>
            <w:pPr>
              <w:jc w:val="right"/>
              <w:ind w:right="175"/>
              <w:spacing w:after="0" w:line="15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Patrick Balthrop</w:t>
            </w:r>
          </w:p>
        </w:tc>
        <w:tc>
          <w:tcPr>
            <w:tcW w:w="1500" w:type="dxa"/>
            <w:vAlign w:val="bottom"/>
            <w:tcBorders>
              <w:top w:val="single" w:sz="8" w:color="auto"/>
            </w:tcBorders>
            <w:shd w:val="clear" w:color="auto" w:fill="CCEEFF"/>
          </w:tcPr>
          <w:p>
            <w:pPr>
              <w:ind w:left="1320"/>
              <w:spacing w:after="0" w:line="203" w:lineRule="exact"/>
              <w:rPr>
                <w:sz w:val="20"/>
                <w:szCs w:val="20"/>
                <w:color w:val="auto"/>
              </w:rPr>
            </w:pPr>
            <w:r>
              <w:rPr>
                <w:rFonts w:ascii="Arial" w:cs="Arial" w:eastAsia="Arial" w:hAnsi="Arial"/>
                <w:sz w:val="18"/>
                <w:szCs w:val="18"/>
                <w:color w:val="auto"/>
                <w:w w:val="88"/>
              </w:rPr>
              <w:t>—</w:t>
            </w: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26,146</w:t>
            </w:r>
          </w:p>
        </w:tc>
        <w:tc>
          <w:tcPr>
            <w:tcW w:w="8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26,146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Kenneth Ludlum</w:t>
            </w:r>
          </w:p>
        </w:tc>
        <w:tc>
          <w:tcPr>
            <w:tcW w:w="23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26,146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MacQuitty, Ph.D.</w:t>
            </w:r>
          </w:p>
        </w:tc>
        <w:tc>
          <w:tcPr>
            <w:tcW w:w="23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39,276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39,276</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Vincent Miles, Ph.D.</w:t>
            </w:r>
            <w:r>
              <w:rPr>
                <w:rFonts w:ascii="Arial" w:cs="Arial" w:eastAsia="Arial" w:hAnsi="Arial"/>
                <w:sz w:val="15"/>
                <w:szCs w:val="15"/>
                <w:color w:val="auto"/>
              </w:rPr>
              <w:t>(2)</w:t>
            </w:r>
          </w:p>
        </w:tc>
        <w:tc>
          <w:tcPr>
            <w:tcW w:w="23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Schaepe</w:t>
            </w:r>
            <w:r>
              <w:rPr>
                <w:rFonts w:ascii="Arial" w:cs="Arial" w:eastAsia="Arial" w:hAnsi="Arial"/>
                <w:sz w:val="15"/>
                <w:szCs w:val="15"/>
                <w:color w:val="auto"/>
              </w:rPr>
              <w:t>(3)</w:t>
            </w:r>
          </w:p>
        </w:tc>
        <w:tc>
          <w:tcPr>
            <w:tcW w:w="23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jc w:val="both"/>
        <w:ind w:left="640" w:hanging="430"/>
        <w:spacing w:after="0" w:line="253"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options granted during fiscal 2018 under our 2011 Plan, computed in accordance with Financial Accounting Standards Board Accounting Standards Codification, Topic 718 (“ASC Topic 718”). The assumptions used in calculating the grant date fair value of the stock options reported in this column are set forth in the notes to our consolidated financial statements included elsewhere in this prospectus. This amount does not reflect the actual economic value that may be realized by the non-employee director.</w:t>
      </w:r>
    </w:p>
    <w:p>
      <w:pPr>
        <w:spacing w:after="0" w:line="2" w:lineRule="exact"/>
        <w:rPr>
          <w:rFonts w:ascii="Arial" w:cs="Arial" w:eastAsia="Arial" w:hAnsi="Arial"/>
          <w:sz w:val="18"/>
          <w:szCs w:val="18"/>
          <w:color w:val="auto"/>
        </w:rPr>
      </w:pPr>
    </w:p>
    <w:p>
      <w:pPr>
        <w:ind w:left="640" w:hanging="43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 Miles resigned as a member of our board of directors on May 1, 2019.</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Schaepe resigned as a member of our board of directors on March 21, 2019.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Our named executive officers for the fiscal year ended December 31, 2018, consisting of our principal executive officer and the next two most highly compensated executive officers, were:</w:t>
      </w:r>
    </w:p>
    <w:p>
      <w:pPr>
        <w:spacing w:after="0" w:line="75" w:lineRule="exact"/>
        <w:rPr>
          <w:sz w:val="20"/>
          <w:szCs w:val="20"/>
          <w:color w:val="auto"/>
        </w:rPr>
      </w:pPr>
    </w:p>
    <w:p>
      <w:pPr>
        <w:ind w:left="1080" w:hanging="438"/>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John West, our President and Chief Executive Officer;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Clinton Musil, our Chief Business Officer;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Richard Chen, M.D., M.S., our Chief Scientific Officer.</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all of the compensation awarded to, earned by, or paid to our named executive officers during the fiscal year ended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December 31, 2018:</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2"/>
          </w:tcPr>
          <w:p>
            <w:pPr>
              <w:jc w:val="center"/>
              <w:ind w:right="384"/>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Bonus</w:t>
            </w:r>
          </w:p>
        </w:tc>
        <w:tc>
          <w:tcPr>
            <w:tcW w:w="1020" w:type="dxa"/>
            <w:vAlign w:val="bottom"/>
            <w:gridSpan w:val="2"/>
            <w:vMerge w:val="continue"/>
          </w:tcPr>
          <w:p>
            <w:pPr>
              <w:spacing w:after="0"/>
              <w:rPr>
                <w:sz w:val="12"/>
                <w:szCs w:val="12"/>
                <w:color w:val="auto"/>
              </w:rPr>
            </w:pPr>
          </w:p>
        </w:tc>
        <w:tc>
          <w:tcPr>
            <w:tcW w:w="1500" w:type="dxa"/>
            <w:vAlign w:val="bottom"/>
            <w:gridSpan w:val="2"/>
          </w:tcPr>
          <w:p>
            <w:pPr>
              <w:jc w:val="center"/>
              <w:ind w:right="384"/>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500" w:type="dxa"/>
            <w:vAlign w:val="bottom"/>
            <w:gridSpan w:val="2"/>
          </w:tcPr>
          <w:p>
            <w:pPr>
              <w:jc w:val="center"/>
              <w:ind w:right="384"/>
              <w:spacing w:after="0" w:line="149"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6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jc w:val="right"/>
              <w:ind w:right="157"/>
              <w:spacing w:after="0" w:line="157"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80" w:type="dxa"/>
            <w:vAlign w:val="bottom"/>
          </w:tcPr>
          <w:p>
            <w:pPr>
              <w:jc w:val="right"/>
              <w:ind w:right="17"/>
              <w:spacing w:after="0" w:line="15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800" w:type="dxa"/>
            <w:vAlign w:val="bottom"/>
          </w:tcPr>
          <w:p>
            <w:pPr>
              <w:jc w:val="right"/>
              <w:ind w:right="237"/>
              <w:spacing w:after="0" w:line="15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John West</w:t>
            </w:r>
          </w:p>
        </w:tc>
        <w:tc>
          <w:tcPr>
            <w:tcW w:w="400" w:type="dxa"/>
            <w:vAlign w:val="bottom"/>
            <w:shd w:val="clear" w:color="auto" w:fill="CCEEFF"/>
          </w:tcPr>
          <w:p>
            <w:pPr>
              <w:ind w:left="40"/>
              <w:spacing w:after="0" w:line="175" w:lineRule="exact"/>
              <w:rPr>
                <w:sz w:val="20"/>
                <w:szCs w:val="20"/>
                <w:color w:val="auto"/>
              </w:rPr>
            </w:pPr>
            <w:r>
              <w:rPr>
                <w:rFonts w:ascii="Arial" w:cs="Arial" w:eastAsia="Arial" w:hAnsi="Arial"/>
                <w:sz w:val="18"/>
                <w:szCs w:val="18"/>
                <w:color w:val="auto"/>
                <w:w w:val="84"/>
              </w:rPr>
              <w:t>2018</w:t>
            </w: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w w:val="95"/>
              </w:rPr>
              <w:t>421,750</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879,452</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190,250</w:t>
            </w:r>
          </w:p>
        </w:tc>
        <w:tc>
          <w:tcPr>
            <w:tcW w:w="4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87"/>
              </w:rPr>
              <w:t>(3)</w:t>
            </w:r>
          </w:p>
        </w:tc>
        <w:tc>
          <w:tcPr>
            <w:tcW w:w="960" w:type="dxa"/>
            <w:vAlign w:val="bottom"/>
            <w:shd w:val="clear" w:color="auto" w:fill="CCEEFF"/>
          </w:tcPr>
          <w:p>
            <w:pPr>
              <w:ind w:left="780"/>
              <w:spacing w:after="0" w:line="175"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w w:val="97"/>
              </w:rPr>
              <w:t>1,491,452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4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4060" w:type="dxa"/>
            <w:vAlign w:val="bottom"/>
            <w:gridSpan w:val="3"/>
          </w:tcPr>
          <w:p>
            <w:pPr>
              <w:spacing w:after="0"/>
              <w:rPr>
                <w:sz w:val="20"/>
                <w:szCs w:val="20"/>
                <w:color w:val="auto"/>
              </w:rPr>
            </w:pPr>
            <w:r>
              <w:rPr>
                <w:rFonts w:ascii="Arial" w:cs="Arial" w:eastAsia="Arial" w:hAnsi="Arial"/>
                <w:sz w:val="18"/>
                <w:szCs w:val="18"/>
                <w:color w:val="auto"/>
              </w:rPr>
              <w:t>Clinton Musil</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2018</w:t>
            </w:r>
            <w:r>
              <w:rPr>
                <w:rFonts w:ascii="Arial" w:cs="Arial" w:eastAsia="Arial" w:hAnsi="Arial"/>
                <w:sz w:val="15"/>
                <w:szCs w:val="15"/>
                <w:color w:val="auto"/>
              </w:rPr>
              <w:t>(4)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13,542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1,053,204</w:t>
            </w:r>
          </w:p>
        </w:tc>
        <w:tc>
          <w:tcPr>
            <w:tcW w:w="150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1,066,746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Business Officer</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Chen, M.D., M.S.</w:t>
            </w:r>
          </w:p>
        </w:tc>
        <w:tc>
          <w:tcPr>
            <w:tcW w:w="8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5"/>
              </w:rPr>
              <w:t>370,031</w:t>
            </w:r>
          </w:p>
        </w:tc>
        <w:tc>
          <w:tcPr>
            <w:tcW w:w="5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335,934</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135,000</w:t>
            </w:r>
          </w:p>
        </w:tc>
        <w:tc>
          <w:tcPr>
            <w:tcW w:w="4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8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840,965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Scientific Officer</w:t>
            </w:r>
          </w:p>
        </w:tc>
        <w:tc>
          <w:tcPr>
            <w:tcW w:w="4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jc w:val="both"/>
        <w:ind w:left="640" w:hanging="430"/>
        <w:spacing w:after="0" w:line="254"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stock options granted to our named executive officers during fiscal 2018 under our 2011 Plan, computed in accordance with ASC Topic 718. The assumptions used in calculating the grant date fair value of the stock options are set forth in the notes to our audited consolidated financial statements included elsewhere in this prospectus. This amount does not reflect the actual economic value that may be realized by the named executive officer.</w:t>
      </w:r>
    </w:p>
    <w:p>
      <w:pPr>
        <w:spacing w:after="0" w:line="1" w:lineRule="exact"/>
        <w:rPr>
          <w:rFonts w:ascii="Arial" w:cs="Arial" w:eastAsia="Arial" w:hAnsi="Arial"/>
          <w:sz w:val="18"/>
          <w:szCs w:val="18"/>
          <w:color w:val="auto"/>
        </w:rPr>
      </w:pPr>
    </w:p>
    <w:p>
      <w:pPr>
        <w:ind w:left="640" w:right="20" w:hanging="430"/>
        <w:spacing w:after="0" w:line="250"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disclosed represents the executive officer’s total performance bonus earned for fiscal 2018 as described below under “—Annual Bonus Plan.”</w:t>
      </w:r>
    </w:p>
    <w:p>
      <w:pPr>
        <w:ind w:left="640" w:right="20" w:hanging="430"/>
        <w:spacing w:after="0" w:line="250"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disclosed represents the grant date fair value of a stock option granted to Mr. West in 2019 in lieu of a performance-based cash bonus earned with respect to fiscal 2018 performance as described below under “—Annual Bonus Plan.”</w:t>
      </w:r>
    </w:p>
    <w:p>
      <w:pPr>
        <w:ind w:left="640" w:hanging="430"/>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Musil began serving as our Chief Business Officer in December 2018.</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Bonus Plan</w:t>
      </w:r>
    </w:p>
    <w:p>
      <w:pPr>
        <w:spacing w:after="0" w:line="121"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Our executive officers are eligible to receive performance-based cash bonuses, which are designed to provide appropriate incentives to our executives to achieve defined performance goals and to reward our executives for individual achievement toward these goals. The performance-based bonus each executive officer is eligible to receive is generally based on the extent to which we achieve the corporate goals that our board or compensation committee establishes and is paid annually. Annually, the compensation committee of our board of directors reviews the company’s performance and determines the actual bonus payout to be awarded to each of our eligible executive officers.</w:t>
      </w:r>
    </w:p>
    <w:p>
      <w:pPr>
        <w:spacing w:after="0" w:line="175" w:lineRule="exact"/>
        <w:rPr>
          <w:sz w:val="20"/>
          <w:szCs w:val="20"/>
          <w:color w:val="auto"/>
        </w:rPr>
      </w:pPr>
    </w:p>
    <w:p>
      <w:pPr>
        <w:jc w:val="both"/>
        <w:ind w:left="220" w:right="20" w:firstLine="440"/>
        <w:spacing w:after="0" w:line="311" w:lineRule="auto"/>
        <w:rPr>
          <w:sz w:val="20"/>
          <w:szCs w:val="20"/>
          <w:color w:val="auto"/>
        </w:rPr>
      </w:pPr>
      <w:r>
        <w:rPr>
          <w:rFonts w:ascii="Arial" w:cs="Arial" w:eastAsia="Arial" w:hAnsi="Arial"/>
          <w:sz w:val="16"/>
          <w:szCs w:val="16"/>
          <w:color w:val="auto"/>
        </w:rPr>
        <w:t>Bonuses based on fiscal 2017 performance were paid in April 2018. Because the compensation committee of our board of directors determined that the performance goals with respect to the fiscal 2017 bonuses were achieved at the 100% level, the 2017 bonuses were paid at the 100% level. Mr. West earned a bonus for fiscal 2017 performance based on our achievement of the relevant performance targets for Mr. West. At the request of</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311" w:lineRule="auto"/>
        <w:rPr>
          <w:sz w:val="20"/>
          <w:szCs w:val="20"/>
          <w:color w:val="auto"/>
        </w:rPr>
      </w:pPr>
      <w:r>
        <w:rPr>
          <w:rFonts w:ascii="Arial" w:cs="Arial" w:eastAsia="Arial" w:hAnsi="Arial"/>
          <w:sz w:val="16"/>
          <w:szCs w:val="16"/>
          <w:color w:val="auto"/>
        </w:rPr>
        <w:t>Mr. West, the board of directors determined to pay his 2017 bonus in the form of a fully vested stock option grant exercisable for 100,000 shares of common stock. Because Mr. Musil began his employment with us in December 2018, he was not eligible for any fiscal 2017 bonus. Dr. Chen earned a bonus for fiscal 2017 performance based on our achievement of the relevant performance targets for Dr. Chen and his 2017 bonus was paid in cash.</w:t>
      </w:r>
    </w:p>
    <w:p>
      <w:pPr>
        <w:spacing w:after="0" w:line="148"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For fiscal 2018, Mr. West was eligible to receive a bonus at an annual target of 50% of salary earned during the year. For fiscal 2018, Dr. Chen was eligible to receive a bonus at an annual target of 30% of salary earned during the year.</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have entered into an employment agreement or offer letter with each of our named executive officers. Prior to the closing of this offering, we will enter into revised employment agreements with each of our named executive officers setting forth the terms and conditions of such executive’s employment with us. In addition, each of our named executive officers has executed our standard confidential information and invention assignment agreement. Any potential payments and benefits due upon a termination of employment or change in control are described and quantified below in “— Potential Payments upon Termination or Change in Control.”</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John West</w:t>
      </w:r>
    </w:p>
    <w:p>
      <w:pPr>
        <w:spacing w:after="0" w:line="117" w:lineRule="exact"/>
        <w:rPr>
          <w:sz w:val="20"/>
          <w:szCs w:val="20"/>
          <w:color w:val="auto"/>
        </w:rPr>
      </w:pPr>
    </w:p>
    <w:p>
      <w:pPr>
        <w:jc w:val="both"/>
        <w:ind w:left="220" w:right="20" w:firstLine="440"/>
        <w:spacing w:after="0" w:line="290" w:lineRule="auto"/>
        <w:rPr>
          <w:sz w:val="20"/>
          <w:szCs w:val="20"/>
          <w:color w:val="auto"/>
        </w:rPr>
      </w:pPr>
      <w:r>
        <w:rPr>
          <w:rFonts w:ascii="Arial" w:cs="Arial" w:eastAsia="Arial" w:hAnsi="Arial"/>
          <w:sz w:val="16"/>
          <w:szCs w:val="16"/>
          <w:color w:val="auto"/>
        </w:rPr>
        <w:t>We entered into an initial employment agreement with Mr. West, our Chief Executive Officer, dated August 3, 2011, which set forth the initial terms and conditions of his employment with us. Prior to the closing of this offering, we will enter into a revised employment agreement with Mr. West,</w:t>
      </w:r>
    </w:p>
    <w:p>
      <w:pPr>
        <w:spacing w:after="0" w:line="1" w:lineRule="exact"/>
        <w:rPr>
          <w:sz w:val="20"/>
          <w:szCs w:val="20"/>
          <w:color w:val="auto"/>
        </w:rPr>
      </w:pPr>
    </w:p>
    <w:p>
      <w:pPr>
        <w:ind w:left="220"/>
        <w:spacing w:after="0"/>
        <w:tabs>
          <w:tab w:leader="none" w:pos="10580" w:val="left"/>
        </w:tabs>
        <w:rPr>
          <w:sz w:val="20"/>
          <w:szCs w:val="20"/>
          <w:color w:val="auto"/>
        </w:rPr>
      </w:pPr>
      <w:r>
        <w:rPr>
          <w:rFonts w:ascii="Arial" w:cs="Arial" w:eastAsia="Arial" w:hAnsi="Arial"/>
          <w:sz w:val="17"/>
          <w:szCs w:val="17"/>
          <w:color w:val="auto"/>
        </w:rPr>
        <w:t>which will replace and supersede Mr. West’s prior employment agreement. Pursuant to the new agreement, Mr. West’s base salary will be $</w:t>
      </w:r>
      <w:r>
        <w:rPr>
          <w:sz w:val="20"/>
          <w:szCs w:val="20"/>
          <w:color w:val="auto"/>
        </w:rPr>
        <w:tab/>
      </w:r>
      <w:r>
        <w:rPr>
          <w:rFonts w:ascii="Arial" w:cs="Arial" w:eastAsia="Arial" w:hAnsi="Arial"/>
          <w:sz w:val="15"/>
          <w:szCs w:val="15"/>
          <w:color w:val="auto"/>
        </w:rPr>
        <w:t>per year.</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Mr. West’s employment is at will and may be terminated at any time, with or without cause.</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Clinton Musil</w:t>
      </w:r>
    </w:p>
    <w:p>
      <w:pPr>
        <w:spacing w:after="0" w:line="117"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We entered into an initial offer letter with Mr. Musil, our Chief Business Officer, dated December 14, 2018, which set forth the initial terms and conditions of his employment with us. Prior to the closing of this offering, we will enter into an employment agreement with Mr. Musil, which will</w:t>
      </w:r>
    </w:p>
    <w:p>
      <w:pPr>
        <w:spacing w:after="0" w:line="1"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replace and supersede Mr. Musil’s prior offer letter. Pursuant to the new agreement, Mr. Musil’s base salary will be $ per year. Mr. Musil’s employment is at will and may be terminated at any time, with or without cause.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Richard Chen, M.D., M.S.</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entered into an initial offer letter with Dr. Chen, our Chief Scientific Officer, dated November 23, 2011, which set forth the initial terms and conditions of his employment with us. Prior to the closing of this offering, we will enter into an employment agreement with Dr. Chen, which will replace and supersede Dr. Chen’s prior offer letter. Pursuant to the new agreement, Dr. Chen’s base salary will be $ per year. Dr. Chen’s employment is at will and may be terminated at any time, with or without cause.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have entered into an agreement with each of our named executive officers with respect to potential payments and benefits due upon a termination of employment or change in control. Prior to the closing of this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offering, we will enter into revised executive severance agreements with each of our named executive officers setting forth the terms and conditions of such potential payments and benefits due upon a termination of employment or change in control.</w:t>
      </w:r>
    </w:p>
    <w:p>
      <w:pPr>
        <w:spacing w:after="0" w:line="170"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December 31, 2018.</w:t>
      </w: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w w:val="99"/>
              </w:rPr>
              <w:t>Option Awards</w:t>
            </w:r>
            <w:r>
              <w:rPr>
                <w:rFonts w:ascii="Arial" w:cs="Arial" w:eastAsia="Arial" w:hAnsi="Arial"/>
                <w:sz w:val="12"/>
                <w:szCs w:val="12"/>
                <w:b w:val="1"/>
                <w:bCs w:val="1"/>
                <w:color w:val="auto"/>
                <w:w w:val="99"/>
              </w:rPr>
              <w:t>(1)</w:t>
            </w: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0"/>
                <w:szCs w:val="10"/>
                <w:color w:val="auto"/>
              </w:rPr>
            </w:pPr>
          </w:p>
        </w:tc>
        <w:tc>
          <w:tcPr>
            <w:tcW w:w="13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vMerge w:val="restart"/>
          </w:tcPr>
          <w:p>
            <w:pPr>
              <w:jc w:val="right"/>
              <w:ind w:right="484"/>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Price Per</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4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jc w:val="right"/>
              <w:ind w:right="524"/>
              <w:spacing w:after="0" w:line="157"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3"/>
                <w:szCs w:val="13"/>
                <w:color w:val="auto"/>
              </w:rPr>
            </w:pPr>
          </w:p>
        </w:tc>
        <w:tc>
          <w:tcPr>
            <w:tcW w:w="8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2"/>
              </w:rPr>
              <w:t>Exercisable</w:t>
            </w:r>
          </w:p>
        </w:tc>
        <w:tc>
          <w:tcPr>
            <w:tcW w:w="420" w:type="dxa"/>
            <w:vAlign w:val="bottom"/>
          </w:tcPr>
          <w:p>
            <w:pPr>
              <w:spacing w:after="0"/>
              <w:rPr>
                <w:sz w:val="13"/>
                <w:szCs w:val="13"/>
                <w:color w:val="auto"/>
              </w:rPr>
            </w:pPr>
          </w:p>
        </w:tc>
        <w:tc>
          <w:tcPr>
            <w:tcW w:w="134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0"/>
              </w:rPr>
              <w:t>Unexercisable</w:t>
            </w:r>
          </w:p>
        </w:tc>
        <w:tc>
          <w:tcPr>
            <w:tcW w:w="10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9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John West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3/7/2012</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2,250,000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0.11</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3/7/2022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w w:val="94"/>
              </w:rPr>
              <w:t>11/13/2013</w:t>
            </w:r>
            <w:r>
              <w:rPr>
                <w:rFonts w:ascii="Arial" w:cs="Arial" w:eastAsia="Arial" w:hAnsi="Arial"/>
                <w:sz w:val="15"/>
                <w:szCs w:val="15"/>
                <w:color w:val="auto"/>
                <w:w w:val="94"/>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90"/>
              </w:rPr>
              <w:t>12/11/2013</w:t>
            </w:r>
            <w:r>
              <w:rPr>
                <w:rFonts w:ascii="Arial" w:cs="Arial" w:eastAsia="Arial" w:hAnsi="Arial"/>
                <w:sz w:val="15"/>
                <w:szCs w:val="15"/>
                <w:color w:val="auto"/>
                <w:w w:val="90"/>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257,722</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12/11/2023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3/12/2014</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180,244</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4/15/2015</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60,061</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5/11/2016</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5/24/2017</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395,833</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604,167</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7/26/2017</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4/25/2018</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(3)</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4/25/2018</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(5)</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388,889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12/24/2018</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(6)</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600,000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12/24/2028</w:t>
            </w: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Clinton Musil</w:t>
            </w:r>
          </w:p>
        </w:tc>
        <w:tc>
          <w:tcPr>
            <w:tcW w:w="1600" w:type="dxa"/>
            <w:vAlign w:val="bottom"/>
            <w:gridSpan w:val="4"/>
          </w:tcPr>
          <w:p>
            <w:pPr>
              <w:jc w:val="right"/>
              <w:ind w:right="64"/>
              <w:spacing w:after="0"/>
              <w:rPr>
                <w:sz w:val="20"/>
                <w:szCs w:val="20"/>
                <w:color w:val="auto"/>
              </w:rPr>
            </w:pPr>
            <w:r>
              <w:rPr>
                <w:rFonts w:ascii="Arial" w:cs="Arial" w:eastAsia="Arial" w:hAnsi="Arial"/>
                <w:sz w:val="18"/>
                <w:szCs w:val="18"/>
                <w:color w:val="auto"/>
              </w:rPr>
              <w:t>12/24/2018</w:t>
            </w:r>
            <w:r>
              <w:rPr>
                <w:rFonts w:ascii="Arial" w:cs="Arial" w:eastAsia="Arial" w:hAnsi="Arial"/>
                <w:sz w:val="15"/>
                <w:szCs w:val="15"/>
                <w:color w:val="auto"/>
              </w:rPr>
              <w:t>(7)</w:t>
            </w:r>
          </w:p>
        </w:tc>
        <w:tc>
          <w:tcPr>
            <w:tcW w:w="4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1,023,357</w:t>
            </w:r>
          </w:p>
        </w:tc>
        <w:tc>
          <w:tcPr>
            <w:tcW w:w="48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12/24/2028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00" w:type="dxa"/>
            <w:vAlign w:val="bottom"/>
            <w:gridSpan w:val="4"/>
          </w:tcPr>
          <w:p>
            <w:pPr>
              <w:spacing w:after="0"/>
              <w:rPr>
                <w:sz w:val="9"/>
                <w:szCs w:val="9"/>
                <w:color w:val="auto"/>
              </w:rPr>
            </w:pPr>
          </w:p>
        </w:tc>
        <w:tc>
          <w:tcPr>
            <w:tcW w:w="124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Chen, M.D., M.S.</w:t>
            </w:r>
          </w:p>
        </w:tc>
        <w:tc>
          <w:tcPr>
            <w:tcW w:w="1600" w:type="dxa"/>
            <w:vAlign w:val="bottom"/>
            <w:gridSpan w:val="4"/>
            <w:shd w:val="clear" w:color="auto" w:fill="CCEEFF"/>
          </w:tcPr>
          <w:p>
            <w:pPr>
              <w:jc w:val="right"/>
              <w:ind w:right="64"/>
              <w:spacing w:after="0"/>
              <w:rPr>
                <w:sz w:val="20"/>
                <w:szCs w:val="20"/>
                <w:color w:val="auto"/>
              </w:rPr>
            </w:pPr>
            <w:r>
              <w:rPr>
                <w:rFonts w:ascii="Arial" w:cs="Arial" w:eastAsia="Arial" w:hAnsi="Arial"/>
                <w:sz w:val="18"/>
                <w:szCs w:val="18"/>
                <w:color w:val="auto"/>
              </w:rPr>
              <w:t>3/7/2012</w:t>
            </w:r>
            <w:r>
              <w:rPr>
                <w:rFonts w:ascii="Arial" w:cs="Arial" w:eastAsia="Arial" w:hAnsi="Arial"/>
                <w:sz w:val="15"/>
                <w:szCs w:val="15"/>
                <w:color w:val="auto"/>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1,157,000</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w w:val="94"/>
              </w:rPr>
              <w:t>11/13/2013</w:t>
            </w:r>
            <w:r>
              <w:rPr>
                <w:rFonts w:ascii="Arial" w:cs="Arial" w:eastAsia="Arial" w:hAnsi="Arial"/>
                <w:sz w:val="15"/>
                <w:szCs w:val="15"/>
                <w:color w:val="auto"/>
                <w:w w:val="94"/>
              </w:rPr>
              <w:t>(3)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99"/>
              </w:rPr>
              <w:t>5/24/2017</w:t>
            </w:r>
            <w:r>
              <w:rPr>
                <w:rFonts w:ascii="Arial" w:cs="Arial" w:eastAsia="Arial" w:hAnsi="Arial"/>
                <w:sz w:val="15"/>
                <w:szCs w:val="15"/>
                <w:color w:val="auto"/>
                <w:w w:val="99"/>
              </w:rPr>
              <w:t>(8)</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158,333</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241,667</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5/24/2027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4/25/2018</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7"/>
              </w:rPr>
              <w:t>(9)</w:t>
            </w:r>
          </w:p>
        </w:tc>
        <w:tc>
          <w:tcPr>
            <w:tcW w:w="12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33,333</w:t>
            </w:r>
          </w:p>
        </w:tc>
        <w:tc>
          <w:tcPr>
            <w:tcW w:w="176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116,667</w:t>
            </w:r>
          </w:p>
        </w:tc>
        <w:tc>
          <w:tcPr>
            <w:tcW w:w="104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0.95</w:t>
            </w:r>
          </w:p>
        </w:tc>
        <w:tc>
          <w:tcPr>
            <w:tcW w:w="9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4/25/2028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12/14/2018</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(10)</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250,000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12/14/2028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hanging="430"/>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the option awards were granted under the 2011 Plan, the terms of which plan is described below under “—Equity Incentive Plans.”</w:t>
      </w:r>
    </w:p>
    <w:p>
      <w:pPr>
        <w:spacing w:after="0" w:line="34" w:lineRule="exact"/>
        <w:rPr>
          <w:rFonts w:ascii="Arial" w:cs="Arial" w:eastAsia="Arial" w:hAnsi="Arial"/>
          <w:sz w:val="17"/>
          <w:szCs w:val="17"/>
          <w:color w:val="auto"/>
        </w:rPr>
      </w:pPr>
    </w:p>
    <w:p>
      <w:pPr>
        <w:ind w:left="640" w:right="20" w:hanging="430"/>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the option awards were granted with a per share exercise price equal to the fair market value of one share of our common stock on the date of grant, as determined in good faith by our board of directors or compensation committee.</w:t>
      </w:r>
    </w:p>
    <w:p>
      <w:pPr>
        <w:ind w:left="640" w:hanging="430"/>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Fully vested as of December 31, 2018.</w:t>
      </w:r>
    </w:p>
    <w:p>
      <w:pPr>
        <w:spacing w:after="0" w:line="8" w:lineRule="exact"/>
        <w:rPr>
          <w:rFonts w:ascii="Arial" w:cs="Arial" w:eastAsia="Arial" w:hAnsi="Arial"/>
          <w:sz w:val="18"/>
          <w:szCs w:val="18"/>
          <w:color w:val="auto"/>
        </w:rPr>
      </w:pPr>
    </w:p>
    <w:p>
      <w:pPr>
        <w:ind w:left="640" w:right="20" w:hanging="430"/>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May 1, 2017, subject to continuous service as of each such vesting date.</w:t>
      </w:r>
    </w:p>
    <w:p>
      <w:pPr>
        <w:ind w:left="640" w:right="20" w:hanging="430"/>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shares subject to the option vest in 36 equal monthly installments measured from May 1, 2018, subject to continuous service as of each such vesting date.</w:t>
      </w:r>
    </w:p>
    <w:p>
      <w:pPr>
        <w:ind w:left="640" w:right="20" w:hanging="430"/>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December 14, 2018, subject to continuous service as of each such vesting date.</w:t>
      </w:r>
    </w:p>
    <w:p>
      <w:pPr>
        <w:ind w:left="640" w:hanging="430"/>
        <w:spacing w:after="0" w:line="289"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20% of the shares subject to the option vest upon the closing of this offering, 20% of the shares subject to the option vest on December 17, 2019, and the remaining shares vest in 36 equal monthly installments thereafter, subject to continuous service as of each such vesting date.</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40" w:right="20" w:hanging="430"/>
        <w:spacing w:after="0" w:line="25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May 1, 2017, subject to continuous service as of each such vesting date.</w:t>
      </w:r>
    </w:p>
    <w:p>
      <w:pPr>
        <w:spacing w:after="0" w:line="1" w:lineRule="exact"/>
        <w:rPr>
          <w:rFonts w:ascii="Arial" w:cs="Arial" w:eastAsia="Arial" w:hAnsi="Arial"/>
          <w:sz w:val="18"/>
          <w:szCs w:val="18"/>
          <w:color w:val="auto"/>
        </w:rPr>
      </w:pPr>
    </w:p>
    <w:p>
      <w:pPr>
        <w:ind w:left="640" w:right="20" w:hanging="430"/>
        <w:spacing w:after="0" w:line="250"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shares subject to the option vest in 36 equal monthly installments measured from May 1, 2018, subject to continuous service as of each such vesting date.</w:t>
      </w:r>
    </w:p>
    <w:p>
      <w:pPr>
        <w:ind w:left="640" w:right="20" w:hanging="430"/>
        <w:spacing w:after="0" w:line="260"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December 14, 2018, subject to continuous service as of each such vesting date.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Compensation and Benefits</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6"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named executive officers did not participate in, or earn any benefits under, any nonqualified deferred compensation plan sponsored by us during the fiscal year ended December 31, 2018. Our board of directors may elect to provide our officers and other employees with nonqualified deferred compensation benefits in the future if it determines that doing so is in our best interests.</w:t>
      </w:r>
    </w:p>
    <w:p>
      <w:pPr>
        <w:spacing w:after="0" w:line="18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fiscal 2018.</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The principal features of our equity incentive plans and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jc w:val="both"/>
        <w:ind w:left="220" w:firstLine="440"/>
        <w:spacing w:after="0" w:line="258" w:lineRule="auto"/>
        <w:rPr>
          <w:sz w:val="20"/>
          <w:szCs w:val="20"/>
          <w:color w:val="auto"/>
        </w:rPr>
      </w:pPr>
      <w:r>
        <w:rPr>
          <w:rFonts w:ascii="Arial" w:cs="Arial" w:eastAsia="Arial" w:hAnsi="Arial"/>
          <w:sz w:val="18"/>
          <w:szCs w:val="18"/>
          <w:color w:val="auto"/>
        </w:rPr>
        <w:t>Our board of directors adopted and our stockholders approved our 2019 Equity Incentive Plan (the “2019 Plan”) on , 2019, and , 2019, respectively. The 2019 Plan will become effective, and no stock awards may be granted under the 2019 Plan until, immediately</w:t>
      </w:r>
    </w:p>
    <w:p>
      <w:pPr>
        <w:spacing w:after="0" w:line="1"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prior to the execution of the underwriting agreement related to this offering. Once the 2019 Plan is effective, no further grants will be made under the 2011 Plan.</w:t>
      </w:r>
    </w:p>
    <w:p>
      <w:pPr>
        <w:spacing w:after="0" w:line="185"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The 2019 Plan provides for the grant of incentive stock options (“ISOs”) within the meaning of Section 422 of the Code,</w:t>
      </w:r>
      <w:r>
        <w:rPr>
          <w:rFonts w:ascii="Arial" w:cs="Arial" w:eastAsia="Arial" w:hAnsi="Arial"/>
          <w:sz w:val="17"/>
          <w:szCs w:val="17"/>
          <w:i w:val="1"/>
          <w:iCs w:val="1"/>
          <w:color w:val="auto"/>
        </w:rPr>
        <w:t xml:space="preserve"> </w:t>
      </w:r>
      <w:r>
        <w:rPr>
          <w:rFonts w:ascii="Arial" w:cs="Arial" w:eastAsia="Arial" w:hAnsi="Arial"/>
          <w:sz w:val="17"/>
          <w:szCs w:val="17"/>
          <w:color w:val="auto"/>
        </w:rPr>
        <w:t>nonstatutory stock options (“NSOs”), stock appreciation rights, restricted stock awards, restricted stock unit awards, performance-based stock awards, and other forms of equity compensation, which are collectively referred to as stock awards. Additionally, the 2019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7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Initially, the aggregate number of shares of our common stock that may be issued pursuant to stock awards under the 2019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29,762,095 shares, which number is the sum of (i) 8,000,000 shares plus (ii) the number of shares reserved, and remaining available for issuance, under our 2011 Plan at the time our 2019 Plan became effective and (iii) the number of shares subject to stock options or other stock awards granted under our 2011 Plan that would have otherwise returned to our 2011 Plan (such as upon the expiration or termination of a stock award prior to vesting). The number of shares of our common stock reserved for issuance under our 2019 Plan will automatically increase on January 1 of each year, beginning on January 1, 2020 and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63" w:lineRule="auto"/>
        <w:rPr>
          <w:sz w:val="20"/>
          <w:szCs w:val="20"/>
          <w:color w:val="auto"/>
        </w:rPr>
      </w:pPr>
      <w:r>
        <w:rPr>
          <w:rFonts w:ascii="Arial" w:cs="Arial" w:eastAsia="Arial" w:hAnsi="Arial"/>
          <w:sz w:val="18"/>
          <w:szCs w:val="18"/>
          <w:color w:val="auto"/>
        </w:rPr>
        <w:t>continuing through and including January 1, 2029, by 5% of the total number of shares of our capital stock outstanding on December 31 of the preceding calendar year, or a lesser number of shares determined by our board of directors. The maximum number of shares that may be issued upon the exercise of ISOs under our 2019 Plan is three times the share reserve, or 89,286,285 shares.</w:t>
      </w:r>
    </w:p>
    <w:p>
      <w:pPr>
        <w:spacing w:after="0" w:line="183"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If a stock award granted under the 2019 Plan expires or otherwise terminates without being exercised in full, or is settled in cash, the shares of our common stock not acquired pursuant to the stock award again will become available for subsequent issuance under the 2019 Plan. In addition, the following types of shares under the 2019 Plan may become available for the grant of new stock awards under the 2019 Plan: (1) shares that are forfeited to or repurchased by us prior to becoming fully vested; (2) shares withheld to satisfy income or employment withholding taxes; or (3) shares used to pay the exercise or purchase price of a stock award. Shares issued under the 2019 Plan may be previously unissued shares or reacquired shares bought by us on the open market.</w:t>
      </w:r>
    </w:p>
    <w:p>
      <w:pPr>
        <w:spacing w:after="0" w:line="19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maximum number of shares of common stock subject to stock awards granted under the 2019 Plan or otherwise during any one calendar year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$900,000.</w:t>
      </w:r>
    </w:p>
    <w:p>
      <w:pPr>
        <w:spacing w:after="0" w:line="191"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thereof, has the authority to administer the 2019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also delegate to one or more of our officers the authority to (1) designate employees (other than other officers) to be recipients of certain stock awards, (2) determine the number of shares of common stock to be subject to such stock awards, and (3) specify the other terms and conditions, including the strike price or purchase price and vesting schedule, applicable to such awards. Subject to the terms of the 2019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7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plan administrator has the authority to modify outstanding stock awards under our 2019 Plan. Subject to the terms of our 2019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evidenced by stock option agreements adopted by the plan administrator. The plan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a stock option, within the terms and conditions of the 2019 Plan, provided that the exercise price of a stock option generally cannot be less than 100% of the fair market value of our common stock on the date of grant. Options granted under the 2019 Plan vest at the rate specified by the plan administrator.</w:t>
      </w:r>
    </w:p>
    <w:p>
      <w:pPr>
        <w:spacing w:after="0" w:line="186"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The plan administrator determines the term of stock options granted under the 2019 Plan, up to a maximum of 10 years. Unless the terms of an option holder’s stock option agreement provide otherwise, if an option holder’s service relationship with us, or any of our affiliates, ceases for any reason other than disability, death, or cause, the option holder may generally exercise any vested options for a period of three months following the cessation of service. The option term will automatically be extended in the event that exercise of the option following such a termination of service is prohibited by applicable securities laws or our insider trading policy. If an option holder’s service relationship with us or any of our affiliates ceases due to disability or death, or an option holder dies within a certain period following cessation of service, the option holder or a beneficiary may generally exercise any vested options for a period of 12 months in the event of disability and 18 months in the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event of death. In the event of a termination for cause, options generally terminate immediately. In no event may an option be exercised beyond the expiration of its term.</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common stock previously owned by the option holder, (4) a net exercise of the option if it is an NSO, and (5) other legal consideration approved by the plan administrator.</w:t>
      </w:r>
    </w:p>
    <w:p>
      <w:pPr>
        <w:spacing w:after="0" w:line="186"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83"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1"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evidenced by restricted stock award agreements adopted by the plan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in consideration for (1) cash, check, bank draft, or money order, (2) services rendered to us or our affiliates, or (3) any other form of legal consideration.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63"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 awards are evidenced by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or for no consideration.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Rights under a restricted stock unit award may be transferred only upon such terms and conditions as set by the plan administrator. Restricted stock unit awards may be subject to vesting as determined by the plan administrator. Except as otherwise provided in the applicable award agreement, restricted stock units that have not vested will be forfeited upon the participant’s cessation of continuous service for any reason.</w:t>
      </w:r>
    </w:p>
    <w:p>
      <w:pPr>
        <w:spacing w:after="0" w:line="190"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are evidenced by stock appreciation grant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strike price for a stock appreciation right, which generally cannot be less than 100% of the fair market value of our common stock on the date of grant. Upon the exercise of a stock appreciation right, we will pay the participant an amount in cash or stock equal to</w:t>
      </w:r>
    </w:p>
    <w:p>
      <w:pPr>
        <w:spacing w:after="0" w:line="2" w:lineRule="exact"/>
        <w:rPr>
          <w:sz w:val="20"/>
          <w:szCs w:val="20"/>
          <w:color w:val="auto"/>
        </w:rPr>
      </w:pPr>
    </w:p>
    <w:p>
      <w:pPr>
        <w:jc w:val="both"/>
        <w:ind w:left="220" w:hanging="10"/>
        <w:spacing w:after="0" w:line="255" w:lineRule="auto"/>
        <w:tabs>
          <w:tab w:leader="none" w:pos="4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excess of the per share fair market value of our common stock on the date of exercise over the strike price, multiplied by (2) the number of shares of common stock with respect to which the stock appreciation right is exercised. A stock appreciation right granted under the 2019 Plan vests at the rate specified in the stock appreciation right agreement as determined by the plan administrator.</w:t>
      </w:r>
    </w:p>
    <w:p>
      <w:pPr>
        <w:spacing w:after="0" w:line="189"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 plan administrator determines the term of stock appreciation rights granted under the 2019 Plan, up to a maximum of 10 years. Unless the terms of a participant’s stock appreciation right agreement provides otherwise,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4" w:lineRule="auto"/>
        <w:rPr>
          <w:sz w:val="20"/>
          <w:szCs w:val="20"/>
          <w:color w:val="auto"/>
        </w:rPr>
      </w:pPr>
      <w:r>
        <w:rPr>
          <w:rFonts w:ascii="Arial" w:cs="Arial" w:eastAsia="Arial" w:hAnsi="Arial"/>
          <w:sz w:val="18"/>
          <w:szCs w:val="18"/>
          <w:color w:val="auto"/>
        </w:rPr>
        <w:t>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83"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2019 Plan permits the grant of performance-based stock and cash awards. The performance goals that may be selected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one or more of the following: (1) earnings (including earnings per share and net earnings); (2) earnings before interest, taxes, and depreciation;</w:t>
      </w:r>
    </w:p>
    <w:p>
      <w:pPr>
        <w:spacing w:after="0" w:line="1" w:lineRule="exact"/>
        <w:rPr>
          <w:sz w:val="20"/>
          <w:szCs w:val="20"/>
          <w:color w:val="auto"/>
        </w:rPr>
      </w:pPr>
    </w:p>
    <w:p>
      <w:pPr>
        <w:ind w:left="480" w:hanging="270"/>
        <w:spacing w:after="0"/>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earnings before interest, taxes, depreciation, and amortization; (4) total stockholder return; (5) return on equity or average stockholder’s equity;</w:t>
      </w:r>
    </w:p>
    <w:p>
      <w:pPr>
        <w:spacing w:after="0" w:line="20" w:lineRule="exact"/>
        <w:rPr>
          <w:rFonts w:ascii="Arial" w:cs="Arial" w:eastAsia="Arial" w:hAnsi="Arial"/>
          <w:sz w:val="17"/>
          <w:szCs w:val="17"/>
          <w:color w:val="auto"/>
        </w:rPr>
      </w:pPr>
    </w:p>
    <w:p>
      <w:pPr>
        <w:jc w:val="both"/>
        <w:ind w:left="220" w:hanging="10"/>
        <w:spacing w:after="0" w:line="281" w:lineRule="auto"/>
        <w:tabs>
          <w:tab w:leader="none" w:pos="499"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return on assets, investment, or capital employed; (7) stock price; (8) margin (including gross margin); (9) income (before or after taxes); (10) operating income; (11) operating income after taxes; (12) pre-tax profit; (13) operating cash flow; (14) 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customer satisfaction; (25) stockholders’ equity; (26) capital expenditures; (27) debt levels; (28) operating profit or net operating profit; (29) workforce diversity;</w:t>
      </w:r>
    </w:p>
    <w:p>
      <w:pPr>
        <w:spacing w:after="0" w:line="2" w:lineRule="exact"/>
        <w:rPr>
          <w:rFonts w:ascii="Arial" w:cs="Arial" w:eastAsia="Arial" w:hAnsi="Arial"/>
          <w:sz w:val="16"/>
          <w:szCs w:val="16"/>
          <w:color w:val="auto"/>
        </w:rPr>
      </w:pPr>
    </w:p>
    <w:p>
      <w:pPr>
        <w:jc w:val="both"/>
        <w:ind w:left="220" w:right="20" w:hanging="10"/>
        <w:spacing w:after="0" w:line="281" w:lineRule="auto"/>
        <w:tabs>
          <w:tab w:leader="none" w:pos="603" w:val="left"/>
        </w:tabs>
        <w:numPr>
          <w:ilvl w:val="0"/>
          <w:numId w:val="80"/>
        </w:numPr>
        <w:rPr>
          <w:rFonts w:ascii="Arial" w:cs="Arial" w:eastAsia="Arial" w:hAnsi="Arial"/>
          <w:sz w:val="16"/>
          <w:szCs w:val="16"/>
          <w:color w:val="auto"/>
        </w:rPr>
      </w:pPr>
      <w:r>
        <w:rPr>
          <w:rFonts w:ascii="Arial" w:cs="Arial" w:eastAsia="Arial" w:hAnsi="Arial"/>
          <w:sz w:val="16"/>
          <w:szCs w:val="16"/>
          <w:color w:val="auto"/>
        </w:rPr>
        <w:t>growth of net income or operating income; (31) billings; (32) implementation or completion of projects or processes; (33) financing; (34) regulatory milestones; (35) stockholder liquidity; (36) corporate governance and compliance; (37) product commercialization; (38) intellectual property;</w:t>
      </w:r>
    </w:p>
    <w:p>
      <w:pPr>
        <w:ind w:left="600" w:hanging="390"/>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personnel matters; (40) progress of internal research or clinical programs; (41) progress of partnered programs; (42) partner satisfaction;</w:t>
      </w:r>
    </w:p>
    <w:p>
      <w:pPr>
        <w:spacing w:after="0" w:line="20" w:lineRule="exact"/>
        <w:rPr>
          <w:rFonts w:ascii="Arial" w:cs="Arial" w:eastAsia="Arial" w:hAnsi="Arial"/>
          <w:sz w:val="17"/>
          <w:szCs w:val="17"/>
          <w:color w:val="auto"/>
        </w:rPr>
      </w:pPr>
    </w:p>
    <w:p>
      <w:pPr>
        <w:jc w:val="both"/>
        <w:ind w:left="220" w:hanging="10"/>
        <w:spacing w:after="0" w:line="267" w:lineRule="auto"/>
        <w:tabs>
          <w:tab w:leader="none" w:pos="583" w:val="left"/>
        </w:tabs>
        <w:numPr>
          <w:ilvl w:val="0"/>
          <w:numId w:val="82"/>
        </w:numPr>
        <w:rPr>
          <w:rFonts w:ascii="Arial" w:cs="Arial" w:eastAsia="Arial" w:hAnsi="Arial"/>
          <w:sz w:val="17"/>
          <w:szCs w:val="17"/>
          <w:color w:val="auto"/>
        </w:rPr>
      </w:pPr>
      <w:r>
        <w:rPr>
          <w:rFonts w:ascii="Arial" w:cs="Arial" w:eastAsia="Arial" w:hAnsi="Arial"/>
          <w:sz w:val="17"/>
          <w:szCs w:val="17"/>
          <w:color w:val="auto"/>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Device Master File(s)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our products and services (including with group purchasing organizations, distributors and other vendors); (56) supply chain achievements (including establishing relationships with manufacturers, suppliers and other services providers of our products and services); (57) co-development, co-marketing, profit sharing, joint venture, or other similar arrangements; (58) individual performance goals; (59) corporate development and planning goals; and (60) other measures of performance selected by our board of directors or any committee thereof.</w:t>
      </w:r>
    </w:p>
    <w:p>
      <w:pPr>
        <w:spacing w:after="0" w:line="184"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3" w:lineRule="auto"/>
        <w:rPr>
          <w:sz w:val="20"/>
          <w:szCs w:val="20"/>
          <w:color w:val="auto"/>
        </w:rPr>
      </w:pPr>
      <w:r>
        <w:rPr>
          <w:rFonts w:ascii="Arial" w:cs="Arial" w:eastAsia="Arial" w:hAnsi="Arial"/>
          <w:sz w:val="16"/>
          <w:szCs w:val="16"/>
          <w:color w:val="auto"/>
        </w:rPr>
        <w:t>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w:t>
      </w:r>
    </w:p>
    <w:p>
      <w:pPr>
        <w:spacing w:after="0" w:line="4" w:lineRule="exact"/>
        <w:rPr>
          <w:sz w:val="20"/>
          <w:szCs w:val="20"/>
          <w:color w:val="auto"/>
        </w:rPr>
      </w:pPr>
    </w:p>
    <w:p>
      <w:pPr>
        <w:jc w:val="both"/>
        <w:ind w:left="220" w:hanging="10"/>
        <w:spacing w:after="0" w:line="253" w:lineRule="auto"/>
        <w:tabs>
          <w:tab w:leader="none" w:pos="5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exclude the goodwill and intangible asset impairment charges that are required to be recorded under generally accepted accounting principles; and (12) to exclude the effect of any other unusual, nonrecurring gain or loss or other extraordinary item. In addition, we retain the discretion to adjust or eliminate the compensation or economic benefit due upon attainment of the goals. The performance goals may differ from participant to participant and from award to award.</w:t>
      </w:r>
    </w:p>
    <w:p>
      <w:pPr>
        <w:spacing w:after="0" w:line="192"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the 2019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9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specified significant corporate transactions, the plan administrator has the discretion to take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stock awards:</w:t>
      </w:r>
    </w:p>
    <w:p>
      <w:pPr>
        <w:spacing w:after="0" w:line="75" w:lineRule="exact"/>
        <w:rPr>
          <w:sz w:val="20"/>
          <w:szCs w:val="20"/>
          <w:color w:val="auto"/>
        </w:rPr>
      </w:pPr>
    </w:p>
    <w:p>
      <w:pPr>
        <w:ind w:left="1080" w:hanging="438"/>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entity or parent company;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the surviving or acquiring entity or parent company;</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 held by us;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in exchange for such cash consideration, if any, as our board of directors may deem appropriate; or</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make a payment equal to the excess of (1) the value of the property the participant would have received upon exercise of the stock award over (2) the exercise price or strike price otherwise payable in connection with the stock award.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plan administrator is not obligated to treat all stock awards, even those that are of the same type, in the same manner.</w:t>
      </w:r>
    </w:p>
    <w:p>
      <w:pPr>
        <w:spacing w:after="0" w:line="225"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Under the 2019 Plan, a significant corporate transaction is generally the consummation of (1) a sale or other disposition of all or substantially all of our consolidated assets, (2) a sale or other disposition of at least 50% of</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63" w:lineRule="auto"/>
        <w:rPr>
          <w:sz w:val="20"/>
          <w:szCs w:val="20"/>
          <w:color w:val="auto"/>
        </w:rPr>
      </w:pPr>
      <w:r>
        <w:rPr>
          <w:rFonts w:ascii="Arial" w:cs="Arial" w:eastAsia="Arial" w:hAnsi="Arial"/>
          <w:sz w:val="18"/>
          <w:szCs w:val="18"/>
          <w:color w:val="auto"/>
        </w:rPr>
        <w:t>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3"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plan administrator may provide, in an individual award agreement or in any other written agreement between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and us, that the stock award will be subject to additional acceleration of vesting and exercisability or settlement in the event of a change in control. Under the 2019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do not own more than 50% of the combined voting power of the surviving entity (or its parent company), (3) a consummated sale, lease or exclusive license or other disposition of all or substantially all of our consolidated assets, and (4) certain dissolutions, liquidations and changes in the board of directors.</w:t>
      </w:r>
    </w:p>
    <w:p>
      <w:pPr>
        <w:spacing w:after="0" w:line="193"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has the authority to amend, suspend, or terminate our 2019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2019 Plan.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Our board of directors adopted the 2019 Employee Stock Purchase Plan (the “ESPP”) in , 2019, and our stockholders approved the ESPP in , 2019. The ESPP will become effective immediately prior to and contingent upon the date of the underwriting agreement related to</w:t>
      </w:r>
    </w:p>
    <w:p>
      <w:pPr>
        <w:spacing w:after="0" w:line="1"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89"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will authorize the issuance of 1,000,000 shares of our common stock pursuant to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common stock reserved for issuance will automatically increase on January 1 of each calendar year, from January 1, 2020 (assuming the ESPP becomes effective in 2019) through January 1, 2029, by the lesser of (1) 1% of the total number of shares of our common stock outstanding on December 31 of the preceding calendar year, and</w:t>
      </w:r>
    </w:p>
    <w:p>
      <w:pPr>
        <w:spacing w:after="0" w:line="1" w:lineRule="exact"/>
        <w:rPr>
          <w:sz w:val="20"/>
          <w:szCs w:val="20"/>
          <w:color w:val="auto"/>
        </w:rPr>
      </w:pPr>
    </w:p>
    <w:p>
      <w:pPr>
        <w:ind w:left="220" w:hanging="10"/>
        <w:spacing w:after="0" w:line="260" w:lineRule="auto"/>
        <w:tabs>
          <w:tab w:leader="none" w:pos="4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2,000,000 shares; </w:t>
      </w:r>
      <w:r>
        <w:rPr>
          <w:rFonts w:ascii="Arial" w:cs="Arial" w:eastAsia="Arial" w:hAnsi="Arial"/>
          <w:sz w:val="18"/>
          <w:szCs w:val="18"/>
          <w:i w:val="1"/>
          <w:iCs w:val="1"/>
          <w:color w:val="auto"/>
        </w:rPr>
        <w:t>provided</w:t>
      </w:r>
      <w:r>
        <w:rPr>
          <w:rFonts w:ascii="Arial" w:cs="Arial" w:eastAsia="Arial" w:hAnsi="Arial"/>
          <w:sz w:val="18"/>
          <w:szCs w:val="18"/>
          <w:color w:val="auto"/>
        </w:rPr>
        <w:t>, that prior to the date of any such increase, our board of directors may determine that such increase will be less than the amount set forth in clauses (1) and (2).</w:t>
      </w:r>
    </w:p>
    <w:p>
      <w:pPr>
        <w:spacing w:after="0" w:line="185"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intends to delegate concurrent authority to administer the ESPP to our compensation committee.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0"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of a share of our common stock on the first trading date of an offering or (b) 85% of the fair market value of a share of our common stock on the date of purchase.</w:t>
      </w:r>
    </w:p>
    <w:p>
      <w:pPr>
        <w:spacing w:after="0" w:line="170"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i w:val="1"/>
          <w:iCs w:val="1"/>
          <w:color w:val="auto"/>
        </w:rPr>
        <w:t xml:space="preserve">Limitations. </w:t>
      </w:r>
      <w:r>
        <w:rPr>
          <w:rFonts w:ascii="Arial" w:cs="Arial" w:eastAsia="Arial" w:hAnsi="Arial"/>
          <w:sz w:val="17"/>
          <w:szCs w:val="17"/>
          <w:color w:val="auto"/>
        </w:rPr>
        <w:t>Employees may have to satisfy one or more of the following service requirements before participating in the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76"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w:t>
      </w:r>
    </w:p>
    <w:p>
      <w:pPr>
        <w:spacing w:after="0" w:line="35" w:lineRule="exact"/>
        <w:rPr>
          <w:sz w:val="20"/>
          <w:szCs w:val="20"/>
          <w:color w:val="auto"/>
        </w:rPr>
      </w:pPr>
    </w:p>
    <w:p>
      <w:pPr>
        <w:jc w:val="both"/>
        <w:ind w:left="220" w:hanging="10"/>
        <w:spacing w:after="0" w:line="251" w:lineRule="auto"/>
        <w:tabs>
          <w:tab w:leader="none" w:pos="5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sale or disposition of 50% of our outstanding securities, (3) the consummation of a merger or consolidation where we do not survive the transactions,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w:t>
      </w:r>
    </w:p>
    <w:p>
      <w:pPr>
        <w:spacing w:after="0" w:line="19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Our board of directors adopted our 2011 Plan in October 2011, and our stockholders approved our 2011 Plan in November 2011. Our 2011 Plan has been periodically amended, most recently in February 2019. Our 2011 Plan will be terminated prior to the closing of this offering, and thereafter we will not grant any additional awards under our 2011 Plan. However, our 2011 Plan will continue to govern the terms and conditions of the outstanding awards previously granted thereunder, which include options and restricted stock awards.</w:t>
      </w:r>
    </w:p>
    <w:p>
      <w:pPr>
        <w:spacing w:after="0" w:line="186"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March 31, 2019, stock options covering 17,527,536 shares with a weighted-average exercise price of $0.9049 per share were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and 4,275,198 shares of our common stock remained available for the future grant of awards under our 2011 Plan. Any shares of our common stock remaining available for issuance under our 2011 Plan at the time our 2019 Plan becomes effective will become available for issuance under our 2019 Plan. In addition, any shares subject to options that expire or terminate prior to exercise or are withheld to satisfy tax withholding obligations with respect to or the exercise price of an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option, and any shares of restricted stock that are forfeited to or repurchased by us due to failure to vest, will be added to the number of shares then available for issuance under our 2019 Plan.</w:t>
      </w:r>
    </w:p>
    <w:p>
      <w:pPr>
        <w:spacing w:after="0" w:line="170"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delegated by our board of directors administers our 2011 Plan. Subject to the terms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2011 Plan, the administrator has the power to, among other things, determine who will be granted awards, to determine the terms and conditions of each award (including the number of shares, exercise price, if any, and any vesting conditions), to lower or reduce the exercise price of outstanding options, to accelerate the time(s) when an award may vest or be exercised, and to construe and interpret the terms of our 2011 Plan and awards granted thereunder.</w:t>
      </w:r>
    </w:p>
    <w:p>
      <w:pPr>
        <w:spacing w:after="0" w:line="15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i w:val="1"/>
          <w:iCs w:val="1"/>
          <w:color w:val="auto"/>
        </w:rPr>
        <w:t>Options and Restricted Stock</w:t>
      </w:r>
      <w:r>
        <w:rPr>
          <w:rFonts w:ascii="Arial" w:cs="Arial" w:eastAsia="Arial" w:hAnsi="Arial"/>
          <w:sz w:val="18"/>
          <w:szCs w:val="18"/>
          <w:color w:val="auto"/>
        </w:rPr>
        <w:t>. Options and restricted stock granted under our 2011 Plan are subject to terms and conditions generally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described above with respect to options and restricted stock that may be granted under our 2019 Plan.</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the 2011 Plan, (2) the class and maximum number of shares that may be issued upon the exercise of ISOs, and (3) the class and number of shares and price per share, if applicable, of all outstanding awards.</w:t>
      </w:r>
    </w:p>
    <w:p>
      <w:pPr>
        <w:spacing w:after="0" w:line="18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specified significant corporate transactions, the administrator has the discretion to take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actions with respect to awards:</w:t>
      </w:r>
    </w:p>
    <w:p>
      <w:pPr>
        <w:spacing w:after="0" w:line="75" w:lineRule="exact"/>
        <w:rPr>
          <w:sz w:val="20"/>
          <w:szCs w:val="20"/>
          <w:color w:val="auto"/>
        </w:rPr>
      </w:pPr>
    </w:p>
    <w:p>
      <w:pPr>
        <w:ind w:left="1080" w:hanging="438"/>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an award by a surviving or acquiring entity or parent company;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the surviving or acquiring entity or parent company;</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of the award and provide for its termination prior to the effective time of the corporate transaction;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 held by us;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in exchange for such cash consideration, if any, as our board of directors may deem appropriate; or</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make a payment equal to the excess of (1) the value of the property the participant would have received upon exercise of the award over</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 the exercise price payable in connection with the award.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administrator is not obligated to treat all awards, even those that are of the same type, in the same manner.</w:t>
      </w:r>
    </w:p>
    <w:p>
      <w:pPr>
        <w:spacing w:after="0" w:line="22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Under our 2011 Plan, a significant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9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The administrator may provide, in an individual award agreement or in any other written agreement between a participant and</w:t>
      </w:r>
      <w:r>
        <w:rPr>
          <w:rFonts w:ascii="Arial" w:cs="Arial" w:eastAsia="Arial" w:hAnsi="Arial"/>
          <w:sz w:val="17"/>
          <w:szCs w:val="17"/>
          <w:i w:val="1"/>
          <w:iCs w:val="1"/>
          <w:color w:val="auto"/>
        </w:rPr>
        <w:t xml:space="preserve"> </w:t>
      </w:r>
      <w:r>
        <w:rPr>
          <w:rFonts w:ascii="Arial" w:cs="Arial" w:eastAsia="Arial" w:hAnsi="Arial"/>
          <w:sz w:val="17"/>
          <w:szCs w:val="17"/>
          <w:color w:val="auto"/>
        </w:rPr>
        <w:t>us that the award will be subject to additional acceleration of vesting and exercisability upon or after a change in control. Under our 2011 Plan, a change in control is generally (1) the acquisition by a person or entity of more than 50% of our combined voting power other than by merger, consolidation or similar transaction, (2) a consummated merger, consolidation or similar transaction immediately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after which our stockholders do not own more than 50% of the combined voting power of the surviving entity (or its parent company), (3) a consummated sale, lease or exclusive license or other disposition of all or substantially all of our consolidated assets, and (4) certain changes in our board of directors.</w:t>
      </w:r>
    </w:p>
    <w:p>
      <w:pPr>
        <w:spacing w:after="0" w:line="183"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may amend, alter, suspend or terminate our 2011 Plan at any time,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to the extent required by applicable law. No amendment to our 2011 Plan may impair the rights of any award holder unless mutually agreed otherwise between the award holder and us. As discussed above, we will terminate our 2011 Plan prior to the closing of this offering and no new awards will be granted thereunder following such termination.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0" w:lineRule="exact"/>
        <w:rPr>
          <w:sz w:val="20"/>
          <w:szCs w:val="20"/>
          <w:color w:val="auto"/>
        </w:rPr>
      </w:pPr>
    </w:p>
    <w:p>
      <w:pPr>
        <w:ind w:left="1080" w:hanging="438"/>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2016 and each currently proposed transaction in which:</w:t>
      </w:r>
    </w:p>
    <w:p>
      <w:pPr>
        <w:spacing w:after="0" w:line="75" w:lineRule="exact"/>
        <w:rPr>
          <w:sz w:val="20"/>
          <w:szCs w:val="20"/>
          <w:color w:val="auto"/>
        </w:rPr>
      </w:pPr>
    </w:p>
    <w:p>
      <w:pPr>
        <w:ind w:left="1080" w:hanging="438"/>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hanging="438"/>
        <w:spacing w:after="0" w:line="307"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Convertible Promissory Note Financing</w:t>
      </w:r>
    </w:p>
    <w:p>
      <w:pPr>
        <w:spacing w:after="0" w:line="121"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In June 2017, our board of directors approved and we sold and issued $12,225,000 principal amount of convertible promissory notes to certain investors, including certain holders of more than 5% of our outstanding capital stock as set forth in the table below. The convertible promissory notes carried an 8% interest rate per annum. The notes were amended with the consent of Lightspeed Venture Partners VIII, L.P. and Abingworth Bioventures V, LP in May 2018 and August 2018. Pursuant to these amendments, in September 2018, the outstanding principal balance of and unpaid accrued interest on the notes converted into an aggregate total of 6,671,990 shares of our Series C redeemable convertible preferred stock at a price per share of $2.013, including a total of 2,728,836 shares that were issued to certain holders of more than 5% of our outstanding capital stock as set forth in the table below.</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Stockholder</w:t>
            </w:r>
          </w:p>
        </w:tc>
        <w:tc>
          <w:tcPr>
            <w:tcW w:w="8160" w:type="dxa"/>
            <w:vAlign w:val="bottom"/>
            <w:vMerge w:val="restart"/>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Amount of</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122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2"/>
              </w:rPr>
              <w:t>Notes</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Lightspeed Venture Partners</w:t>
            </w:r>
            <w:r>
              <w:rPr>
                <w:rFonts w:ascii="Arial" w:cs="Arial" w:eastAsia="Arial" w:hAnsi="Arial"/>
                <w:sz w:val="15"/>
                <w:szCs w:val="15"/>
                <w:color w:val="auto"/>
              </w:rPr>
              <w:t>(1)(2)</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$ 2,179,000</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1,189,227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Abingworth Bioventures V LP</w:t>
            </w:r>
            <w:r>
              <w:rPr>
                <w:rFonts w:ascii="Arial" w:cs="Arial" w:eastAsia="Arial" w:hAnsi="Arial"/>
                <w:sz w:val="15"/>
                <w:szCs w:val="15"/>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1,886,500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1,029,590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MDV IX, L.P., as nominee for itself and MDV ENF IX, L.P.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hanging="430"/>
        <w:spacing w:after="0" w:line="258"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Entities associated with Lightspeed Venture Partners holding our securities whose shares are aggregated for purposes of reporting share ownership information are Lightspeed Venture Partners Select, L.P. and Lightspeed Venture Partners VIII, L.P.</w:t>
      </w:r>
    </w:p>
    <w:p>
      <w:pPr>
        <w:spacing w:after="0" w:line="1" w:lineRule="exact"/>
        <w:rPr>
          <w:rFonts w:ascii="Arial" w:cs="Arial" w:eastAsia="Arial" w:hAnsi="Arial"/>
          <w:sz w:val="18"/>
          <w:szCs w:val="18"/>
          <w:color w:val="auto"/>
        </w:rPr>
      </w:pPr>
    </w:p>
    <w:p>
      <w:pPr>
        <w:ind w:left="640" w:right="20" w:hanging="430"/>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Christopher Schaepe, a member of our board of directors until his resignation on March 21, 2019, was a general partner at Lightspeed Venture Partners at the time of these transactions.</w:t>
      </w:r>
    </w:p>
    <w:p>
      <w:pPr>
        <w:ind w:left="640" w:right="20" w:hanging="430"/>
        <w:spacing w:after="0" w:line="26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Vincent Miles, Ph.D., a member of our board of directors until his resignation on May 1, 2019, is a general partner at Abingworth Bioventures V LP.</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We are party to an amended and restated investor rights agreement (the “IRA”) with certain holders of our capital stock, including the holders of more than 5% of our outstanding capital stock, such as Lightspeed Venture Partners VIII, L.P., Lightspeed Venture Partners Select, L.P., Abingworth Bioventures V LP, MDV IX, L.P. and its affiliates, and certain affiliates of The Board of Trustees of the Leland Stanford Junior University. The IRA provides the holders of our redeemable convertible preferred stock with certain registration rights, including the right to demand that we file a registration statement or request that their shares be covered by a registration statement that we are otherwise filing. The IRA also provides these stockholders with information rights, which will terminate on the closing of this offering, and a right of first refusal with regard to certain issuances of our capital stock, which will not apply to the shares issued pursuant to this offering and which will terminate on the closing of this offering. After the closing of this offering, the holders of up to an aggregate of 75,163,941 shares of our common stock (including an aggregate of 510,393 shares issuable upon the exercise of warrants that were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7" w:lineRule="auto"/>
        <w:rPr>
          <w:sz w:val="20"/>
          <w:szCs w:val="20"/>
          <w:color w:val="auto"/>
        </w:rPr>
      </w:pPr>
      <w:r>
        <w:rPr>
          <w:rFonts w:ascii="Arial" w:cs="Arial" w:eastAsia="Arial" w:hAnsi="Arial"/>
          <w:sz w:val="18"/>
          <w:szCs w:val="18"/>
          <w:color w:val="auto"/>
        </w:rPr>
        <w:t>outstanding as of March 31, 2019)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the holders of more than 5% of our outstanding capital stock, such as Lightspeed Venture Partners VIII, L.P., Lightspeed Venture Partners Select, L.P., Abingworth Bioventures V LP, MDV IX, L.P. and its affiliates, and certain affiliates of The Board of Trustees of the Leland Stanford Junior University, have agreed as to the manner in which they will vote their shares of our capital stock on certain matters, including with respect to the election of directors. Upon the closing of this offering, the amended and restated voting agreement will terminate, and none of our stockholders will have any special rights regarding the election or designation of members of our board of directors.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w:t>
      </w:r>
    </w:p>
    <w:p>
      <w:pPr>
        <w:spacing w:after="0" w:line="191"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Prior to the closing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20" w:right="20" w:firstLine="440"/>
        <w:spacing w:after="0" w:line="341" w:lineRule="auto"/>
        <w:rPr>
          <w:sz w:val="20"/>
          <w:szCs w:val="20"/>
          <w:color w:val="auto"/>
        </w:rPr>
      </w:pPr>
      <w:r>
        <w:rPr>
          <w:rFonts w:ascii="Arial" w:cs="Arial" w:eastAsia="Arial" w:hAnsi="Arial"/>
          <w:sz w:val="16"/>
          <w:szCs w:val="16"/>
          <w:color w:val="auto"/>
        </w:rPr>
        <w:t>The following table sets forth information with respect to the beneficial ownership of our capital stock as of March 31, 2019, as adjusted to reflect the sale of our common stock offered by us in this offering assuming no exercise of the underwriters’ option to purchase additional shares, for:</w:t>
      </w:r>
    </w:p>
    <w:p>
      <w:pPr>
        <w:spacing w:after="0" w:line="30" w:lineRule="exact"/>
        <w:rPr>
          <w:sz w:val="20"/>
          <w:szCs w:val="20"/>
          <w:color w:val="auto"/>
        </w:rPr>
      </w:pPr>
    </w:p>
    <w:p>
      <w:pPr>
        <w:ind w:left="1080" w:hanging="438"/>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6"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Applicable percentage ownership before the offering is based on 87,318,814 shares of common stock outstanding as of March 31, 2019, assuming the automatic conversion of all outstanding shares of our redeemable convertible preferred stock into shares of common stock upon the closing of this offering and assuming the exercise of a warrant to purchase 754,573 shares of our common stock. Applicable percentage ownership after the offering is</w:t>
      </w:r>
    </w:p>
    <w:p>
      <w:pPr>
        <w:spacing w:after="0" w:line="2" w:lineRule="exact"/>
        <w:rPr>
          <w:sz w:val="20"/>
          <w:szCs w:val="20"/>
          <w:color w:val="auto"/>
        </w:rPr>
      </w:pPr>
    </w:p>
    <w:p>
      <w:pPr>
        <w:jc w:val="both"/>
        <w:ind w:left="220"/>
        <w:spacing w:after="0" w:line="295" w:lineRule="auto"/>
        <w:rPr>
          <w:sz w:val="20"/>
          <w:szCs w:val="20"/>
          <w:color w:val="auto"/>
        </w:rPr>
      </w:pPr>
      <w:r>
        <w:rPr>
          <w:rFonts w:ascii="Arial" w:cs="Arial" w:eastAsia="Arial" w:hAnsi="Arial"/>
          <w:sz w:val="16"/>
          <w:szCs w:val="16"/>
          <w:color w:val="auto"/>
        </w:rPr>
        <w:t>based on shares of common stock outstanding immediately after the closing of this offering, assuming no exercise by 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March 31, 2019. However, except as described above, we did not deem such shares outstanding for the purpose of computing the percentage ownership of any other person.</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firstLine="440"/>
        <w:spacing w:after="0" w:line="311" w:lineRule="auto"/>
        <w:rPr>
          <w:sz w:val="20"/>
          <w:szCs w:val="20"/>
          <w:color w:val="auto"/>
        </w:rPr>
      </w:pPr>
      <w:r>
        <w:rPr>
          <w:rFonts w:ascii="Arial" w:cs="Arial" w:eastAsia="Arial" w:hAnsi="Arial"/>
          <w:sz w:val="16"/>
          <w:szCs w:val="16"/>
          <w:color w:val="auto"/>
        </w:rPr>
        <w:t>Unless otherwise indicated, the address of each beneficial owner listed below is c/o Personalis, Inc., 1330 O’Brien Drive, Menlo Park, California 94025.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92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1"/>
              </w:rPr>
              <w:t>Shares Beneficially</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2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5"/>
              </w:rPr>
              <w:t>Owned Prior to Offering</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6"/>
              </w:rPr>
              <w:t>After Offering</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15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86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Stockholders</w:t>
            </w:r>
          </w:p>
        </w:tc>
        <w:tc>
          <w:tcPr>
            <w:tcW w:w="8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Entities affiliated with Lightspeed Venture Partners</w:t>
            </w:r>
            <w:r>
              <w:rPr>
                <w:rFonts w:ascii="Arial" w:cs="Arial" w:eastAsia="Arial" w:hAnsi="Arial"/>
                <w:sz w:val="15"/>
                <w:szCs w:val="15"/>
                <w:color w:val="auto"/>
              </w:rPr>
              <w:t>(1)</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24,305,980</w:t>
            </w:r>
          </w:p>
        </w:tc>
        <w:tc>
          <w:tcPr>
            <w:tcW w:w="3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27.8%</w:t>
            </w:r>
          </w:p>
        </w:tc>
        <w:tc>
          <w:tcPr>
            <w:tcW w:w="640" w:type="dxa"/>
            <w:vAlign w:val="bottom"/>
          </w:tcPr>
          <w:p>
            <w:pPr>
              <w:spacing w:after="0"/>
              <w:rPr>
                <w:sz w:val="18"/>
                <w:szCs w:val="18"/>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Abingworth Bioventures V LP</w:t>
            </w:r>
            <w:r>
              <w:rPr>
                <w:rFonts w:ascii="Arial" w:cs="Arial" w:eastAsia="Arial" w:hAnsi="Arial"/>
                <w:sz w:val="15"/>
                <w:szCs w:val="15"/>
                <w:color w:val="auto"/>
              </w:rPr>
              <w:t>(2)</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21,797,178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25.0%</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Entities affiliated with MDV</w:t>
            </w:r>
            <w:r>
              <w:rPr>
                <w:rFonts w:ascii="Arial" w:cs="Arial" w:eastAsia="Arial" w:hAnsi="Arial"/>
                <w:sz w:val="15"/>
                <w:szCs w:val="15"/>
                <w:color w:val="auto"/>
              </w:rPr>
              <w:t>(3)</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10,423,367</w:t>
            </w:r>
          </w:p>
        </w:tc>
        <w:tc>
          <w:tcPr>
            <w:tcW w:w="3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12.0%</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The Board of Trustees of the Leland</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Stanford Junior University</w:t>
            </w:r>
            <w:r>
              <w:rPr>
                <w:rFonts w:ascii="Arial" w:cs="Arial" w:eastAsia="Arial" w:hAnsi="Arial"/>
                <w:sz w:val="15"/>
                <w:szCs w:val="15"/>
                <w:color w:val="auto"/>
              </w:rPr>
              <w:t>(4)</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5,708,886</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John West</w:t>
            </w:r>
            <w:r>
              <w:rPr>
                <w:rFonts w:ascii="Arial" w:cs="Arial" w:eastAsia="Arial" w:hAnsi="Arial"/>
                <w:sz w:val="15"/>
                <w:szCs w:val="15"/>
                <w:color w:val="auto"/>
              </w:rPr>
              <w:t>(5)</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6,461,082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Richard Chen, M.D., M.S.</w:t>
            </w:r>
            <w:r>
              <w:rPr>
                <w:rFonts w:ascii="Arial" w:cs="Arial" w:eastAsia="Arial" w:hAnsi="Arial"/>
                <w:sz w:val="15"/>
                <w:szCs w:val="15"/>
                <w:color w:val="auto"/>
              </w:rPr>
              <w:t>(6)</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1,757,207</w:t>
            </w:r>
          </w:p>
        </w:tc>
        <w:tc>
          <w:tcPr>
            <w:tcW w:w="3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Clinton Musil</w:t>
            </w:r>
            <w:r>
              <w:rPr>
                <w:rFonts w:ascii="Arial" w:cs="Arial" w:eastAsia="Arial" w:hAnsi="Arial"/>
                <w:sz w:val="15"/>
                <w:szCs w:val="15"/>
                <w:color w:val="auto"/>
              </w:rPr>
              <w:t>(7)</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204,671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Patrick Balthrop</w:t>
            </w:r>
            <w:r>
              <w:rPr>
                <w:rFonts w:ascii="Arial" w:cs="Arial" w:eastAsia="Arial" w:hAnsi="Arial"/>
                <w:sz w:val="15"/>
                <w:szCs w:val="15"/>
                <w:color w:val="auto"/>
              </w:rPr>
              <w:t>(8)</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191,666</w:t>
            </w:r>
          </w:p>
        </w:tc>
        <w:tc>
          <w:tcPr>
            <w:tcW w:w="34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 Blaine Bowman</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Alan Colowick, M.D.</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Kenneth Ludlum</w:t>
            </w:r>
            <w:r>
              <w:rPr>
                <w:rFonts w:ascii="Arial" w:cs="Arial" w:eastAsia="Arial" w:hAnsi="Arial"/>
                <w:sz w:val="15"/>
                <w:szCs w:val="15"/>
                <w:color w:val="auto"/>
              </w:rPr>
              <w:t>(9)</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Jonathan MacQuitty, Ph.D.</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Paul Ricci</w:t>
            </w:r>
            <w:r>
              <w:rPr>
                <w:rFonts w:ascii="Arial" w:cs="Arial" w:eastAsia="Arial" w:hAnsi="Arial"/>
                <w:sz w:val="15"/>
                <w:szCs w:val="15"/>
                <w:color w:val="auto"/>
              </w:rPr>
              <w:t>(10)</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2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(11)</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31,111,804</w:t>
            </w:r>
          </w:p>
        </w:tc>
        <w:tc>
          <w:tcPr>
            <w:tcW w:w="340" w:type="dxa"/>
            <w:vAlign w:val="bottom"/>
          </w:tcPr>
          <w:p>
            <w:pPr>
              <w:spacing w:after="0"/>
              <w:rPr>
                <w:sz w:val="20"/>
                <w:szCs w:val="20"/>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33.0%</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4" w:lineRule="exact"/>
        <w:rPr>
          <w:sz w:val="20"/>
          <w:szCs w:val="20"/>
          <w:color w:val="auto"/>
        </w:rPr>
      </w:pPr>
    </w:p>
    <w:p>
      <w:pPr>
        <w:ind w:left="640" w:hanging="430"/>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jc w:val="both"/>
        <w:ind w:left="640" w:hanging="430"/>
        <w:spacing w:after="0" w:line="264"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(i) 16,471,075 shares held of record by Lightspeed Venture Partners VIII, L.P. (“Lightspeed VIII”) and (ii) 7,834,905 shares held of record by Lightspeed Venture Partners Select, L.P. (“Lightspeed Select”). Lightspeed General Partner VIII, L.P. (“Lightspeed GP”) is the general partner of Lightspeed VIII. Lightspeed Ultimate General Partner VIII, Ltd. (“Lightspeed UGP”) is the general partner of Lightspeed GP. Barry Eggers, Ravi Mhatre, and Peter Nieh are the directors of Lightspeed UGP and share voting and dispositive power with respect to the shares held by Lightspeed VIII. Lightspeed General Partner Select, L.P. (“Lightspeed Select GP”) is the general partner of Lightspeed Select. Lightspeed Ultimate General Partner Select, Ltd. (“Lightspeed Select UGP”) is the general partner of Lightspeed Select GP. Barry Eggers, Jeremy Liew, Ravi Mhatre, and Peter Nieh are the directors of Lightspeed Select UGP and share voting and dispositive power with respect to the shares held by Lightspeed Select GP. The address for these entities is 2200 Sand Hill Road, Menlo Park, California 94025.</w:t>
      </w:r>
    </w:p>
    <w:p>
      <w:pPr>
        <w:spacing w:after="0" w:line="6" w:lineRule="exact"/>
        <w:rPr>
          <w:rFonts w:ascii="Arial" w:cs="Arial" w:eastAsia="Arial" w:hAnsi="Arial"/>
          <w:sz w:val="17"/>
          <w:szCs w:val="17"/>
          <w:color w:val="auto"/>
        </w:rPr>
      </w:pPr>
    </w:p>
    <w:p>
      <w:pPr>
        <w:jc w:val="both"/>
        <w:ind w:left="640" w:hanging="430"/>
        <w:spacing w:after="0" w:line="268"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(i) 21,042,605 shares held of record by Abingworth Bioventures V, LP (“ABV V”) and Abingworth LLP (“ALLP”), the investment manager of ABV V, and (ii) 754,573 shares subject to a warrant exercisable within 60 days of March 14, 2019. Abingworth Bioventures V GP LP, a Scottish limited partnership (“ABV GP”), serves as the general partner of ABV V. Abingworth Bioventures V GP Limited, an English company (“ABV GP Limited”), serves as the general partner of ABV GP. ABV GP has delegated to ALLP all investment and dispositive power over the securities held by ABV V. An investment committee of Abingworth, composed of Timothy J. Haines, Genghis Lloyd-Harris, Kurt von Emster, Shelley Chu, and Stephen W. Bunting, approves investment and voting decisions by a majority vote, and no individual member has the sole control or voting power over the securities held by ABV V. Each of ABV GP, ABV GP Limited, ALLP, Timothy J. Haines, Genghis Lloyd-Harris, Kurt von Emster, Shelley Chu, and Stephen W. Bunting disclaims beneficial ownership of the securities held by ABV V. The address for these entities is 38 Jermyn Street, London SW1Y 6DN, United Kingdom.</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40" w:hanging="430"/>
        <w:spacing w:after="0" w:line="268" w:lineRule="auto"/>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(i) 9,832,841 shares held of record by MDV IX, L.P. (“MDV IX”), (ii) 80,507 shares held of record by MDV ENF IX, L.P. (“ENF IX”), and (iii) 510,019 shares held of record by MDV IX, L.P., as nominee for MDV IX, L.P. and MDV ENF IX, L.P. (“IX Funds”). Ninth MDV, LLC is the general partner of each of MDV IX, ENF IX, and IX Funds. Jonathan Feiber and William Ericson are the managing members of Ninth MDV, LLC, and either are deemed to have sole voting and dispositive power with respect to the shares held by MDV IX, ENF IX, and IX Funds. The address for these entities is 777 Mariners Island Boulevard, Suite 550, San Mateo, California 94404.</w:t>
      </w:r>
    </w:p>
    <w:p>
      <w:pPr>
        <w:spacing w:after="0" w:line="2" w:lineRule="exact"/>
        <w:rPr>
          <w:rFonts w:ascii="Arial" w:cs="Arial" w:eastAsia="Arial" w:hAnsi="Arial"/>
          <w:sz w:val="17"/>
          <w:szCs w:val="17"/>
          <w:color w:val="auto"/>
        </w:rPr>
      </w:pPr>
    </w:p>
    <w:p>
      <w:pPr>
        <w:jc w:val="both"/>
        <w:ind w:left="640" w:hanging="430"/>
        <w:spacing w:after="0" w:line="281" w:lineRule="auto"/>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(i) 50,527 shares held of record by The Board of Trustees of the Leland Stanford Junior University (DAPER I) (“DAPER”), (ii) 395,534 shares held of record by The Board of Trustees of the Leland Stanford Junior University (OTL) (“OTL”), (iii) 5,212,298 shares held of record by The Board of Trustees of the Leland Stanford Junior University (PVF) (“PVF”), and (iv) 50,527 shares held of record by The Board of Trustees of the Leland Stanford Junior University (SBST) (“SBST”). The Board of Trustees of the Leland Stanford Junior University is the sole beneficiary of the shares held by DAPER, OTL, PVF and SBST. The address for these entities is 635 Knight Way, Stanford, California 94305.</w:t>
      </w:r>
    </w:p>
    <w:p>
      <w:pPr>
        <w:spacing w:after="0" w:line="2" w:lineRule="exact"/>
        <w:rPr>
          <w:rFonts w:ascii="Arial" w:cs="Arial" w:eastAsia="Arial" w:hAnsi="Arial"/>
          <w:sz w:val="16"/>
          <w:szCs w:val="16"/>
          <w:color w:val="auto"/>
        </w:rPr>
      </w:pPr>
    </w:p>
    <w:p>
      <w:pPr>
        <w:ind w:left="640" w:hanging="430"/>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(i) 2,000,000 shares held of record by Mr. West and (ii) 4,461,082 shares subject to options exercisable within 60 days of March 31, 2019.</w:t>
      </w:r>
    </w:p>
    <w:p>
      <w:pPr>
        <w:ind w:left="640" w:hanging="430"/>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(i) 100,000 shares held of record by Dr. Chen and (ii) 1,657,207 shares subject to options exercisable within 60 days of March 31, 2019.</w:t>
      </w:r>
    </w:p>
    <w:p>
      <w:pPr>
        <w:ind w:left="640" w:hanging="430"/>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204,671 shares subject to an option, which shares vest and become exercisable upon the closing of this offering, which will occur within 60 days of March 31, 2019.</w:t>
      </w:r>
    </w:p>
    <w:p>
      <w:pPr>
        <w:ind w:left="640" w:hanging="430"/>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(i) 54,167 shares held of record by Patrick Balthrop and Mariteres Balthrop Trust, for which Mr. Balthrop is a trustee, and (ii) 137,499 shares subject to options exercisable within 60 days of March 31, 2019.</w:t>
      </w:r>
    </w:p>
    <w:p>
      <w:pPr>
        <w:ind w:left="640" w:right="20" w:hanging="430"/>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(i) 183,333 shares held of record by Mr. Ludlum and (ii) 16,667 shares subject to options exercisable within 60 days of March 31, 2019.</w:t>
      </w:r>
    </w:p>
    <w:p>
      <w:pPr>
        <w:ind w:left="640" w:hanging="43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500,000 shares subject to options exercisable within 60 days of March 31, 2019.</w:t>
      </w:r>
    </w:p>
    <w:p>
      <w:pPr>
        <w:spacing w:after="0" w:line="8" w:lineRule="exact"/>
        <w:rPr>
          <w:rFonts w:ascii="Arial" w:cs="Arial" w:eastAsia="Arial" w:hAnsi="Arial"/>
          <w:sz w:val="18"/>
          <w:szCs w:val="18"/>
          <w:color w:val="auto"/>
        </w:rPr>
      </w:pPr>
    </w:p>
    <w:p>
      <w:pPr>
        <w:ind w:left="640" w:hanging="430"/>
        <w:spacing w:after="0" w:line="289" w:lineRule="auto"/>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(i) 23,380,105 shares held by our current directors and executive officers, (ii) 754,573 shares subject to a warrant exercisable within 60 days of March 31, 2019, and (iii) 6,977,126 shares subject to options exercisable within 60 days of March 31, 2019.</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upon the closing of this offering, the IRA, and relevant provisions of the Delaware General Corporation Law (the “DGCL”). The descriptions herein are qualified in their entirety by our amended and restated certificate of incorporation, amended and restated bylaws, and the IRA, copies of which have been filed as exhibits to the registration statement of which this prospectus is a part, as well as the relevant provisions of the DGCL.</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Upon the closing of this offering, our authorized capital stock will consist of 210,000,000 shares, all with a par value of $0.0001 per share, of which:</w:t>
      </w:r>
    </w:p>
    <w:p>
      <w:pPr>
        <w:spacing w:after="0" w:line="75" w:lineRule="exact"/>
        <w:rPr>
          <w:sz w:val="20"/>
          <w:szCs w:val="20"/>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As of March 31, 2019, there were 87,318,814 shares of our common stock outstanding and held of record by 184 stockholders, assuming the automatic conversion of all outstanding shares of our preferred stock into shares of common stock, which will automatically occur immediately prior to the closing of this offering.</w:t>
      </w:r>
    </w:p>
    <w:p>
      <w:pPr>
        <w:spacing w:after="0" w:line="183"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preferences that may be applicable to any then-outstanding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All authorized but unissued shares of our common stock will be available for issuance by our board of directors without any further stockholder action, except as required by the listing standards of Nasdaq. The rights, preferences, and privileges of holders of common stock are subject to and may be adversely affected by the rights of the holders of shares of any series of preferred stock that we may designate and issue in the future.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As of March 31, 2019, there were 73,898,975 shares of redeemable convertible preferred stock outstanding. Immediately upon the closing of this offering, each outstanding share of redeemable convertible preferred stock will convert into one share of common stock, and no shares of preferred stock will be outstanding.</w:t>
      </w:r>
    </w:p>
    <w:p>
      <w:pPr>
        <w:spacing w:after="0" w:line="183"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Upon the closing of this offering, our board of directors may, without further action by our stockholders, fix the rights, preferences, privileges and restrictions of up to an aggregate of 10,000,000 shares of redeemable convertible preferred stock in one or more series and authorize their issuance. These rights, preferences, and privileges could include dividend rights, conversion rights, voting rights, terms of redemption, liquidation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9" w:lineRule="auto"/>
        <w:rPr>
          <w:sz w:val="20"/>
          <w:szCs w:val="20"/>
          <w:color w:val="auto"/>
        </w:rPr>
      </w:pPr>
      <w:r>
        <w:rPr>
          <w:rFonts w:ascii="Arial" w:cs="Arial" w:eastAsia="Arial" w:hAnsi="Arial"/>
          <w:sz w:val="17"/>
          <w:szCs w:val="17"/>
          <w:color w:val="auto"/>
        </w:rPr>
        <w:t>preferences, sinking fund terms, and the number of shares constituting any series or the designation of such series, any or all of which may be greater than the rights of our common stock. The issuance of our redeemable convertible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As of March 31, 2019, we had outstanding options under our equity compensation plans to purchase an aggregate of 17,527,536 shares of our common stock with a weighted-average exercise price of $0.9049 per share.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As of March 31, 2019, we had two outstanding warrants to purchase an aggregate of up to 1,016,581 shares of our common stock with a weighted-average exercise price of $0.5976 per share.</w:t>
      </w:r>
    </w:p>
    <w:p>
      <w:pPr>
        <w:spacing w:after="0" w:line="170"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As of March 31, 2019, we had two outstanding warrants to purchase an aggregate of up to 338,341 shares of our preferred stock with a weighted-average exercise price of $1.7836 per share. One such warrant provides for automatic, cashless exercise prior to its expiration date on September 25, 2024 under certain circumstances. Unless earlier exercised, the other warrant will expire upon the later of (i) June 28, 2024 or (ii) five years after the closing of this offering. Upon the closing of this offering and unless earlier exercised, both of these warrants will together become exercisable for up to 338,341 shares of our common stock with a weighted-average exercise price of $1.7836 per share.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are party to an IRA that provides that certain stockholders, including certain holders of at least 5%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pursuant to the demand, piggyback, and Form S-3 registration rights described below.</w:t>
      </w:r>
    </w:p>
    <w:p>
      <w:pPr>
        <w:spacing w:after="0" w:line="19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three years after the closing of this offering, of which this prospectus is a part, or with respect to any particular stockholder, at such time after the closing of this offering that such stockholder holds less than 1% of our outstanding common stock and such stockholder can sell all of its shares entitled to registration rights under Rule 144 of the Securities Act during any 90-day period.</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holders of up to an aggregate of 74,901,933 shares of our common stock (including 248,385 shares issuable upon the exercise of a warrant that was outstanding as of March 31, 2019) will be entitled to certain demand registration rights. At any time beginning 180 days after the closing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$20 million.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20" w:firstLine="440"/>
        <w:spacing w:after="0" w:line="288" w:lineRule="auto"/>
        <w:rPr>
          <w:sz w:val="20"/>
          <w:szCs w:val="20"/>
          <w:color w:val="auto"/>
        </w:rPr>
      </w:pPr>
      <w:r>
        <w:rPr>
          <w:rFonts w:ascii="Arial" w:cs="Arial" w:eastAsia="Arial" w:hAnsi="Arial"/>
          <w:sz w:val="16"/>
          <w:szCs w:val="16"/>
          <w:color w:val="auto"/>
        </w:rPr>
        <w:t>In connection with this offering, the holders of an aggregate of 74,653,548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up to an aggregate of 75,163,941 shares of our common stock (including an aggregate of 510,393 shares issuable upon the exercise of warrants that were outstanding as of March 31, 2019)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statement relating to any employee benefit plans, (ii) a registration relating to a corporate reorganization or other Rule 145 transaction, (iii) a registration relating to stock issued upon conversion of debt securities,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holders of up to an aggregate of 74,901,933 shares of our common stock (including 248,385 shares issuable upon the exercise of a warrant that was outstanding as of March 31, 2019) will be entitled to certain Form S-3 registration rights. The holders of at least 20%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5"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Our board of directors will be divided into three classes. The directors in each class will serve for a three-year term, one class being elected each year by our stockholders. For more information on the classified board, see the section titled “Management—Composition of Our Board of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certificate of incorporation or bylaws; (4) any action to interpret, apply, enforce or determine the validity of our certificate of incorporation or bylaws; or (5) any action asserting a claim governed by the internal affairs doctrine. This provision would not apply to suits brought to enforce a duty or liability created by the Exchange Act or any other claim for which the U.S. federal courts have exclusive jurisdiction. Our amended and restated certificate of incorporation further</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the choice of forum provisions to be contained in our amended and restated certificate of incorporation are inapplicable or unenforceable if they are challenged in a proceeding or otherwise.</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60"/>
        <w:spacing w:after="0"/>
        <w:tabs>
          <w:tab w:leader="none" w:pos="8140" w:val="left"/>
        </w:tabs>
        <w:rPr>
          <w:sz w:val="20"/>
          <w:szCs w:val="20"/>
          <w:color w:val="auto"/>
        </w:rPr>
      </w:pPr>
      <w:r>
        <w:rPr>
          <w:rFonts w:ascii="Arial" w:cs="Arial" w:eastAsia="Arial" w:hAnsi="Arial"/>
          <w:sz w:val="18"/>
          <w:szCs w:val="18"/>
          <w:color w:val="auto"/>
        </w:rPr>
        <w:t>The transfer agent and registrar for our common stock upon the closing of this offering will be</w:t>
      </w:r>
      <w:r>
        <w:rPr>
          <w:sz w:val="20"/>
          <w:szCs w:val="20"/>
          <w:color w:val="auto"/>
        </w:rPr>
        <w:tab/>
      </w:r>
      <w:r>
        <w:rPr>
          <w:rFonts w:ascii="Arial" w:cs="Arial" w:eastAsia="Arial" w:hAnsi="Arial"/>
          <w:sz w:val="13"/>
          <w:szCs w:val="13"/>
          <w:color w:val="auto"/>
        </w:rPr>
        <w:t>.</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(“Nasdaq”) under the symbol “PSNL.”</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20" w:right="20" w:firstLine="440"/>
        <w:spacing w:after="0" w:line="311" w:lineRule="auto"/>
        <w:rPr>
          <w:sz w:val="20"/>
          <w:szCs w:val="20"/>
          <w:color w:val="auto"/>
        </w:rPr>
      </w:pPr>
      <w:r>
        <w:rPr>
          <w:rFonts w:ascii="Arial" w:cs="Arial" w:eastAsia="Arial" w:hAnsi="Arial"/>
          <w:sz w:val="16"/>
          <w:szCs w:val="16"/>
          <w:color w:val="auto"/>
        </w:rPr>
        <w:t>Prior to this offering, there has been no public market for our common stock. Future sales of substantial amounts of common stock in the public market, or the perception that such sales may occur, could adversely affect the market price of our common stock. Although we have applied to list our common stock on The Nasdaq Global Market, we cannot assure you that there will be an active public market for our common stock.</w:t>
      </w:r>
    </w:p>
    <w:p>
      <w:pPr>
        <w:spacing w:after="0" w:line="148"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Following the closing of this offering, based on the number of shares of our common stock outstanding as of March 31, 2019 and assuming (1) the issuance of shares of common stock in this offering, (2) the conversion of all outstanding shares of our redeemable convertible preferred stock into shares of our common stock, which will automatically occur immediately prior to the closing of the offering, (3) the exercise of a warrant to purchase 754,573 shares of our common stock, and (4) no exercise of the underwriters’ over-allotment option, we will have an aggregate of</w:t>
      </w:r>
    </w:p>
    <w:p>
      <w:pPr>
        <w:spacing w:after="0" w:line="1" w:lineRule="exact"/>
        <w:rPr>
          <w:sz w:val="20"/>
          <w:szCs w:val="20"/>
          <w:color w:val="auto"/>
        </w:rPr>
      </w:pPr>
    </w:p>
    <w:p>
      <w:pPr>
        <w:ind w:left="220"/>
        <w:spacing w:after="0"/>
        <w:tabs>
          <w:tab w:leader="none" w:pos="204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common stock outstanding.</w:t>
      </w:r>
    </w:p>
    <w:p>
      <w:pPr>
        <w:spacing w:after="0" w:line="210"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Of these shares, all shares of common stock sold in this offering will be freely tradable without restriction or further registration under the Securities Act, except for any shares of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65"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remaining shares of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all of these shares will be subject to a 180-day lock-up period under the lock-up and market stand-off agreements described below.</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any such acquisition, investment, or other transaction is significant, the number of shares of common stock that we may issue may also be significant. We may also grant registration rights covering those shares of common stock issued in connection with any such acquisition, investment, or other transaction.</w:t>
      </w:r>
    </w:p>
    <w:p>
      <w:pPr>
        <w:spacing w:after="0" w:line="186"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described below, and Rules 144 and 701 under the Securities Act.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except with the prior written consent of the representatives,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which imposes similar restrictions.</w:t>
      </w:r>
    </w:p>
    <w:p>
      <w:pPr>
        <w:spacing w:after="0" w:line="19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Upon expiration of the lock-up period, certain of our stockholders will have the right to require us to register their shares under the Securities Act. See “—Registration Rights” below and the section titled “Description of Capital Stock—Registration Rights.”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above.</w:t>
      </w:r>
    </w:p>
    <w:p>
      <w:pPr>
        <w:spacing w:after="0" w:line="17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above. Beginning 90 days after the date of this prospectus, within any three-month period, such stockholders may sell a number of shares that does not exceed the greater of:</w:t>
      </w:r>
    </w:p>
    <w:p>
      <w:pPr>
        <w:sectPr>
          <w:pgSz w:w="11900" w:h="16838" w:orient="portrait"/>
          <w:cols w:equalWidth="0" w:num="1">
            <w:col w:w="11220"/>
          </w:cols>
          <w:pgMar w:left="240" w:top="459" w:right="439" w:bottom="1440" w:gutter="0" w:footer="0" w:header="0"/>
        </w:sectPr>
      </w:pPr>
    </w:p>
    <w:p>
      <w:pPr>
        <w:spacing w:after="0" w:line="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8" w:lineRule="exact"/>
        <w:rPr>
          <w:sz w:val="20"/>
          <w:szCs w:val="20"/>
          <w:color w:val="auto"/>
        </w:rPr>
      </w:pPr>
    </w:p>
    <w:p>
      <w:pPr>
        <w:sectPr>
          <w:pgSz w:w="11900" w:h="16838" w:orient="portrait"/>
          <w:cols w:equalWidth="0" w:num="3">
            <w:col w:w="700" w:space="380"/>
            <w:col w:w="7320" w:space="720"/>
            <w:col w:w="2100"/>
          </w:cols>
          <w:pgMar w:left="240" w:top="459" w:right="439" w:bottom="1440" w:gutter="0" w:footer="0" w:header="0"/>
          <w:type w:val="continuous"/>
        </w:sectPr>
      </w:pPr>
    </w:p>
    <w:p>
      <w:pPr>
        <w:ind w:left="1080" w:hanging="438"/>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above.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Form S-8 Registration Statement</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the 2011 Plan, the 2019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As of March 31, 2019, holders of up to an aggregate of 75,163,941 shares of our common stock, which includes all of the shares of common stock issuable upon the automatic conversion of our redeemable convertible preferred stock immediately prior to the closing of this offering, or their transferees, and the shares issuable upon the exercise of warrants to purchase up to an aggregate of 1,264,966 shares of our common stock (on an as-converted basis), will be entitled to various rights with respect to the registration of these shares under the Securities Act upon the closing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10" w:lineRule="exact"/>
        <w:rPr>
          <w:sz w:val="20"/>
          <w:szCs w:val="20"/>
          <w:color w:val="auto"/>
        </w:rPr>
      </w:pPr>
    </w:p>
    <w:p>
      <w:pPr>
        <w:jc w:val="both"/>
        <w:ind w:left="220" w:firstLine="440"/>
        <w:spacing w:after="0" w:line="284" w:lineRule="auto"/>
        <w:rPr>
          <w:sz w:val="20"/>
          <w:szCs w:val="20"/>
          <w:color w:val="auto"/>
        </w:rPr>
      </w:pPr>
      <w:r>
        <w:rPr>
          <w:rFonts w:ascii="Arial" w:cs="Arial" w:eastAsia="Arial" w:hAnsi="Arial"/>
          <w:sz w:val="16"/>
          <w:szCs w:val="16"/>
          <w:color w:val="auto"/>
        </w:rPr>
        <w:t>The following summary describes the material U.S. federal income tax consequences of the acquisition, ownership, and disposition of our common stock acquired in this offering by Non-U.S. Holders (as defined below). This discussion is not a complete analysis of all potential U.S. federal income tax consequences relating thereto, and does not deal with foreign,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Internal Revenue Code of 1986, as amended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78"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common stock pursuant to this offering should consult their own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91" w:lineRule="exact"/>
        <w:rPr>
          <w:sz w:val="20"/>
          <w:szCs w:val="20"/>
          <w:color w:val="auto"/>
        </w:rPr>
      </w:pPr>
    </w:p>
    <w:p>
      <w:pPr>
        <w:ind w:left="1080" w:hanging="438"/>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Distributions, if any, made on our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84" w:lineRule="exact"/>
        <w:rPr>
          <w:sz w:val="20"/>
          <w:szCs w:val="20"/>
          <w:color w:val="auto"/>
        </w:rPr>
      </w:pPr>
    </w:p>
    <w:p>
      <w:pPr>
        <w:jc w:val="both"/>
        <w:ind w:left="220" w:firstLine="440"/>
        <w:spacing w:after="0" w:line="253"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95"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general, we would be a United States real property holding corporation if our interests in U.S. real estate comprise (by fair market value) at least half of our business assets.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93" w:lineRule="auto"/>
        <w:rPr>
          <w:sz w:val="20"/>
          <w:szCs w:val="20"/>
          <w:color w:val="auto"/>
        </w:rPr>
      </w:pPr>
      <w:r>
        <w:rPr>
          <w:rFonts w:ascii="Arial" w:cs="Arial" w:eastAsia="Arial" w:hAnsi="Arial"/>
          <w:sz w:val="16"/>
          <w:szCs w:val="16"/>
          <w:color w:val="auto"/>
        </w:rPr>
        <w:t>tax so long as (1) 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63"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regular U.S. federal income tax rates, and corporate Non-U.S. Holders described in (a) above may be subject to the additional branch profits tax at a 30% rate or such lower rate as may be specified by an applicable income tax treaty. Gain described in (b) above will be subject to U.S. federal income tax at a flat 30% rate or such lower rate as may be specified by an applicable income tax treaty, which gain may be offset by certain U.S.-source capital losses (even though you are not considered a resident of the United States), provided that the Non-U.S. Holder has timely filed U.S. federal income tax returns with respect to such losses.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6"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the gross proceeds of a disposition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3" w:lineRule="auto"/>
        <w:rPr>
          <w:sz w:val="20"/>
          <w:szCs w:val="20"/>
          <w:color w:val="auto"/>
        </w:rPr>
      </w:pPr>
      <w:r>
        <w:rPr>
          <w:rFonts w:ascii="Arial" w:cs="Arial" w:eastAsia="Arial" w:hAnsi="Arial"/>
          <w:sz w:val="18"/>
          <w:szCs w:val="18"/>
          <w:color w:val="auto"/>
        </w:rPr>
        <w:t>of, our common stock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including dividends paid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95" w:lineRule="exact"/>
        <w:rPr>
          <w:sz w:val="20"/>
          <w:szCs w:val="20"/>
          <w:color w:val="auto"/>
        </w:rPr>
      </w:pPr>
    </w:p>
    <w:p>
      <w:pPr>
        <w:jc w:val="both"/>
        <w:ind w:left="220" w:firstLine="440"/>
        <w:spacing w:after="0" w:line="341" w:lineRule="auto"/>
        <w:rPr>
          <w:sz w:val="20"/>
          <w:szCs w:val="20"/>
          <w:color w:val="auto"/>
        </w:rPr>
      </w:pPr>
      <w:r>
        <w:rPr>
          <w:rFonts w:ascii="Arial" w:cs="Arial" w:eastAsia="Arial" w:hAnsi="Arial"/>
          <w:sz w:val="16"/>
          <w:szCs w:val="16"/>
          <w:color w:val="auto"/>
        </w:rPr>
        <w:t>The withholding provisions described above currently apply to payments of dividends, and, subject to the recently released proposed Treasury Regulations described below, will apply to payments of gross proceeds from a sale or other disposition of common stock on or after January 1, 2019.</w:t>
      </w:r>
    </w:p>
    <w:p>
      <w:pPr>
        <w:spacing w:after="0" w:line="125"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Holders are encouraged to consult with their own tax advisors regarding the possible implications of FATCA on their investment in our common stock.</w:t>
      </w:r>
    </w:p>
    <w:p>
      <w:pPr>
        <w:spacing w:after="0" w:line="166" w:lineRule="exact"/>
        <w:rPr>
          <w:sz w:val="20"/>
          <w:szCs w:val="20"/>
          <w:color w:val="auto"/>
        </w:rPr>
      </w:pPr>
    </w:p>
    <w:p>
      <w:pPr>
        <w:jc w:val="both"/>
        <w:ind w:left="220" w:firstLine="440"/>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BofA Securities, Inc., and Cowen and Company, LLC are acting as representatives, have severally agreed to purchase, and we have agreed to sell to them, severally, the number of shares indicated below:</w:t>
      </w:r>
    </w:p>
    <w:p>
      <w:pPr>
        <w:spacing w:after="0" w:line="201" w:lineRule="exact"/>
        <w:rPr>
          <w:sz w:val="20"/>
          <w:szCs w:val="20"/>
          <w:color w:val="auto"/>
        </w:rPr>
      </w:pPr>
    </w:p>
    <w:p>
      <w:pPr>
        <w:ind w:left="1580"/>
        <w:spacing w:after="0"/>
        <w:tabs>
          <w:tab w:leader="none" w:pos="85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15240</wp:posOffset>
            </wp:positionV>
            <wp:extent cx="52425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5715</wp:posOffset>
            </wp:positionV>
            <wp:extent cx="805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-121920</wp:posOffset>
            </wp:positionV>
            <wp:extent cx="524256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42560" cy="162560"/>
                    </a:xfrm>
                    <a:prstGeom prst="rect">
                      <a:avLst/>
                    </a:prstGeom>
                    <a:noFill/>
                  </pic:spPr>
                </pic:pic>
              </a:graphicData>
            </a:graphic>
          </wp:anchor>
        </w:drawing>
      </w:r>
    </w:p>
    <w:p>
      <w:pPr>
        <w:spacing w:after="0" w:line="259"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3"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Per</w:t>
            </w:r>
          </w:p>
        </w:tc>
        <w:tc>
          <w:tcPr>
            <w:tcW w:w="6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8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No</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Share</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66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6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80" w:type="dxa"/>
            <w:vAlign w:val="bottom"/>
            <w:gridSpan w:val="5"/>
          </w:tcPr>
          <w:p>
            <w:pPr>
              <w:jc w:val="right"/>
              <w:ind w:right="28"/>
              <w:spacing w:after="0"/>
              <w:rPr>
                <w:sz w:val="20"/>
                <w:szCs w:val="20"/>
                <w:color w:val="auto"/>
              </w:rPr>
            </w:pPr>
            <w:r>
              <w:rPr>
                <w:rFonts w:ascii="Arial" w:cs="Arial" w:eastAsia="Arial" w:hAnsi="Arial"/>
                <w:sz w:val="18"/>
                <w:szCs w:val="18"/>
                <w:color w:val="auto"/>
                <w:w w:val="96"/>
              </w:rPr>
              <w:t>The estimated offering expenses payable by us, exclusive of the underwriting discounts and commissions, are approximately $</w:t>
            </w: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w w:val="88"/>
              </w:rPr>
              <w:t>. We have</w:t>
            </w:r>
          </w:p>
        </w:tc>
        <w:tc>
          <w:tcPr>
            <w:tcW w:w="0" w:type="dxa"/>
            <w:vAlign w:val="bottom"/>
          </w:tcPr>
          <w:p>
            <w:pPr>
              <w:spacing w:after="0"/>
              <w:rPr>
                <w:sz w:val="1"/>
                <w:szCs w:val="1"/>
                <w:color w:val="auto"/>
              </w:rPr>
            </w:pPr>
          </w:p>
        </w:tc>
      </w:tr>
    </w:tbl>
    <w:p>
      <w:pPr>
        <w:jc w:val="both"/>
        <w:ind w:left="220" w:right="20"/>
        <w:spacing w:after="0" w:line="260" w:lineRule="auto"/>
        <w:rPr>
          <w:sz w:val="20"/>
          <w:szCs w:val="20"/>
          <w:color w:val="auto"/>
        </w:rPr>
      </w:pPr>
      <w:r>
        <w:rPr>
          <w:rFonts w:ascii="Arial" w:cs="Arial" w:eastAsia="Arial" w:hAnsi="Arial"/>
          <w:sz w:val="18"/>
          <w:szCs w:val="18"/>
          <w:color w:val="auto"/>
        </w:rPr>
        <w:t>agreed to reimburse the underwriters for expenses relating to clearance of this offering with the Financial Industry Regulatory Authority and compliance with state securities or “blue sky” laws.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“PSNL.”</w:t>
      </w:r>
    </w:p>
    <w:p>
      <w:pPr>
        <w:spacing w:after="0" w:line="22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and all directors, officers, and the holders of substantially all of our outstanding stock and stock options have agreed that, without the prior written consent of the representatives on behalf of the underwriters, we and they will not, during the period ending 180 days after the date of this prospectus (the “restricted period”):</w:t>
      </w:r>
    </w:p>
    <w:p>
      <w:pPr>
        <w:spacing w:after="0" w:line="88" w:lineRule="exact"/>
        <w:rPr>
          <w:sz w:val="20"/>
          <w:szCs w:val="20"/>
          <w:color w:val="auto"/>
        </w:rPr>
      </w:pPr>
    </w:p>
    <w:p>
      <w:pPr>
        <w:jc w:val="both"/>
        <w:ind w:left="1080" w:hanging="438"/>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8"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6" w:lineRule="exact"/>
        <w:rPr>
          <w:sz w:val="20"/>
          <w:szCs w:val="20"/>
          <w:color w:val="auto"/>
        </w:rPr>
      </w:pPr>
    </w:p>
    <w:p>
      <w:pPr>
        <w:jc w:val="both"/>
        <w:ind w:left="220" w:firstLine="440"/>
        <w:spacing w:after="0" w:line="284" w:lineRule="auto"/>
        <w:rPr>
          <w:sz w:val="20"/>
          <w:szCs w:val="20"/>
          <w:color w:val="auto"/>
        </w:rPr>
      </w:pPr>
      <w:r>
        <w:rPr>
          <w:rFonts w:ascii="Arial" w:cs="Arial" w:eastAsia="Arial" w:hAnsi="Arial"/>
          <w:sz w:val="16"/>
          <w:szCs w:val="16"/>
          <w:color w:val="auto"/>
        </w:rPr>
        <w:t>The restrictions described in the immediately preceding paragraph to do not apply to our directors, officers, or holders of our outstanding common stock or other securities in certain circumstances, including (i) transactions by any person other than us relating to shares of our common stock or other securities acquired in this offering or in open market transactions after the closing of this offering, provided that no filing under Section 16(a) of the Securities Exchange Act of 1934, as amended (the “Exchange Act”) would be required or voluntarily made in connection with subsequent sales of the common stock or other securities acquired in such open market transactions; (ii) transfers of our common stock as bona fide gifts, by will, to an immediate family member or to certain trusts provided that no filing under Section 16(a) of the Exchange Act would be required or voluntarily made;</w:t>
      </w:r>
    </w:p>
    <w:p>
      <w:pPr>
        <w:spacing w:after="0" w:line="3" w:lineRule="exact"/>
        <w:rPr>
          <w:sz w:val="20"/>
          <w:szCs w:val="20"/>
          <w:color w:val="auto"/>
        </w:rPr>
      </w:pPr>
    </w:p>
    <w:p>
      <w:pPr>
        <w:jc w:val="both"/>
        <w:ind w:left="220" w:hanging="10"/>
        <w:spacing w:after="0" w:line="267" w:lineRule="auto"/>
        <w:tabs>
          <w:tab w:leader="none" w:pos="5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distributions of our common stock to another corporation, partnership, limited liability company, trust, or other business entity that is an affiliate, or to an entity controlled or managed by an affiliate provided that no filing under Section 16(a) of the Exchange Act would be required or voluntarily made; (iv) distributions of our common stock to the stockholders, partners, or members of such holders provided that no filing under Section 16(a) of the Exchange Act would be required or voluntarily made; (v) the exercise of options or other equity awards granted under a stock incentive plan or other equity award plan described in this prospectus, or the exercise of warrants outstanding described in this prospectus provided that no filing under Section 16(a) of the Exchange Act would be required or voluntarily made within 60 days after the date of the final prospectus; (vi) transfers of our common stock to us for the net exercise of options, settlement of warrants granted pursuant to our equity incentive plans, or to cover tax withholding for grants pursuant to our equity incentive plans, provided that no filing under Section 16(a) of the Exchange Act would be required or voluntarily made within 60 days after the date of the final prospectus; (vii) the establishment by such holders of trading plans under Rule 10b5-1 under the Exchange Act provided that such plan does not provide for the transfer of common stock during the restricted period; (viii) transfers of our common stock pursuant to a domestic order, divorce settlement, or other court order; (ix) transfers of our common stock to us pursuant to any right to repurchase or any right of first refusal we may have over such shares; (x) conversion of our outstanding redeemable convertible preferred stock into common stock in connection with the closing of this offering; and (xi) transfers of our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77" w:lineRule="auto"/>
        <w:rPr>
          <w:sz w:val="20"/>
          <w:szCs w:val="20"/>
          <w:color w:val="auto"/>
        </w:rPr>
      </w:pPr>
      <w:r>
        <w:rPr>
          <w:rFonts w:ascii="Arial" w:cs="Arial" w:eastAsia="Arial" w:hAnsi="Arial"/>
          <w:sz w:val="18"/>
          <w:szCs w:val="18"/>
          <w:color w:val="auto"/>
        </w:rPr>
        <w:t>common stock pursuant to a bona fide third-party tender offer, merger, consolidation, or other similar transaction that is approved by our board of directors. These restrictions also do not apply to us in certain circumstances.</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left="22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6"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91" w:lineRule="exact"/>
        <w:rPr>
          <w:sz w:val="20"/>
          <w:szCs w:val="20"/>
          <w:color w:val="auto"/>
        </w:rPr>
      </w:pPr>
    </w:p>
    <w:p>
      <w:pPr>
        <w:jc w:val="both"/>
        <w:ind w:left="220" w:right="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6"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1" w:lineRule="exact"/>
        <w:rPr>
          <w:sz w:val="20"/>
          <w:szCs w:val="20"/>
          <w:color w:val="auto"/>
        </w:rPr>
      </w:pPr>
    </w:p>
    <w:p>
      <w:pPr>
        <w:ind w:left="1080" w:hanging="31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1080" w:right="20" w:hanging="3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8" w:lineRule="exact"/>
        <w:rPr>
          <w:rFonts w:ascii="Arial" w:cs="Arial" w:eastAsia="Arial" w:hAnsi="Arial"/>
          <w:sz w:val="18"/>
          <w:szCs w:val="18"/>
          <w:color w:val="auto"/>
        </w:rPr>
      </w:pPr>
    </w:p>
    <w:p>
      <w:pPr>
        <w:ind w:left="1080" w:hanging="314"/>
        <w:spacing w:after="0" w:line="34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9" w:lineRule="auto"/>
        <w:rPr>
          <w:sz w:val="20"/>
          <w:szCs w:val="20"/>
          <w:color w:val="auto"/>
        </w:rPr>
      </w:pPr>
      <w:r>
        <w:rPr>
          <w:rFonts w:ascii="Arial" w:cs="Arial" w:eastAsia="Arial" w:hAnsi="Arial"/>
          <w:sz w:val="17"/>
          <w:szCs w:val="17"/>
          <w:color w:val="auto"/>
        </w:rPr>
        <w:t>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30" w:lineRule="exact"/>
        <w:rPr>
          <w:sz w:val="20"/>
          <w:szCs w:val="20"/>
          <w:color w:val="auto"/>
        </w:rPr>
      </w:pPr>
    </w:p>
    <w:p>
      <w:pPr>
        <w:jc w:val="both"/>
        <w:ind w:left="1080" w:hanging="314"/>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1" w:lineRule="exact"/>
        <w:rPr>
          <w:rFonts w:ascii="Arial" w:cs="Arial" w:eastAsia="Arial" w:hAnsi="Arial"/>
          <w:sz w:val="18"/>
          <w:szCs w:val="18"/>
          <w:color w:val="auto"/>
        </w:rPr>
      </w:pPr>
    </w:p>
    <w:p>
      <w:pPr>
        <w:ind w:left="1080" w:right="20" w:hanging="3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0"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Personalis, Inc.,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spacing w:after="0" w:line="263" w:lineRule="auto"/>
        <w:rPr>
          <w:sz w:val="20"/>
          <w:szCs w:val="20"/>
          <w:color w:val="auto"/>
        </w:rPr>
      </w:pPr>
      <w:r>
        <w:rPr>
          <w:rFonts w:ascii="Arial" w:cs="Arial" w:eastAsia="Arial" w:hAnsi="Arial"/>
          <w:sz w:val="18"/>
          <w:szCs w:val="18"/>
          <w:color w:val="auto"/>
        </w:rPr>
        <w:t>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3"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6"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220" w:hanging="10"/>
        <w:spacing w:after="0" w:line="281" w:lineRule="auto"/>
        <w:tabs>
          <w:tab w:leader="none" w:pos="43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rFonts w:ascii="Arial" w:cs="Arial" w:eastAsia="Arial" w:hAnsi="Arial"/>
          <w:sz w:val="16"/>
          <w:szCs w:val="16"/>
          <w:color w:val="auto"/>
        </w:rPr>
      </w:pPr>
    </w:p>
    <w:p>
      <w:pPr>
        <w:ind w:left="520" w:hanging="310"/>
        <w:spacing w:after="0"/>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0" w:lineRule="exact"/>
        <w:rPr>
          <w:sz w:val="20"/>
          <w:szCs w:val="20"/>
          <w:color w:val="auto"/>
        </w:rPr>
      </w:pPr>
    </w:p>
    <w:p>
      <w:pPr>
        <w:ind w:left="1080" w:hanging="314"/>
        <w:spacing w:after="0" w:line="307"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2" w:lineRule="exact"/>
        <w:rPr>
          <w:rFonts w:ascii="Arial" w:cs="Arial" w:eastAsia="Arial" w:hAnsi="Arial"/>
          <w:sz w:val="17"/>
          <w:szCs w:val="17"/>
          <w:color w:val="auto"/>
        </w:rPr>
      </w:pPr>
    </w:p>
    <w:p>
      <w:pPr>
        <w:ind w:left="1080" w:hanging="3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8" w:lineRule="exact"/>
        <w:rPr>
          <w:sz w:val="20"/>
          <w:szCs w:val="20"/>
          <w:color w:val="auto"/>
        </w:rPr>
      </w:pPr>
    </w:p>
    <w:p>
      <w:pPr>
        <w:ind w:left="1080" w:hanging="31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5" w:lineRule="exact"/>
        <w:rPr>
          <w:rFonts w:ascii="Arial" w:cs="Arial" w:eastAsia="Arial" w:hAnsi="Arial"/>
          <w:sz w:val="16"/>
          <w:szCs w:val="16"/>
          <w:color w:val="auto"/>
        </w:rPr>
      </w:pPr>
    </w:p>
    <w:p>
      <w:pPr>
        <w:ind w:left="1080" w:hanging="3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31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3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Palo Alto, California. As of the date of this prospectus, GC&amp;H Investments, LLC, an entity comprised of partners and associates of Cooley LLP, beneficially owns 84,686 shares of our preferred stock, which will be converted into 84,686 shares of our common stock upon completion of this offering. Davis Polk &amp; Wardwell LLP, Menlo Park, California, has acted as counsel to the underwriters in connection with this offering.</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consolidated financial statements as of December 31, 2018 and 2017, and for each of the two years in the period ended December 31, 2018, included in this prospectus have been audited by Deloitte &amp; Touche LLP, an independent registered public accounting firm, as stated in their report appearing herein. Such consolidated financial statements have been so included in reliance upon the report of such firm given upon their authority as experts in accounting and auditing.</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CHANGES IN INDEPENDENT REGISTERED PUBLIC ACCOUNTING FIRM</w:t>
      </w:r>
    </w:p>
    <w:p>
      <w:pPr>
        <w:spacing w:after="0" w:line="229"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In November 2018, our Board of Directors dismissed Moss Adams LLP (“Moss Adams”) as our independent registered public accounting firm and engaged Deloitte &amp; Touche LLP. Moss Adams’ report on our financial statements for 2016 did not contain an adverse opinion or disclaimer of opinion and was not qualified or modified as to uncertainty, audit scope, or accounting principles. There were (i) no disagreements with Moss Adams on any matter of accounting principles or practices, financial statement disclosure, or auditing scope or procedures, which disagreements, if not resolved to the satisfaction of Moss Adams, would have caused Moss Adams to make reference to the subject matter of the disagreements in connection with its reports and (ii) no reportable events of the type listed in paragraphs (A) through (D) of Item 304(a)(1)(v) of Regulation S-K issued by the SEC, in connection with the audit of our financial statements for 2016 and the subsequent period through the replacement of Moss Adams with Deloitte &amp; Touche LLP.</w:t>
      </w:r>
    </w:p>
    <w:p>
      <w:pPr>
        <w:spacing w:after="0" w:line="190" w:lineRule="exact"/>
        <w:rPr>
          <w:sz w:val="20"/>
          <w:szCs w:val="20"/>
          <w:color w:val="auto"/>
        </w:rPr>
      </w:pPr>
    </w:p>
    <w:p>
      <w:pPr>
        <w:jc w:val="both"/>
        <w:ind w:left="220" w:right="20" w:firstLine="440"/>
        <w:spacing w:after="0" w:line="307" w:lineRule="auto"/>
        <w:rPr>
          <w:sz w:val="20"/>
          <w:szCs w:val="20"/>
          <w:color w:val="auto"/>
        </w:rPr>
      </w:pPr>
      <w:r>
        <w:rPr>
          <w:rFonts w:ascii="Arial" w:cs="Arial" w:eastAsia="Arial" w:hAnsi="Arial"/>
          <w:sz w:val="17"/>
          <w:szCs w:val="17"/>
          <w:color w:val="auto"/>
        </w:rPr>
        <w:t>Neither we nor anyone acting on our behalf consulted with Deloitte &amp; Touche LLP at any time prior to their retention by us as our independent registered public accounting firm regarding any of the matters described in Item 304(a)(2)(i) or Item 304(a)(2)(ii) of Regulation S-K.</w:t>
      </w:r>
    </w:p>
    <w:p>
      <w:pPr>
        <w:spacing w:after="0" w:line="147" w:lineRule="exact"/>
        <w:rPr>
          <w:sz w:val="20"/>
          <w:szCs w:val="20"/>
          <w:color w:val="auto"/>
        </w:rPr>
      </w:pPr>
    </w:p>
    <w:p>
      <w:pPr>
        <w:jc w:val="both"/>
        <w:ind w:left="220" w:right="20" w:firstLine="440"/>
        <w:spacing w:after="0" w:line="279" w:lineRule="auto"/>
        <w:rPr>
          <w:sz w:val="20"/>
          <w:szCs w:val="20"/>
          <w:color w:val="auto"/>
        </w:rPr>
      </w:pPr>
      <w:r>
        <w:rPr>
          <w:rFonts w:ascii="Arial" w:cs="Arial" w:eastAsia="Arial" w:hAnsi="Arial"/>
          <w:sz w:val="17"/>
          <w:szCs w:val="17"/>
          <w:color w:val="auto"/>
        </w:rPr>
        <w:t>We have provided Moss Adams with a copy of the disclosures set forth under the heading “Changes in Independent Registered Public Accounting Firm” included in this prospectus and have requested that Moss Adams furnish a letter addressed to the SEC stating whether or not Moss Adams agrees with statements related to them made by us under the heading “Changes in Independent Registered Public Accounting Firm” in this prospectus. A copy of that letter is filed as Exhibit 16.1 to the registration statement of which this prospectus forms a part.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Upon the closing of this offering, we will be subject to the information reporting requirements of the Securities Exchange Act of 1934 and we will file reports, proxy statements, and other information with the SEC. These reports, proxy statements and other information will be available for inspection at the web site of the SEC referred to above. We also maintain a website at https://www.personalis.com,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PERSONALIS, INC. AND SUBSIDIARY</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500" w:type="dxa"/>
            <w:vAlign w:val="bottom"/>
            <w:gridSpan w:val="6"/>
            <w:vMerge w:val="restart"/>
          </w:tcPr>
          <w:p>
            <w:pPr>
              <w:spacing w:after="0"/>
              <w:rPr>
                <w:rFonts w:ascii="Arial" w:cs="Arial" w:eastAsia="Arial" w:hAnsi="Arial"/>
                <w:sz w:val="18"/>
                <w:szCs w:val="18"/>
                <w:b w:val="1"/>
                <w:bCs w:val="1"/>
                <w:color w:val="0000EE"/>
                <w:w w:val="90"/>
              </w:rPr>
            </w:pPr>
            <w:hyperlink w:anchor="page180">
              <w:r>
                <w:rPr>
                  <w:rFonts w:ascii="Arial" w:cs="Arial" w:eastAsia="Arial" w:hAnsi="Arial"/>
                  <w:sz w:val="18"/>
                  <w:szCs w:val="18"/>
                  <w:b w:val="1"/>
                  <w:bCs w:val="1"/>
                  <w:color w:val="0000EE"/>
                  <w:w w:val="90"/>
                </w:rPr>
                <w:t>Report of Independent Registered Public Accounting Firm</w:t>
              </w:r>
            </w:hyperlink>
          </w:p>
        </w:tc>
        <w:tc>
          <w:tcPr>
            <w:tcW w:w="5980" w:type="dxa"/>
            <w:vAlign w:val="bottom"/>
            <w:gridSpan w:val="2"/>
            <w:vMerge w:val="restart"/>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160"/>
        </w:trPr>
        <w:tc>
          <w:tcPr>
            <w:tcW w:w="4500" w:type="dxa"/>
            <w:vAlign w:val="bottom"/>
            <w:tcBorders>
              <w:bottom w:val="single" w:sz="8" w:color="0000EE"/>
            </w:tcBorders>
            <w:gridSpan w:val="6"/>
            <w:vMerge w:val="continue"/>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0000EE"/>
            </w:tcBorders>
          </w:tcPr>
          <w:p>
            <w:pPr>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Consolidated Balance Sheets</w:t>
              </w:r>
            </w:hyperlink>
          </w:p>
        </w:tc>
        <w:tc>
          <w:tcPr>
            <w:tcW w:w="8400" w:type="dxa"/>
            <w:vAlign w:val="bottom"/>
            <w:gridSpan w:val="7"/>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480" w:type="dxa"/>
            <w:vAlign w:val="bottom"/>
            <w:gridSpan w:val="8"/>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Consolidated Statements of Operations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8"/>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Comprehensive Loss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8"/>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Redeemable Convertible Preferred Stock and Stockholders’ Deficit</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Consolidated Statements of Cash Flows</w:t>
              </w:r>
            </w:hyperlink>
          </w:p>
        </w:tc>
        <w:tc>
          <w:tcPr>
            <w:tcW w:w="3980" w:type="dxa"/>
            <w:vAlign w:val="bottom"/>
            <w:tcBorders>
              <w:top w:val="single" w:sz="8" w:color="0000EE"/>
            </w:tcBorders>
            <w:gridSpan w:val="4"/>
          </w:tcPr>
          <w:p>
            <w:pPr>
              <w:spacing w:after="0"/>
              <w:rPr>
                <w:sz w:val="17"/>
                <w:szCs w:val="17"/>
                <w:color w:val="auto"/>
              </w:rPr>
            </w:pPr>
          </w:p>
        </w:tc>
        <w:tc>
          <w:tcPr>
            <w:tcW w:w="364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0480" w:type="dxa"/>
            <w:vAlign w:val="bottom"/>
            <w:gridSpan w:val="8"/>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80" w:type="dxa"/>
            <w:vAlign w:val="bottom"/>
            <w:gridSpan w:val="2"/>
          </w:tcPr>
          <w:p>
            <w:pPr>
              <w:ind w:left="86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stockholders and the Board of Directors of Personalis, Inc.</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We have audited the accompanying consolidated balance sheets of Personalis, Inc. and subsidiary (the “Company”) as of December 31, 2017 and 2018, and the related consolidated statements of operations, comprehensive loss, redeemable convertible preferred stock and stockholders’ deficit, and cash flows, for each of the two years in the period ended December 31, 2018, and the related notes (collectively, the “financial statements”). In our opinion, the financial statements present fairly, in all material respects, the financial position of the Company as of December 31, 2017 and 2018, and the results of its operations and its cash flows for each of the two years in the period ended December 31, 2018, in conformity with accounting principles generally accepted in the United States of America.</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27, 2019</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2018.</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220" w:type="dxa"/>
        <w:tblCellMar>
          <w:top w:w="0" w:type="dxa"/>
          <w:left w:w="0" w:type="dxa"/>
          <w:bottom w:w="0" w:type="dxa"/>
          <w:right w:w="0" w:type="dxa"/>
        </w:tblCellMar>
      </w:tblPr>
      <w:tr>
        <w:trPr>
          <w:trHeight w:val="134"/>
        </w:trPr>
        <w:tc>
          <w:tcPr>
            <w:tcW w:w="6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1"/>
              </w:rPr>
              <w:t>As of</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77"/>
        </w:trPr>
        <w:tc>
          <w:tcPr>
            <w:tcW w:w="6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6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6"/>
                <w:szCs w:val="6"/>
                <w:color w:val="auto"/>
              </w:rPr>
            </w:pPr>
          </w:p>
        </w:tc>
        <w:tc>
          <w:tcPr>
            <w:tcW w:w="8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61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3"/>
                <w:szCs w:val="13"/>
                <w:color w:val="auto"/>
              </w:rPr>
            </w:pPr>
          </w:p>
        </w:tc>
        <w:tc>
          <w:tcPr>
            <w:tcW w:w="7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22,617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19,744</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33,237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33,245</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1,937</w:t>
            </w:r>
          </w:p>
        </w:tc>
        <w:tc>
          <w:tcPr>
            <w:tcW w:w="1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3,110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 and other deferred costs</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1,364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2,884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1,926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3,692</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26,726</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29,559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42,923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42,931</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6,342</w:t>
            </w:r>
          </w:p>
        </w:tc>
        <w:tc>
          <w:tcPr>
            <w:tcW w:w="1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11,452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12,218</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12,218</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969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33,563</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41,670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57,647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57,655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4,035</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6,565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7,997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7,997</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and other current liabilities</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2,757</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3,392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5,959</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Contract liabilities</w:t>
            </w: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24,690</w:t>
            </w:r>
          </w:p>
        </w:tc>
        <w:tc>
          <w:tcPr>
            <w:tcW w:w="1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42,897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44,315</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44,315</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Short-term debt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17,506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1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48,988</w:t>
            </w: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57,850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58,271</w:t>
            </w: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warrant liability</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Compound derivative instrument</w:t>
            </w: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671</w:t>
            </w:r>
          </w:p>
        </w:tc>
        <w:tc>
          <w:tcPr>
            <w:tcW w:w="1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18,941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18,941</w:t>
            </w:r>
          </w:p>
        </w:tc>
        <w:tc>
          <w:tcPr>
            <w:tcW w:w="0" w:type="dxa"/>
            <w:vAlign w:val="bottom"/>
          </w:tcPr>
          <w:p>
            <w:pPr>
              <w:spacing w:after="0"/>
              <w:rPr>
                <w:sz w:val="1"/>
                <w:szCs w:val="1"/>
                <w:color w:val="auto"/>
              </w:rPr>
            </w:pP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50,171</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58,654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78,766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77,949</w:t>
            </w:r>
          </w:p>
        </w:tc>
        <w:tc>
          <w:tcPr>
            <w:tcW w:w="0" w:type="dxa"/>
            <w:vAlign w:val="bottom"/>
          </w:tcPr>
          <w:p>
            <w:pPr>
              <w:spacing w:after="0"/>
              <w:rPr>
                <w:sz w:val="1"/>
                <w:szCs w:val="1"/>
                <w:color w:val="auto"/>
              </w:rPr>
            </w:pPr>
          </w:p>
        </w:tc>
      </w:tr>
      <w:tr>
        <w:trPr>
          <w:trHeight w:val="155"/>
        </w:trPr>
        <w:tc>
          <w:tcPr>
            <w:tcW w:w="61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redeemable convertible preferred stock:</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120" w:type="dxa"/>
            <w:vAlign w:val="bottom"/>
          </w:tcPr>
          <w:p>
            <w:pPr>
              <w:spacing w:after="0" w:line="130" w:lineRule="exact"/>
              <w:rPr>
                <w:sz w:val="20"/>
                <w:szCs w:val="20"/>
                <w:color w:val="auto"/>
              </w:rPr>
            </w:pPr>
            <w:r>
              <w:rPr>
                <w:rFonts w:ascii="Arial" w:cs="Arial" w:eastAsia="Arial" w:hAnsi="Arial"/>
                <w:sz w:val="14"/>
                <w:szCs w:val="14"/>
                <w:color w:val="auto"/>
                <w:w w:val="99"/>
              </w:rPr>
              <w:t>Series A redeemable convertible preferred stock, $0.0001 par value—31,250,00 shares authorized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140"/>
              <w:spacing w:after="0" w:line="149" w:lineRule="exact"/>
              <w:rPr>
                <w:sz w:val="20"/>
                <w:szCs w:val="20"/>
                <w:color w:val="auto"/>
              </w:rPr>
            </w:pPr>
            <w:r>
              <w:rPr>
                <w:rFonts w:ascii="Arial" w:cs="Arial" w:eastAsia="Arial" w:hAnsi="Arial"/>
                <w:sz w:val="14"/>
                <w:szCs w:val="14"/>
                <w:color w:val="auto"/>
              </w:rPr>
              <w:t>and 31,249,991 shares issued and outstanding (liquidation preference of $0.656) as of</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140"/>
              <w:spacing w:after="0" w:line="149" w:lineRule="exact"/>
              <w:rPr>
                <w:sz w:val="20"/>
                <w:szCs w:val="20"/>
                <w:color w:val="auto"/>
              </w:rPr>
            </w:pPr>
            <w:r>
              <w:rPr>
                <w:rFonts w:ascii="Arial" w:cs="Arial" w:eastAsia="Arial" w:hAnsi="Arial"/>
                <w:sz w:val="14"/>
                <w:szCs w:val="14"/>
                <w:color w:val="auto"/>
              </w:rPr>
              <w:t>December 31, 2017, December 31, 2018, and March 31, 2019; no shares authorized, issued, or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20" w:type="dxa"/>
            <w:vAlign w:val="bottom"/>
          </w:tcPr>
          <w:p>
            <w:pPr>
              <w:ind w:left="140"/>
              <w:spacing w:after="0"/>
              <w:rPr>
                <w:sz w:val="20"/>
                <w:szCs w:val="20"/>
                <w:color w:val="auto"/>
              </w:rPr>
            </w:pPr>
            <w:r>
              <w:rPr>
                <w:rFonts w:ascii="Arial" w:cs="Arial" w:eastAsia="Arial" w:hAnsi="Arial"/>
                <w:sz w:val="14"/>
                <w:szCs w:val="14"/>
                <w:color w:val="auto"/>
              </w:rPr>
              <w:t>outstanding, pro forma</w:t>
            </w: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20,261</w:t>
            </w:r>
          </w:p>
        </w:tc>
        <w:tc>
          <w:tcPr>
            <w:tcW w:w="1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20,261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20,261</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 redeemable convertible preferred stock, $0.0001 par value—19,288,150 shares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authorized and 19,198,194 shares issued or outstanding (liquidation preference of $1.150) as of</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 2017, December 31, 2018, and March 31, 2019; no shares authorized, issued, or</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pro forma</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22,047</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22,047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22,047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120" w:type="dxa"/>
            <w:vAlign w:val="bottom"/>
          </w:tcPr>
          <w:p>
            <w:pPr>
              <w:spacing w:after="0" w:line="130" w:lineRule="exact"/>
              <w:rPr>
                <w:sz w:val="20"/>
                <w:szCs w:val="20"/>
                <w:color w:val="auto"/>
              </w:rPr>
            </w:pPr>
            <w:r>
              <w:rPr>
                <w:rFonts w:ascii="Arial" w:cs="Arial" w:eastAsia="Arial" w:hAnsi="Arial"/>
                <w:sz w:val="14"/>
                <w:szCs w:val="14"/>
                <w:color w:val="auto"/>
              </w:rPr>
              <w:t>Series C redeemable convertible preferred stock, $0.0001 par value—18,000,000 shares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140"/>
              <w:spacing w:after="0" w:line="149" w:lineRule="exact"/>
              <w:rPr>
                <w:sz w:val="20"/>
                <w:szCs w:val="20"/>
                <w:color w:val="auto"/>
              </w:rPr>
            </w:pPr>
            <w:r>
              <w:rPr>
                <w:rFonts w:ascii="Arial" w:cs="Arial" w:eastAsia="Arial" w:hAnsi="Arial"/>
                <w:sz w:val="14"/>
                <w:szCs w:val="14"/>
                <w:color w:val="auto"/>
              </w:rPr>
              <w:t>authorized and 16,778,800 shares issued and outstanding (liquidation preference of $2.013) as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140"/>
              <w:spacing w:after="0" w:line="149" w:lineRule="exact"/>
              <w:rPr>
                <w:sz w:val="20"/>
                <w:szCs w:val="20"/>
                <w:color w:val="auto"/>
              </w:rPr>
            </w:pPr>
            <w:r>
              <w:rPr>
                <w:rFonts w:ascii="Arial" w:cs="Arial" w:eastAsia="Arial" w:hAnsi="Arial"/>
                <w:sz w:val="14"/>
                <w:szCs w:val="14"/>
                <w:color w:val="auto"/>
              </w:rPr>
              <w:t>of December 31, 2017; 24,700,000 shares authorized and 23,450,790 shares issued 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140"/>
              <w:spacing w:after="0" w:line="149" w:lineRule="exact"/>
              <w:rPr>
                <w:sz w:val="20"/>
                <w:szCs w:val="20"/>
                <w:color w:val="auto"/>
              </w:rPr>
            </w:pPr>
            <w:r>
              <w:rPr>
                <w:rFonts w:ascii="Arial" w:cs="Arial" w:eastAsia="Arial" w:hAnsi="Arial"/>
                <w:sz w:val="14"/>
                <w:szCs w:val="14"/>
                <w:color w:val="auto"/>
              </w:rPr>
              <w:t>outstanding (liquidation preference of $2.013) as of December 31, 2018 and March 31, 2019;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20" w:type="dxa"/>
            <w:vAlign w:val="bottom"/>
          </w:tcPr>
          <w:p>
            <w:pPr>
              <w:ind w:left="140"/>
              <w:spacing w:after="0"/>
              <w:rPr>
                <w:sz w:val="20"/>
                <w:szCs w:val="20"/>
                <w:color w:val="auto"/>
              </w:rPr>
            </w:pPr>
            <w:r>
              <w:rPr>
                <w:rFonts w:ascii="Arial" w:cs="Arial" w:eastAsia="Arial" w:hAnsi="Arial"/>
                <w:sz w:val="14"/>
                <w:szCs w:val="14"/>
                <w:color w:val="auto"/>
              </w:rPr>
              <w:t>no shares authorized, issued, or outstanding, pro forma</w:t>
            </w: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33,687</w:t>
            </w:r>
          </w:p>
        </w:tc>
        <w:tc>
          <w:tcPr>
            <w:tcW w:w="1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47,096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47,096</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120" w:type="dxa"/>
            <w:vAlign w:val="bottom"/>
          </w:tcPr>
          <w:p>
            <w:pPr>
              <w:ind w:left="280"/>
              <w:spacing w:after="0" w:line="130" w:lineRule="exact"/>
              <w:rPr>
                <w:sz w:val="20"/>
                <w:szCs w:val="20"/>
                <w:color w:val="auto"/>
              </w:rPr>
            </w:pPr>
            <w:r>
              <w:rPr>
                <w:rFonts w:ascii="Arial" w:cs="Arial" w:eastAsia="Arial" w:hAnsi="Arial"/>
                <w:sz w:val="14"/>
                <w:szCs w:val="14"/>
                <w:color w:val="auto"/>
              </w:rPr>
              <w:t>Common stock, $0.0001 par value—96,000,000 shares authorized and 12,205,868 shares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issued and outstanding as of December 31, 2017; 102,700,000 shares authorized 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12,341,229 shares issued and outstanding as of December 31, 2018; 105,700,000 shares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authorized and 12,665,266 shares issued and outstanding as of March 31, 2019;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20" w:type="dxa"/>
            <w:vAlign w:val="bottom"/>
          </w:tcPr>
          <w:p>
            <w:pPr>
              <w:ind w:left="420"/>
              <w:spacing w:after="0"/>
              <w:rPr>
                <w:sz w:val="20"/>
                <w:szCs w:val="20"/>
                <w:color w:val="auto"/>
              </w:rPr>
            </w:pPr>
            <w:r>
              <w:rPr>
                <w:rFonts w:ascii="Arial" w:cs="Arial" w:eastAsia="Arial" w:hAnsi="Arial"/>
                <w:sz w:val="14"/>
                <w:szCs w:val="14"/>
                <w:color w:val="auto"/>
              </w:rPr>
              <w:t>105,700,000 shares authorized and 87,318,814 shares issued and outstanding, pro forma</w:t>
            </w: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3,025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9,131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10,666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101,778</w:t>
            </w:r>
          </w:p>
        </w:tc>
        <w:tc>
          <w:tcPr>
            <w:tcW w:w="0" w:type="dxa"/>
            <w:vAlign w:val="bottom"/>
          </w:tcPr>
          <w:p>
            <w:pPr>
              <w:spacing w:after="0"/>
              <w:rPr>
                <w:sz w:val="1"/>
                <w:szCs w:val="1"/>
                <w:color w:val="auto"/>
              </w:rPr>
            </w:pPr>
          </w:p>
        </w:tc>
      </w:tr>
      <w:tr>
        <w:trPr>
          <w:trHeight w:val="148"/>
        </w:trPr>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(95,619)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(115,505)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(121,190)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(122,080)</w:t>
            </w:r>
          </w:p>
        </w:tc>
        <w:tc>
          <w:tcPr>
            <w:tcW w:w="0" w:type="dxa"/>
            <w:vAlign w:val="bottom"/>
          </w:tcPr>
          <w:p>
            <w:pPr>
              <w:spacing w:after="0"/>
              <w:rPr>
                <w:sz w:val="1"/>
                <w:szCs w:val="1"/>
                <w:color w:val="auto"/>
              </w:rPr>
            </w:pPr>
          </w:p>
        </w:tc>
      </w:tr>
      <w:tr>
        <w:trPr>
          <w:trHeight w:val="162"/>
        </w:trPr>
        <w:tc>
          <w:tcPr>
            <w:tcW w:w="6120" w:type="dxa"/>
            <w:vAlign w:val="bottom"/>
          </w:tcPr>
          <w:p>
            <w:pPr>
              <w:ind w:left="560"/>
              <w:spacing w:after="0" w:line="155" w:lineRule="exact"/>
              <w:rPr>
                <w:sz w:val="20"/>
                <w:szCs w:val="20"/>
                <w:color w:val="auto"/>
              </w:rPr>
            </w:pPr>
            <w:r>
              <w:rPr>
                <w:rFonts w:ascii="Arial" w:cs="Arial" w:eastAsia="Arial" w:hAnsi="Arial"/>
                <w:sz w:val="14"/>
                <w:szCs w:val="14"/>
                <w:color w:val="auto"/>
              </w:rPr>
              <w:t>Total stockholders’ deficit</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(92,603)</w:t>
            </w:r>
          </w:p>
        </w:tc>
        <w:tc>
          <w:tcPr>
            <w:tcW w:w="5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(106,388)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(110,523)</w:t>
            </w:r>
          </w:p>
        </w:tc>
        <w:tc>
          <w:tcPr>
            <w:tcW w:w="5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liabilities, redeemable convertible preferred stock, and stockholders’ deficit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33,563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41,670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57,647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57,655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9,393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revenues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9,919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14,304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2,949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9,901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(22,163)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(13,770)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(4,658)</w:t>
            </w: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12,126,544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12,252,629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12,206,325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12,365,371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81,934,173</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87,018,919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16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Year Ended</w:t>
            </w:r>
          </w:p>
        </w:tc>
        <w:tc>
          <w:tcPr>
            <w:tcW w:w="166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7180" w:type="dxa"/>
            <w:vAlign w:val="bottom"/>
          </w:tcPr>
          <w:p>
            <w:pPr>
              <w:spacing w:after="0"/>
              <w:rPr>
                <w:sz w:val="14"/>
                <w:szCs w:val="14"/>
                <w:color w:val="auto"/>
              </w:rPr>
            </w:pPr>
          </w:p>
        </w:tc>
        <w:tc>
          <w:tcPr>
            <w:tcW w:w="216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5"/>
          </w:tcPr>
          <w:p>
            <w:pPr>
              <w:jc w:val="center"/>
              <w:ind w:right="41"/>
              <w:spacing w:after="0"/>
              <w:rPr>
                <w:sz w:val="20"/>
                <w:szCs w:val="20"/>
                <w:color w:val="auto"/>
              </w:rPr>
            </w:pPr>
            <w:r>
              <w:rPr>
                <w:rFonts w:ascii="Arial" w:cs="Arial" w:eastAsia="Arial" w:hAnsi="Arial"/>
                <w:sz w:val="14"/>
                <w:szCs w:val="14"/>
                <w:b w:val="1"/>
                <w:bCs w:val="1"/>
                <w:color w:val="auto"/>
                <w:w w:val="95"/>
              </w:rPr>
              <w:t>Ended March 31,</w:t>
            </w:r>
          </w:p>
        </w:tc>
      </w:tr>
      <w:tr>
        <w:trPr>
          <w:trHeight w:val="142"/>
        </w:trPr>
        <w:tc>
          <w:tcPr>
            <w:tcW w:w="7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$(23,598)</w:t>
            </w: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0"/>
              </w:rPr>
              <w:t>$(19,886)</w:t>
            </w: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$(5,375)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$(5,685)</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(23,591</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(19,891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(5,372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(5,670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data)</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Series A</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4"/>
          </w:tcPr>
          <w:p>
            <w:pPr>
              <w:jc w:val="center"/>
              <w:ind w:right="100"/>
              <w:spacing w:after="0" w:line="140" w:lineRule="exact"/>
              <w:rPr>
                <w:sz w:val="20"/>
                <w:szCs w:val="20"/>
                <w:color w:val="auto"/>
              </w:rPr>
            </w:pPr>
            <w:r>
              <w:rPr>
                <w:rFonts w:ascii="Arial" w:cs="Arial" w:eastAsia="Arial" w:hAnsi="Arial"/>
                <w:sz w:val="13"/>
                <w:szCs w:val="13"/>
                <w:b w:val="1"/>
                <w:bCs w:val="1"/>
                <w:color w:val="auto"/>
                <w:w w:val="86"/>
              </w:rPr>
              <w:t>Redeemable</w:t>
            </w:r>
          </w:p>
        </w:tc>
        <w:tc>
          <w:tcPr>
            <w:tcW w:w="1360" w:type="dxa"/>
            <w:vAlign w:val="bottom"/>
            <w:gridSpan w:val="4"/>
          </w:tcPr>
          <w:p>
            <w:pPr>
              <w:ind w:left="80"/>
              <w:spacing w:after="0" w:line="140" w:lineRule="exact"/>
              <w:rPr>
                <w:sz w:val="20"/>
                <w:szCs w:val="20"/>
                <w:color w:val="auto"/>
              </w:rPr>
            </w:pPr>
            <w:r>
              <w:rPr>
                <w:rFonts w:ascii="Arial" w:cs="Arial" w:eastAsia="Arial" w:hAnsi="Arial"/>
                <w:sz w:val="13"/>
                <w:szCs w:val="13"/>
                <w:b w:val="1"/>
                <w:bCs w:val="1"/>
                <w:color w:val="auto"/>
                <w:w w:val="95"/>
              </w:rPr>
              <w:t>Series B Redeemable</w:t>
            </w:r>
          </w:p>
        </w:tc>
        <w:tc>
          <w:tcPr>
            <w:tcW w:w="1360" w:type="dxa"/>
            <w:vAlign w:val="bottom"/>
            <w:gridSpan w:val="4"/>
          </w:tcPr>
          <w:p>
            <w:pPr>
              <w:jc w:val="center"/>
              <w:ind w:right="80"/>
              <w:spacing w:after="0" w:line="140" w:lineRule="exact"/>
              <w:rPr>
                <w:sz w:val="20"/>
                <w:szCs w:val="20"/>
                <w:color w:val="auto"/>
              </w:rPr>
            </w:pPr>
            <w:r>
              <w:rPr>
                <w:rFonts w:ascii="Arial" w:cs="Arial" w:eastAsia="Arial" w:hAnsi="Arial"/>
                <w:sz w:val="13"/>
                <w:szCs w:val="13"/>
                <w:b w:val="1"/>
                <w:bCs w:val="1"/>
                <w:color w:val="auto"/>
                <w:w w:val="84"/>
              </w:rPr>
              <w:t>Series C Redeemable</w:t>
            </w: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36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w w:val="97"/>
              </w:rPr>
              <w:t>Convertible Preferred</w:t>
            </w:r>
          </w:p>
        </w:tc>
        <w:tc>
          <w:tcPr>
            <w:tcW w:w="13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Arial" w:cs="Arial" w:eastAsia="Arial" w:hAnsi="Arial"/>
                <w:sz w:val="13"/>
                <w:szCs w:val="13"/>
                <w:b w:val="1"/>
                <w:bCs w:val="1"/>
                <w:color w:val="auto"/>
                <w:w w:val="88"/>
              </w:rPr>
              <w:t>Preferred Stock</w:t>
            </w:r>
          </w:p>
        </w:tc>
        <w:tc>
          <w:tcPr>
            <w:tcW w:w="780" w:type="dxa"/>
            <w:vAlign w:val="bottom"/>
            <w:gridSpan w:val="2"/>
          </w:tcPr>
          <w:p>
            <w:pPr>
              <w:ind w:left="480"/>
              <w:spacing w:after="0" w:line="149" w:lineRule="exact"/>
              <w:rPr>
                <w:sz w:val="20"/>
                <w:szCs w:val="20"/>
                <w:color w:val="auto"/>
              </w:rPr>
            </w:pPr>
            <w:r>
              <w:rPr>
                <w:rFonts w:ascii="Arial" w:cs="Arial" w:eastAsia="Arial" w:hAnsi="Arial"/>
                <w:sz w:val="13"/>
                <w:szCs w:val="13"/>
                <w:b w:val="1"/>
                <w:bCs w:val="1"/>
                <w:color w:val="auto"/>
                <w:w w:val="78"/>
              </w:rPr>
              <w:t>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80"/>
              <w:spacing w:after="0" w:line="149" w:lineRule="exact"/>
              <w:rPr>
                <w:sz w:val="20"/>
                <w:szCs w:val="20"/>
                <w:color w:val="auto"/>
              </w:rPr>
            </w:pPr>
            <w:r>
              <w:rPr>
                <w:rFonts w:ascii="Arial" w:cs="Arial" w:eastAsia="Arial" w:hAnsi="Arial"/>
                <w:sz w:val="13"/>
                <w:szCs w:val="13"/>
                <w:b w:val="1"/>
                <w:bCs w:val="1"/>
                <w:color w:val="auto"/>
                <w:w w:val="86"/>
              </w:rPr>
              <w:t>Preferred Stock</w:t>
            </w:r>
          </w:p>
        </w:tc>
        <w:tc>
          <w:tcPr>
            <w:tcW w:w="68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1100" w:type="dxa"/>
            <w:vAlign w:val="bottom"/>
            <w:gridSpan w:val="3"/>
          </w:tcPr>
          <w:p>
            <w:pPr>
              <w:ind w:left="240"/>
              <w:spacing w:after="0" w:line="149" w:lineRule="exact"/>
              <w:rPr>
                <w:sz w:val="20"/>
                <w:szCs w:val="20"/>
                <w:color w:val="auto"/>
              </w:rPr>
            </w:pPr>
            <w:r>
              <w:rPr>
                <w:rFonts w:ascii="Arial" w:cs="Arial" w:eastAsia="Arial" w:hAnsi="Arial"/>
                <w:sz w:val="13"/>
                <w:szCs w:val="13"/>
                <w:b w:val="1"/>
                <w:bCs w:val="1"/>
                <w:color w:val="auto"/>
                <w:w w:val="88"/>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tcPr>
          <w:p>
            <w:pPr>
              <w:spacing w:after="0" w:line="149" w:lineRule="exact"/>
              <w:rPr>
                <w:sz w:val="20"/>
                <w:szCs w:val="20"/>
                <w:color w:val="auto"/>
              </w:rPr>
            </w:pPr>
            <w:r>
              <w:rPr>
                <w:rFonts w:ascii="Arial" w:cs="Arial" w:eastAsia="Arial" w:hAnsi="Arial"/>
                <w:sz w:val="13"/>
                <w:szCs w:val="13"/>
                <w:b w:val="1"/>
                <w:bCs w:val="1"/>
                <w:color w:val="auto"/>
                <w:w w:val="95"/>
              </w:rPr>
              <w:t>Stockholders’</w:t>
            </w: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2"/>
              </w:rPr>
              <w:t>Shares</w:t>
            </w:r>
          </w:p>
        </w:tc>
        <w:tc>
          <w:tcPr>
            <w:tcW w:w="4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Deficit</w:t>
            </w:r>
          </w:p>
        </w:tc>
      </w:tr>
      <w:tr>
        <w:trPr>
          <w:trHeight w:val="106"/>
        </w:trPr>
        <w:tc>
          <w:tcPr>
            <w:tcW w:w="20" w:type="dxa"/>
            <w:vAlign w:val="bottom"/>
          </w:tcPr>
          <w:p>
            <w:pPr>
              <w:spacing w:after="0"/>
              <w:rPr>
                <w:sz w:val="9"/>
                <w:szCs w:val="9"/>
                <w:color w:val="auto"/>
              </w:rPr>
            </w:pPr>
          </w:p>
        </w:tc>
        <w:tc>
          <w:tcPr>
            <w:tcW w:w="12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Balances at</w:t>
            </w: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2016</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31,249,991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4"/>
              </w:rPr>
              <w:t>$ 20,261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19,198,194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4"/>
              </w:rPr>
              <w:t>$ 22,047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16,778,800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$ 33,687</w:t>
            </w: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$ 75,995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12,083,370</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2,196</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(72,021)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(69,841)</w:t>
            </w: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Repurchase of early</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exercise stock</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options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(7,783)</w:t>
            </w:r>
          </w:p>
        </w:tc>
        <w:tc>
          <w:tcPr>
            <w:tcW w:w="2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stock</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122,498</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w:t>
            </w: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compensation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expense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753</w:t>
            </w: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Translation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r>
      <w:tr>
        <w:trPr>
          <w:trHeight w:val="155"/>
        </w:trPr>
        <w:tc>
          <w:tcPr>
            <w:tcW w:w="20" w:type="dxa"/>
            <w:vAlign w:val="bottom"/>
          </w:tcPr>
          <w:p>
            <w:pPr>
              <w:spacing w:after="0"/>
              <w:rPr>
                <w:sz w:val="13"/>
                <w:szCs w:val="13"/>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(23,598)</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(23,598)</w:t>
            </w:r>
          </w:p>
        </w:tc>
      </w:tr>
      <w:tr>
        <w:trPr>
          <w:trHeight w:val="126"/>
        </w:trPr>
        <w:tc>
          <w:tcPr>
            <w:tcW w:w="20" w:type="dxa"/>
            <w:vAlign w:val="bottom"/>
          </w:tcPr>
          <w:p>
            <w:pPr>
              <w:spacing w:after="0"/>
              <w:rPr>
                <w:sz w:val="10"/>
                <w:szCs w:val="10"/>
                <w:color w:val="auto"/>
              </w:rPr>
            </w:pPr>
          </w:p>
        </w:tc>
        <w:tc>
          <w:tcPr>
            <w:tcW w:w="12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31,249,991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20,261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19,198,194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22,047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16,778,800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33,687</w:t>
            </w: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75,995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12,198,085</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3,025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(95,619)</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(92,603)</w:t>
            </w: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Convertible Notes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conversion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September 20,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w w:val="98"/>
              </w:rPr>
              <w:t>2018 (see Note 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net of issuance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cost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6,671,990</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13,409</w:t>
            </w: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13,409</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 component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credited to</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paid-in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upon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 Notes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modifications 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May 31, 2018 and</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August 20, 2018</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(see Note 6)</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4,690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w:t>
            </w: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Proceeds from</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options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134,580</w:t>
            </w:r>
          </w:p>
        </w:tc>
        <w:tc>
          <w:tcPr>
            <w:tcW w:w="2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99</w:t>
            </w: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compensation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1,317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1,317</w:t>
            </w: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Translation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(19,886)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(19,886)</w:t>
            </w:r>
          </w:p>
        </w:tc>
      </w:tr>
      <w:tr>
        <w:trPr>
          <w:trHeight w:val="133"/>
        </w:trPr>
        <w:tc>
          <w:tcPr>
            <w:tcW w:w="13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Balances at</w:t>
            </w: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31,249,991</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$ 20,261</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19,198,194</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$ 22,047</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23,450,790</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$ 47,096</w:t>
            </w: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84"/>
              </w:rPr>
              <w:t>$ 89,404</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12,332,665</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9,131</w:t>
            </w:r>
          </w:p>
        </w:tc>
        <w:tc>
          <w:tcPr>
            <w:tcW w:w="20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(115,505)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(106,388)</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4"/>
              </w:rPr>
              <w:t>Series A Redeemable</w:t>
            </w:r>
          </w:p>
        </w:tc>
        <w:tc>
          <w:tcPr>
            <w:tcW w:w="13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4"/>
              </w:rPr>
              <w:t>Series B Redeemable</w:t>
            </w:r>
          </w:p>
        </w:tc>
        <w:tc>
          <w:tcPr>
            <w:tcW w:w="13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4"/>
              </w:rPr>
              <w:t>Series C Redeemable</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38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34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w w:val="88"/>
              </w:rPr>
              <w:t>Preferred Stock</w:t>
            </w:r>
          </w:p>
        </w:tc>
        <w:tc>
          <w:tcPr>
            <w:tcW w:w="1380" w:type="dxa"/>
            <w:vAlign w:val="bottom"/>
            <w:gridSpan w:val="4"/>
          </w:tcPr>
          <w:p>
            <w:pPr>
              <w:jc w:val="center"/>
              <w:ind w:right="120"/>
              <w:spacing w:after="0" w:line="115" w:lineRule="exact"/>
              <w:rPr>
                <w:sz w:val="20"/>
                <w:szCs w:val="20"/>
                <w:color w:val="auto"/>
              </w:rPr>
            </w:pPr>
            <w:r>
              <w:rPr>
                <w:rFonts w:ascii="Arial" w:cs="Arial" w:eastAsia="Arial" w:hAnsi="Arial"/>
                <w:sz w:val="13"/>
                <w:szCs w:val="13"/>
                <w:b w:val="1"/>
                <w:bCs w:val="1"/>
                <w:color w:val="auto"/>
                <w:w w:val="88"/>
              </w:rPr>
              <w:t>Preferred Stock</w:t>
            </w:r>
          </w:p>
        </w:tc>
        <w:tc>
          <w:tcPr>
            <w:tcW w:w="1340" w:type="dxa"/>
            <w:vAlign w:val="bottom"/>
            <w:gridSpan w:val="4"/>
          </w:tcPr>
          <w:p>
            <w:pPr>
              <w:jc w:val="center"/>
              <w:ind w:right="60"/>
              <w:spacing w:after="0" w:line="115" w:lineRule="exact"/>
              <w:rPr>
                <w:sz w:val="20"/>
                <w:szCs w:val="20"/>
                <w:color w:val="auto"/>
              </w:rPr>
            </w:pPr>
            <w:r>
              <w:rPr>
                <w:rFonts w:ascii="Arial" w:cs="Arial" w:eastAsia="Arial" w:hAnsi="Arial"/>
                <w:sz w:val="13"/>
                <w:szCs w:val="13"/>
                <w:b w:val="1"/>
                <w:bCs w:val="1"/>
                <w:color w:val="auto"/>
                <w:w w:val="86"/>
              </w:rPr>
              <w:t>Preferred Stock</w:t>
            </w:r>
          </w:p>
        </w:tc>
        <w:tc>
          <w:tcPr>
            <w:tcW w:w="4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1"/>
                <w:szCs w:val="11"/>
                <w:color w:val="auto"/>
              </w:rPr>
            </w:pPr>
          </w:p>
        </w:tc>
        <w:tc>
          <w:tcPr>
            <w:tcW w:w="1060" w:type="dxa"/>
            <w:vAlign w:val="bottom"/>
            <w:gridSpan w:val="4"/>
          </w:tcPr>
          <w:p>
            <w:pPr>
              <w:ind w:left="200"/>
              <w:spacing w:after="0" w:line="115" w:lineRule="exact"/>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15" w:lineRule="exact"/>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11"/>
                <w:szCs w:val="11"/>
                <w:color w:val="auto"/>
              </w:rPr>
            </w:pPr>
          </w:p>
        </w:tc>
        <w:tc>
          <w:tcPr>
            <w:tcW w:w="10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Comprehensive</w:t>
            </w:r>
          </w:p>
        </w:tc>
        <w:tc>
          <w:tcPr>
            <w:tcW w:w="88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Balances at</w:t>
            </w: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31,249,991</w:t>
            </w:r>
          </w:p>
        </w:tc>
        <w:tc>
          <w:tcPr>
            <w:tcW w:w="70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8"/>
              </w:rPr>
              <w:t>$ 20,261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19,198,194</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1"/>
              </w:rPr>
              <w:t>$ 22,047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16,778,800</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$ 33,687</w:t>
            </w:r>
          </w:p>
        </w:tc>
        <w:tc>
          <w:tcPr>
            <w:tcW w:w="740" w:type="dxa"/>
            <w:vAlign w:val="bottom"/>
            <w:tcBorders>
              <w:right w:val="single" w:sz="8" w:color="auto"/>
            </w:tcBorders>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88"/>
              </w:rPr>
              <w:t>$ 75,995</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12,198,085</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3,025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(95,619)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color w:val="auto"/>
              </w:rPr>
              <w:t>expense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50,625</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Translation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(5,375)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133"/>
        </w:trPr>
        <w:tc>
          <w:tcPr>
            <w:tcW w:w="11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Balances at</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March 31, 2018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31,249,991</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$ 20,261</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19,198,194</w:t>
            </w:r>
          </w:p>
        </w:tc>
        <w:tc>
          <w:tcPr>
            <w:tcW w:w="700" w:type="dxa"/>
            <w:vAlign w:val="bottom"/>
            <w:gridSpan w:val="3"/>
          </w:tcPr>
          <w:p>
            <w:pPr>
              <w:jc w:val="center"/>
              <w:spacing w:after="0"/>
              <w:rPr>
                <w:sz w:val="20"/>
                <w:szCs w:val="20"/>
                <w:color w:val="auto"/>
              </w:rPr>
            </w:pPr>
            <w:r>
              <w:rPr>
                <w:rFonts w:ascii="Arial" w:cs="Arial" w:eastAsia="Arial" w:hAnsi="Arial"/>
                <w:sz w:val="14"/>
                <w:szCs w:val="14"/>
                <w:color w:val="auto"/>
                <w:w w:val="91"/>
              </w:rPr>
              <w:t>$ 22,047</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16,778,800</w:t>
            </w:r>
          </w:p>
        </w:tc>
        <w:tc>
          <w:tcPr>
            <w:tcW w:w="640" w:type="dxa"/>
            <w:vAlign w:val="bottom"/>
            <w:gridSpan w:val="3"/>
          </w:tcPr>
          <w:p>
            <w:pPr>
              <w:jc w:val="center"/>
              <w:spacing w:after="0"/>
              <w:rPr>
                <w:sz w:val="20"/>
                <w:szCs w:val="20"/>
                <w:color w:val="auto"/>
              </w:rPr>
            </w:pPr>
            <w:r>
              <w:rPr>
                <w:rFonts w:ascii="Arial" w:cs="Arial" w:eastAsia="Arial" w:hAnsi="Arial"/>
                <w:sz w:val="14"/>
                <w:szCs w:val="14"/>
                <w:color w:val="auto"/>
                <w:w w:val="88"/>
              </w:rPr>
              <w:t>$ 33,687</w:t>
            </w:r>
          </w:p>
        </w:tc>
        <w:tc>
          <w:tcPr>
            <w:tcW w:w="74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88"/>
              </w:rPr>
              <w:t>$ 75,995</w:t>
            </w: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12,248,710</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3,220</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(100,994)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40" w:type="dxa"/>
            <w:vAlign w:val="bottom"/>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31,249,991</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$ 20,261</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19,198,194</w:t>
            </w:r>
          </w:p>
        </w:tc>
        <w:tc>
          <w:tcPr>
            <w:tcW w:w="700" w:type="dxa"/>
            <w:vAlign w:val="bottom"/>
            <w:gridSpan w:val="3"/>
          </w:tcPr>
          <w:p>
            <w:pPr>
              <w:jc w:val="center"/>
              <w:spacing w:after="0"/>
              <w:rPr>
                <w:sz w:val="20"/>
                <w:szCs w:val="20"/>
                <w:color w:val="auto"/>
              </w:rPr>
            </w:pPr>
            <w:r>
              <w:rPr>
                <w:rFonts w:ascii="Arial" w:cs="Arial" w:eastAsia="Arial" w:hAnsi="Arial"/>
                <w:sz w:val="14"/>
                <w:szCs w:val="14"/>
                <w:color w:val="auto"/>
                <w:w w:val="91"/>
              </w:rPr>
              <w:t>$ 22,047</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23,450,790</w:t>
            </w:r>
          </w:p>
        </w:tc>
        <w:tc>
          <w:tcPr>
            <w:tcW w:w="640" w:type="dxa"/>
            <w:vAlign w:val="bottom"/>
            <w:gridSpan w:val="3"/>
          </w:tcPr>
          <w:p>
            <w:pPr>
              <w:jc w:val="center"/>
              <w:spacing w:after="0"/>
              <w:rPr>
                <w:sz w:val="20"/>
                <w:szCs w:val="20"/>
                <w:color w:val="auto"/>
              </w:rPr>
            </w:pPr>
            <w:r>
              <w:rPr>
                <w:rFonts w:ascii="Arial" w:cs="Arial" w:eastAsia="Arial" w:hAnsi="Arial"/>
                <w:sz w:val="14"/>
                <w:szCs w:val="14"/>
                <w:color w:val="auto"/>
                <w:w w:val="88"/>
              </w:rPr>
              <w:t>$ 47,096</w:t>
            </w:r>
          </w:p>
        </w:tc>
        <w:tc>
          <w:tcPr>
            <w:tcW w:w="74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88"/>
              </w:rPr>
              <w:t>$ 89,404</w:t>
            </w: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12,332,665</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9,131</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(115,505)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(106,388)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Proceeds from</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332,601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(Note</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Translation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(5,685)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133"/>
        </w:trPr>
        <w:tc>
          <w:tcPr>
            <w:tcW w:w="11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Balances at</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31,249,991</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$ 20,261</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19,198,194</w:t>
            </w:r>
          </w:p>
        </w:tc>
        <w:tc>
          <w:tcPr>
            <w:tcW w:w="700" w:type="dxa"/>
            <w:vAlign w:val="bottom"/>
            <w:gridSpan w:val="3"/>
          </w:tcPr>
          <w:p>
            <w:pPr>
              <w:jc w:val="center"/>
              <w:spacing w:after="0"/>
              <w:rPr>
                <w:sz w:val="20"/>
                <w:szCs w:val="20"/>
                <w:color w:val="auto"/>
              </w:rPr>
            </w:pPr>
            <w:r>
              <w:rPr>
                <w:rFonts w:ascii="Arial" w:cs="Arial" w:eastAsia="Arial" w:hAnsi="Arial"/>
                <w:sz w:val="14"/>
                <w:szCs w:val="14"/>
                <w:color w:val="auto"/>
                <w:w w:val="91"/>
              </w:rPr>
              <w:t>$ 22,047</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23,450,790</w:t>
            </w:r>
          </w:p>
        </w:tc>
        <w:tc>
          <w:tcPr>
            <w:tcW w:w="640" w:type="dxa"/>
            <w:vAlign w:val="bottom"/>
            <w:gridSpan w:val="3"/>
          </w:tcPr>
          <w:p>
            <w:pPr>
              <w:jc w:val="center"/>
              <w:spacing w:after="0"/>
              <w:rPr>
                <w:sz w:val="20"/>
                <w:szCs w:val="20"/>
                <w:color w:val="auto"/>
              </w:rPr>
            </w:pPr>
            <w:r>
              <w:rPr>
                <w:rFonts w:ascii="Arial" w:cs="Arial" w:eastAsia="Arial" w:hAnsi="Arial"/>
                <w:sz w:val="14"/>
                <w:szCs w:val="14"/>
                <w:color w:val="auto"/>
                <w:w w:val="88"/>
              </w:rPr>
              <w:t>$ 47,096</w:t>
            </w:r>
          </w:p>
        </w:tc>
        <w:tc>
          <w:tcPr>
            <w:tcW w:w="74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88"/>
              </w:rPr>
              <w:t>$ 89,404</w:t>
            </w: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12,665,266</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10,666</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(121,190)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(110,523)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ind w:left="40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gridSpan w:val="5"/>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(23,598)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(19,886)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(5,375)</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60"/>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1,216</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3,066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Noncash lease expense</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60"/>
              <w:spacing w:after="0" w:line="149" w:lineRule="exact"/>
              <w:rPr>
                <w:sz w:val="20"/>
                <w:szCs w:val="20"/>
                <w:color w:val="auto"/>
              </w:rPr>
            </w:pPr>
            <w:r>
              <w:rPr>
                <w:rFonts w:ascii="Arial" w:cs="Arial" w:eastAsia="Arial" w:hAnsi="Arial"/>
                <w:sz w:val="14"/>
                <w:szCs w:val="14"/>
                <w:color w:val="auto"/>
              </w:rPr>
              <w:t>Stock-based compensation expense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753</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Loss on debt extinguishment</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4,658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60"/>
              <w:spacing w:after="0" w:line="149" w:lineRule="exact"/>
              <w:rPr>
                <w:sz w:val="20"/>
                <w:szCs w:val="20"/>
                <w:color w:val="auto"/>
              </w:rPr>
            </w:pPr>
            <w:r>
              <w:rPr>
                <w:rFonts w:ascii="Arial" w:cs="Arial" w:eastAsia="Arial" w:hAnsi="Arial"/>
                <w:sz w:val="14"/>
                <w:szCs w:val="14"/>
                <w:color w:val="auto"/>
              </w:rPr>
              <w:t>Change in fair value of convertible preferred stock warrant liability</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Change in fair value of compound derivative instrument</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60"/>
              <w:spacing w:after="0" w:line="149" w:lineRule="exact"/>
              <w:rPr>
                <w:sz w:val="20"/>
                <w:szCs w:val="20"/>
                <w:color w:val="auto"/>
              </w:rPr>
            </w:pPr>
            <w:r>
              <w:rPr>
                <w:rFonts w:ascii="Arial" w:cs="Arial" w:eastAsia="Arial" w:hAnsi="Arial"/>
                <w:sz w:val="14"/>
                <w:szCs w:val="14"/>
                <w:color w:val="auto"/>
              </w:rPr>
              <w:t>Accretion of noncash interest and debt reduction</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928</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Accounts receivable</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540"/>
              <w:spacing w:after="0" w:line="149" w:lineRule="exact"/>
              <w:rPr>
                <w:sz w:val="20"/>
                <w:szCs w:val="20"/>
                <w:color w:val="auto"/>
              </w:rPr>
            </w:pPr>
            <w:r>
              <w:rPr>
                <w:rFonts w:ascii="Arial" w:cs="Arial" w:eastAsia="Arial" w:hAnsi="Arial"/>
                <w:sz w:val="14"/>
                <w:szCs w:val="14"/>
                <w:color w:val="auto"/>
              </w:rPr>
              <w:t>Inventories and other deferred costs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(539)</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540"/>
              <w:spacing w:after="0" w:line="149" w:lineRule="exact"/>
              <w:rPr>
                <w:sz w:val="20"/>
                <w:szCs w:val="20"/>
                <w:color w:val="auto"/>
              </w:rPr>
            </w:pPr>
            <w:r>
              <w:rPr>
                <w:rFonts w:ascii="Arial" w:cs="Arial" w:eastAsia="Arial" w:hAnsi="Arial"/>
                <w:sz w:val="14"/>
                <w:szCs w:val="14"/>
                <w:color w:val="auto"/>
              </w:rPr>
              <w:t>Accounts payable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2,635</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Accrued and other current liabilities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540"/>
              <w:spacing w:after="0" w:line="149" w:lineRule="exact"/>
              <w:rPr>
                <w:sz w:val="20"/>
                <w:szCs w:val="20"/>
                <w:color w:val="auto"/>
              </w:rPr>
            </w:pPr>
            <w:r>
              <w:rPr>
                <w:rFonts w:ascii="Arial" w:cs="Arial" w:eastAsia="Arial" w:hAnsi="Arial"/>
                <w:sz w:val="14"/>
                <w:szCs w:val="14"/>
                <w:color w:val="auto"/>
              </w:rPr>
              <w:t>Contract liabilities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19,072</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Other long-term liabilities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(5,158)</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cash used in investing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(5,158)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(7,852)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55"/>
        </w:trPr>
        <w:tc>
          <w:tcPr>
            <w:tcW w:w="5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17,225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Payments of costs related to initial public offering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issuance cost</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Repayments under borrowing arrangements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(823)</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C redeemable convertible preferred stock issuance costs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14,386</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6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the period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11,077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22,617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22,617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the period</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22,617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19,744</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21,844</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33,237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noncash investing and financing activities: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Property and equipment costs incurred but not paid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 conversion on September 20, 2018 (see Note 6)</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Recognition of operating lease right-of-use asset</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Unpaid initial public offering costs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AND SUBSIDIARY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Company and Nature of Business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Personalis, Inc. (the “Company”) was incorporated in Delaware on February 21, 2011, and began operations in September 2011. The Company formed a wholly owned subsidiary, Personalis (UK) Ltd., in August 2013.</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Company is a growing cancer genomics company transforming the development of next-generation therapies by providing more comprehensive molecular data about each patient’s cancer and immune response. The Company designed its NeXT Platform to adapt to the complex and evolving understanding of cancer, providing its biopharmaceutical customers with information on all of the approximately 20,000 human genes, together with the immune system, in contrast to many cancer panels that cover roughly 50 to 500 genes.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Since inception, the Company has been engaged in developing its complete sequencing technology, raising capital, and recruiting personnel. The Company has incurred net operating losses and negative cash flows from operations every year. At December 31, 2017 and 2018, the Company had an accumulated deficit of $95.6 million and $115.5 million, respectively, and $121.2 million for the three months ended March 31, 2019 (unaudited). The Company believes that its existing sources of liquidity will satisfy its working capital and capital requirements for at least 12 months. Failure to generate sufficient revenues, achieve planned gross margins, or control operating costs will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281"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 the Company’s consolidated financial position, results of operations, and cash flows as of and for the years ended December 31, 2017 and 2018. The Company’s consolidated financial statements include the accounts of the Company and its wholly owned subsidiary, Personalis (UK), Ltd. All intercompany balances and transactions have been eliminated in consolidation.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The accompanying consolidated balance sheet as of March 31, 2019, the consolidated statements of operations and of cash flows for the three months ended March 31, 2018 and 2019, and the consolidated statement of redeemable convertible preferred stock and stockholders’ deficit for the three months ended March 31, 2019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2019 and the results of its operations and its cash flows for the three months ended March 31, 2018 and 2019. The financial data and other information disclosed in these notes related to the three months ended March 31, 2018 and 2019 are also unaudited. The results for the three months ended March 31, 2019 are not necessarily indicative of results to be expected for the year ending December 31, 2019, any other interim periods, or any future year or period.</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The March 31, 2019 unaudited consolidated pro forma balance sheet has been prepared assuming the following capital transactions will occur in connection with the Company’s offering: (i) the automatic conversion of all outstanding shares of redeemable convertible preferred stock into shares of common stock; (ii) the automatic conversion of two warrants to purchase an aggregate of 338,341 shares of our redeemable convertible preferred stock, outstanding as of March 31, 2019, into warrants to purchase an equivalent number of shares of our common stock, and the related reclassification of redeemable convertible preferred stock warrant liability to stockholders’ equity, (iii) the exercise of a warrant to purchase 754,573 shares of common stock, and (iv) stock-based compensation expense of $0.9 million associated with outstanding stock options subject to a performance condition for which the service-based vesting condition was satisfied as of March 31, 2019 and which the Company will recognize in connection with this offering.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stockholders’ deficit does not assume any proceeds from the offering.</w:t>
      </w:r>
    </w:p>
    <w:p>
      <w:pPr>
        <w:spacing w:after="0" w:line="22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unaudited pro forma basic and diluted net loss per share have been computed to give effect to the automatic conversion of the redeemable convertible preferred stock into shares of common stock and the exercise of a warrant to purchase 754,573 shares of common stock as of the beginning of the respective period or the date of issuance, if later.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 during the reporting period. The estimates include, but are not limited to, useful lives assigned to long-lived assets, the valuation of common and convertible redeemable preferred stock and related warrants and options, the valuation of the compound derivative instrument,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 xml:space="preserve">The Company determined its reporting and operating segments in accordance with Financial Accounting Standards Board (“FASB”) Accounting Standards Codification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The Company identifies an operating segment as an entity component that has its own discrete financial information, which is available and regularly reviewed by the chief operating decision maker or decision-making group when making decisions regarding resource allocation and performance assessment. The Company operates and manages its business as one reportable operating segment, which is the business of advanced genomics. The Company’s chief executive officer, who is the chief operating decision maker, reviews financial information on an aggregate basis for purposes of allocating resources and evaluating financial performance.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The Company’s financial instruments consist of cash and cash equivalents, accounts receivable, accounts payable, accrued liabilities, redeemable convertible preferred stock and convertible note liability, compound derivative instrument, and short-term and long-term debt. The Company states accounts receivable, accounts payable, and accrued liabilities at their carrying value, which approximates fair value due to the short time to the expected receipt or payment. The carrying amount of the Company’s short-term debt approximates its fair value as the effective interest rate approximates market rates currently available to the Company. The convertible preferred stock warrant liability and compound derivative instrument associated with the Company’s convertible note discussed in Note 5 are carried at fair value based on unobservable market inputs.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time of purchase to be cash and cash equivalents. Cash and cash equivalents consist primarily of amounts invested in money market funds.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Trade accounts receivable are recorded at the invoiced amount and are noninterest bearing. At each reporting period, management reviews all outstanding customer balances to determine if the facts and circumstances of each customer relationship indicate the need for a reserve. The Company did not have any bad debt expense or allowance for doubtful accounts at December 31, 2017 and 2018 and March 31, 2019 (unaudited).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 and Other Deferred Costs</w:t>
      </w:r>
    </w:p>
    <w:p>
      <w:pPr>
        <w:spacing w:after="0" w:line="117" w:lineRule="exact"/>
        <w:rPr>
          <w:sz w:val="20"/>
          <w:szCs w:val="20"/>
          <w:color w:val="auto"/>
        </w:rPr>
      </w:pPr>
    </w:p>
    <w:p>
      <w:pPr>
        <w:jc w:val="both"/>
        <w:ind w:left="220" w:firstLine="440"/>
        <w:spacing w:after="0" w:line="307" w:lineRule="auto"/>
        <w:rPr>
          <w:sz w:val="20"/>
          <w:szCs w:val="20"/>
          <w:color w:val="auto"/>
        </w:rPr>
      </w:pPr>
      <w:r>
        <w:rPr>
          <w:rFonts w:ascii="Arial" w:cs="Arial" w:eastAsia="Arial" w:hAnsi="Arial"/>
          <w:sz w:val="17"/>
          <w:szCs w:val="17"/>
          <w:color w:val="auto"/>
        </w:rPr>
        <w:t>Inventories, consisting of supplies used in the Company’s genomic analysis contracts, are valued at the lower of cost or market value; cost is determined using actual costs, on a first-in, first-out basis. Market value is determined as the lower of replacement cost or net realizable value.</w:t>
      </w:r>
    </w:p>
    <w:p>
      <w:pPr>
        <w:spacing w:after="0" w:line="14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depreciated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operations as incurred.</w:t>
      </w:r>
    </w:p>
    <w:p>
      <w:pPr>
        <w:spacing w:after="0" w:line="17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Construction-in-process assets consist primarily of computer equipment and machinery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83"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Internally used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On March 27, 2019, the Company submitted an initial registration statement with the U.S. Securities and Exchange Commission. As of March 31, 2019 (unaudited), deferred offering costs related to the filing totaling $2.0 million were capitalized and are included in “Prepaid expenses and other current assets”.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The redeemable convertible preferred stock is recorded outside of permanent equity because while it is not mandatorily redeemable, in the event of certain events considered not solely within the Company’s control, such as a merger, acquisition, and sale of all or substantially all of the Company’s assets (each, a “deemed liquidation event”), the redeemable convertible preferred stock will become redeemable at the option of the holders of at least a majority of the then-outstanding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of the liquidation preferences will be made only when it becomes probable that such a deemed liquidation event will occur.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Company’s common stock warrant is classified in equity as it meets all criteria for equity classification. The common stock warrant is recorded at fair value upon issuance as additional paid-in capital in the consolidated balance sheets. The common stock warrant is not remeasured after the issuance date.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Company’s convertible preferred stock warrants require liability classification and accounting as the underlying convertible preferred stock is considered contingently redeemable and may obligate the Company to transfer assets to the holders at a future date upon occurrence of a deemed liquidation event. The warrants are recorded at fair value upon issuance and are subject to remeasurement to fair value at each consolidated balance sheet date, with any changes in fair value recognized in the consolidated statements of operations. The Company will continue to adjust the warrant liability for changes in fair value until the earlier of the exercise or expiration of the convertible preferred stock warrants, occurrence of a deemed liquidation event, or conversion of convertible preferred stock into common stock.</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Compound Derivative Instrument</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convertible notes issued in June 2017 (see Note 6) contain embedded features that provide the lenders with multiple settlement alternatives. Certain of these settlement features provide the lenders a right to a fixed number of the Company’s shares upon conversion of the notes (the “conversion option”). Other settlement features provide the lenders the right or the obligation to receive cash or a variable number of shares upon the completion of a capital-raising transaction, change of control, or default of the Company (the “redemption features”).</w:t>
      </w:r>
    </w:p>
    <w:p>
      <w:pPr>
        <w:spacing w:after="0" w:line="170"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(see Note 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Financial instruments that subject the Company to concentration of credit risk consist of cash and cash equivalents. The Company’s cash and cash equivalents are deposited with a high-quality financial institution. Deposits at this institution may, at times, exceed federally insured limits. Management believes that this financial institution is financially sound and, accordingly, that minimal credit risk exists. The Company has not experienced any losses on its deposits of cash and cash equivalents.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307" w:lineRule="auto"/>
        <w:rPr>
          <w:sz w:val="20"/>
          <w:szCs w:val="20"/>
          <w:color w:val="auto"/>
        </w:rPr>
      </w:pPr>
      <w:r>
        <w:rPr>
          <w:rFonts w:ascii="Arial" w:cs="Arial" w:eastAsia="Arial" w:hAnsi="Arial"/>
          <w:sz w:val="17"/>
          <w:szCs w:val="17"/>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4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Company routinely assesses the creditworthiness of its customers. The Company has not experienced any material losses related to receivables from individual customers, or groups of customers. The Company does not require collateral. Due to these factors, no additional credit risk is believed by management to be probable in the Company’s accounts receivable.</w:t>
      </w:r>
    </w:p>
    <w:p>
      <w:pPr>
        <w:spacing w:after="0" w:line="18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As of December 31, 2017 and 2018 and as of March 31, 2018 and 2019, customers representing greater than 10% of accounts receivable were as follows: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As of December 31,</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As of March 31,</w:t>
            </w:r>
          </w:p>
        </w:tc>
      </w:tr>
      <w:tr>
        <w:trPr>
          <w:trHeight w:val="142"/>
        </w:trPr>
        <w:tc>
          <w:tcPr>
            <w:tcW w:w="53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14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14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2018</w:t>
            </w: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ind w:right="556"/>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Pfizer Inc.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Customer A</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17%</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Merck &amp; Co., Inc.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Customer B</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10%</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7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VA MVP</w:t>
            </w:r>
          </w:p>
        </w:tc>
        <w:tc>
          <w:tcPr>
            <w:tcW w:w="17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Less than 10% of accounts receivable.</w:t>
      </w:r>
    </w:p>
    <w:p>
      <w:pPr>
        <w:spacing w:after="0" w:line="208"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For the years ended December 31, 2017 and 2018 and for the three months ended March 31, 2018, and 2019, customers representing equal to or greater than 10% of revenues were as follows: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4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5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Borders>
              <w:top w:val="single" w:sz="8" w:color="auto"/>
            </w:tcBorders>
          </w:tcPr>
          <w:p>
            <w:pPr>
              <w:jc w:val="right"/>
              <w:ind w:right="1237"/>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 MVP</w:t>
            </w:r>
          </w:p>
        </w:tc>
        <w:tc>
          <w:tcPr>
            <w:tcW w:w="1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w:t>
            </w:r>
          </w:p>
        </w:tc>
        <w:tc>
          <w:tcPr>
            <w:tcW w:w="19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rPr>
              <w:t>47%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Merck &amp; Co., Inc.</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w w:val="99"/>
              </w:rPr>
              <w:t>11%</w:t>
            </w:r>
          </w:p>
        </w:tc>
        <w:tc>
          <w:tcPr>
            <w:tcW w:w="62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900" w:type="dxa"/>
            <w:vAlign w:val="bottom"/>
          </w:tcPr>
          <w:p>
            <w:pPr>
              <w:jc w:val="right"/>
              <w:ind w:right="797"/>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Pfizer Inc.</w:t>
            </w:r>
          </w:p>
        </w:tc>
        <w:tc>
          <w:tcPr>
            <w:tcW w:w="1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90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w w:val="99"/>
              </w:rPr>
              <w:t>13%</w:t>
            </w:r>
          </w:p>
        </w:tc>
        <w:tc>
          <w:tcPr>
            <w:tcW w:w="620" w:type="dxa"/>
            <w:vAlign w:val="bottom"/>
          </w:tcPr>
          <w:p>
            <w:pPr>
              <w:spacing w:after="0"/>
              <w:rPr>
                <w:sz w:val="18"/>
                <w:szCs w:val="18"/>
                <w:color w:val="auto"/>
              </w:rPr>
            </w:pPr>
          </w:p>
        </w:tc>
        <w:tc>
          <w:tcPr>
            <w:tcW w:w="11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5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10%</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Less than 10% of revenues.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applies the revenue recognition guidance in accordance with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the new revenue recognition standard, management performs the following five steps: (i) identifies the contract(s) with a customer; (ii) identifies the performance obligations in the contract(s);</w:t>
      </w:r>
    </w:p>
    <w:p>
      <w:pPr>
        <w:spacing w:after="0" w:line="1" w:lineRule="exact"/>
        <w:rPr>
          <w:sz w:val="20"/>
          <w:szCs w:val="20"/>
          <w:color w:val="auto"/>
        </w:rPr>
      </w:pPr>
    </w:p>
    <w:p>
      <w:pPr>
        <w:jc w:val="both"/>
        <w:ind w:left="220" w:hanging="10"/>
        <w:spacing w:after="0" w:line="255" w:lineRule="auto"/>
        <w:tabs>
          <w:tab w:leader="none" w:pos="5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individual goods or services promised within each contract are distinct and, therefore, represent separate performance obligation.</w:t>
      </w:r>
    </w:p>
    <w:p>
      <w:pPr>
        <w:spacing w:after="0" w:line="225"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The Company derives revenues from sequencing and data analysis services to support the development of personalized cancer vaccines and other next-generation cancer immunotherapies. The Company’s contracts are in the form of a combination of signed agreements, statements of work, and/or purchase orders. Under ASC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75"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ASC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86"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The Company assessed each of its revenue-generating arrangements in order to determine whether a significant financing component exists and concluded that a significant financing component does not exist in any of its arrangements. The primary purpose of the Company’s invoicing terms is to provide customers with simplified and predictable ways of purchasing the Company’s services and provides payment protection for the Company.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117"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The Company’s costs of revenues primarily consist of production materials, personnel costs (e.g., salaries, bonuses, benefit, and stock-based compensation), cost of expensed equipment, consumables and laboratory supplies, information technology (“IT”) and facility costs, and depreciation and service maintenance contracts on capitalized equipment.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The Company incurs research and development expenses for costs it incurs in research aimed at developing new product offerings, including lab and automation development costs. The expenses primarily consist of employee-related costs (including stock-based compensation), laboratory and automation supplies and equipment, and related depreciation and amortization expenses.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For options granted to employees, non-employees, and directors, stock-based compensation is measured at grant date based on the fair value of the award. The Company determines the grant-date fair value of the options using the Black-Scholes option-pricing model and records forfeitures as they occur. The fair value of options granted to non-employees is amortized over the vesting period.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The fair value of the Company’s common stock is determined by the board of directors with assistance from management and, in part, on input from an independent third-party valuation firm. The board of directors determines the fair value of common stock by considering a number of objective and subjective factors, including valuations of comparable companies, sales of redeemable convertible preferred stock, operating and financial performance, the lack of liquidity of the Company’s common stock and the general and industry-specific economic outlook.</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The functional currency of the Company’s foreign subsidiary is the British pounds sterling. In preparing its consolidated financial statements, the Company is required to translate the financial statements of this subsidiary from British pounds sterling to U.S. dollars. Accordingly, monetary assets and liabilities of the Company’s subsidiary are remeasured using exchange rates in effect at the end of the period. Costs in the local currency are remeasured using average exchange rates for the period, except for costs related to those consolidated balance sheet items that are remeasured using historical exchange rates. Since the Company’s functional currency is deemed to be the local currency, any gain or loss associated with the translation of its consolidated financial statements is included, as a component of stockholders’ deficit, in accumulated other comprehensive income (loss).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Comprehensive loss includes all changes in equity (net assets) during the period from nonowner sources. The Company’s comprehensive loss consists of its net loss and its cumulative translation adjustments.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 xml:space="preserve">The Company uses the asset and liability method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7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70" w:lineRule="exact"/>
        <w:rPr>
          <w:sz w:val="20"/>
          <w:szCs w:val="20"/>
          <w:color w:val="auto"/>
        </w:rPr>
      </w:pPr>
    </w:p>
    <w:p>
      <w:pPr>
        <w:jc w:val="both"/>
        <w:ind w:left="220" w:right="20" w:firstLine="440"/>
        <w:spacing w:after="0" w:line="341"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accompanying consolidated statements of operations. Accrued interest and penalties are included within the related liability line in the consolidated balance sheets.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Basic net loss per common share is calculated by dividing the net loss attributable to common stockholders by the weighted-average number of shares of common stock outstanding during the period, without consideration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71" w:lineRule="auto"/>
        <w:rPr>
          <w:sz w:val="20"/>
          <w:szCs w:val="20"/>
          <w:color w:val="auto"/>
        </w:rPr>
      </w:pPr>
      <w:r>
        <w:rPr>
          <w:rFonts w:ascii="Arial" w:cs="Arial" w:eastAsia="Arial" w:hAnsi="Arial"/>
          <w:sz w:val="17"/>
          <w:szCs w:val="17"/>
          <w:color w:val="auto"/>
        </w:rPr>
        <w:t>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standard-setting bodies and adopted by the Company as of the specified effective date, unless otherwise discussed below. The Company will meet the definition of a public business entity and will adopt recently issued accounting pronouncements in accordance with the transition provisions and effective dates for public business entities. Below is a summary of the recently issued accounting pronouncements that will be relevant to the Company.</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Subsequently, the FASB also issued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adjusted the effective date of ASU No. 2014-09; ASU No. 2016-08,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(Topic 606): Principal versus Agent Considerations (Reporting Revenue Gross versus Net)</w:t>
      </w:r>
      <w:r>
        <w:rPr>
          <w:rFonts w:ascii="Arial" w:cs="Arial" w:eastAsia="Arial" w:hAnsi="Arial"/>
          <w:sz w:val="17"/>
          <w:szCs w:val="17"/>
          <w:color w:val="auto"/>
        </w:rPr>
        <w:t xml:space="preserve">, which amends the principal-versus-agent implementation guidance and illustrations in ASU No. 2014-09; ASU No. 2016-10,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which clarifies identifying performance obligation and licensing implementation guidance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illustrations in ASU No. 2014-09; and ASU No. 2016-12, </w:t>
      </w:r>
      <w:r>
        <w:rPr>
          <w:rFonts w:ascii="Arial" w:cs="Arial" w:eastAsia="Arial" w:hAnsi="Arial"/>
          <w:sz w:val="17"/>
          <w:szCs w:val="17"/>
          <w:i w:val="1"/>
          <w:iCs w:val="1"/>
          <w:color w:val="auto"/>
        </w:rPr>
        <w:t>Revenue from Contracts with Customers (Topic 606): Narrow-Scope Improvements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Practical Expedients</w:t>
      </w:r>
      <w:r>
        <w:rPr>
          <w:rFonts w:ascii="Arial" w:cs="Arial" w:eastAsia="Arial" w:hAnsi="Arial"/>
          <w:sz w:val="17"/>
          <w:szCs w:val="17"/>
          <w:color w:val="auto"/>
        </w:rPr>
        <w:t>, which addresses implementation issues and is intended to reduce the cost and complexity of applying the new revenue standard in</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2014-09 (collectively, the “Revenue ASUs”).</w:t>
      </w:r>
    </w:p>
    <w:p>
      <w:pPr>
        <w:spacing w:after="0" w:line="17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revenue agreements and assessed the differences in accounting for such contracts under this guidance compared with previous revenue accounting standards. On January 1, 2017, the Company early adopted ASU No. 2014-09 using the full retrospective method. The adoption of this standard did not have a material impact on the Company’s consolidated financial statements. Results for all periods presented are under ASC Topic 606.</w:t>
      </w:r>
    </w:p>
    <w:p>
      <w:pPr>
        <w:spacing w:after="0" w:line="177"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ASU No. 2018-07 simplifies the accounting for share-based payments to nonemployees by aligning it with the accounting for share-based payments to employees, with certain exceptions. For all entities, the amendments are effective for annual periods beginning after December 15, 2019, and interim periods within annual periods beginning after December 15, 2020. Early adoption is permitted for any entity in any interim or annual period for which consolidated financial statements have not been issued or made available for issuance, but not before an entity adopts ASC Topic 606. The Company early adopted this guidance on January 1, 2017, which did not result in a material impact on its consolidated financial statements and related disclosures.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In July 2018, the FASB issued ASU No.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r>
        <w:rPr>
          <w:rFonts w:ascii="Arial" w:cs="Arial" w:eastAsia="Arial" w:hAnsi="Arial"/>
          <w:sz w:val="17"/>
          <w:szCs w:val="17"/>
          <w:color w:val="auto"/>
        </w:rPr>
        <w:t>, which provides clarification to ASU 2016-02. These ASUs (collectively, the “new lease standard”) require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recognize a lease liability and a right-of-use (“ROU”) asset on the balance sheet for leases with lease terms of more than twelve months. Lessor accounting is largely unchanged, while lessees will no longer be provided with a source of off-balance sheet financing. This guidance is effective for fiscal years beginning after December 15, 2018, including interim periods within those fiscal years. In July 2018, the FASB issued ASU No. 2018-11, </w:t>
      </w:r>
      <w:r>
        <w:rPr>
          <w:rFonts w:ascii="Arial" w:cs="Arial" w:eastAsia="Arial" w:hAnsi="Arial"/>
          <w:sz w:val="17"/>
          <w:szCs w:val="17"/>
          <w:i w:val="1"/>
          <w:iCs w:val="1"/>
          <w:color w:val="auto"/>
        </w:rPr>
        <w:t>Leases (Topic 842)—Targeted Improvements</w:t>
      </w:r>
      <w:r>
        <w:rPr>
          <w:rFonts w:ascii="Arial" w:cs="Arial" w:eastAsia="Arial" w:hAnsi="Arial"/>
          <w:sz w:val="17"/>
          <w:szCs w:val="17"/>
          <w:color w:val="auto"/>
        </w:rPr>
        <w:t>, which allows entities to elect a modified retrospective transition method where entities may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the existing lease guidance during the comparative periods and apply the new lease requirements through a cumulative effect adjustment in the period of adoptions rather than in the earliest period presented.</w:t>
      </w:r>
    </w:p>
    <w:p>
      <w:pPr>
        <w:spacing w:after="0" w:line="177"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On January 1, 2019, the Company adopted Accounting Standard Update (“ASU”) No. 2016-02, Leases (Topic 842), and its associated amendments using the modified retrospective transition method by applying the new standard to all leases existing at the date of initial application and not restating comparative periods. There was no cumulative-effect adjustment recorded to retained earnings upon adoption. Under the standard, a lessee is required to recognize a lease liability and ROU asset for all leases. The new guidance also modified the classification criteria and requires additional disclosures to enable users of financial statements to understand the amount, timing, and uncertainty of cash flows arising from leases. Consistent with current guidance, a lessee’s recognition, measurement, and presentation of expenses and cash flows arising from a lease continues to depend primarily on its classification. The Company elected the package of practical expedients permitted under the transition guidance, which allowed the Company to carryforward its historical lease classification, its assessment on whether a contract was or contains a lease, and its initial direct costs for any leases that existed prior to January 1, 2019. In addition, the Company elected the short-term lease exception as a practical expedient.</w:t>
      </w:r>
    </w:p>
    <w:p>
      <w:pPr>
        <w:spacing w:after="0" w:line="164"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At the date of adoption (unaudited), the Company derecognized a deferred rent liability in the amount of $0.3 million, and recognized a ROU asset and respective lease liability in the amount of $1.7 million and $2.0 million, respectively. As of March 31, 2019 (unaudited), lease liabilities in the amount of $1.0 million and $0.7 million are included in “Accrued and other current liabilities” and “Other long-term liabilities,” respectively.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This ASU simplifies the accounting for certain financial instruments with down round features, a provision in an</w:t>
      </w:r>
      <w:r>
        <w:rPr>
          <w:rFonts w:ascii="Arial" w:cs="Arial" w:eastAsia="Arial" w:hAnsi="Arial"/>
          <w:sz w:val="17"/>
          <w:szCs w:val="17"/>
          <w:i w:val="1"/>
          <w:iCs w:val="1"/>
          <w:color w:val="auto"/>
        </w:rPr>
        <w:t xml:space="preserve"> </w:t>
      </w:r>
      <w:r>
        <w:rPr>
          <w:rFonts w:ascii="Arial" w:cs="Arial" w:eastAsia="Arial" w:hAnsi="Arial"/>
          <w:sz w:val="17"/>
          <w:szCs w:val="17"/>
          <w:color w:val="auto"/>
        </w:rPr>
        <w:t>equity-linked financial instrument (or embedded feature) that provides a downward adjustment of the current exercise price based on the price of future equity offerings. Down round features are common in warrants, preferred shares, and convertible debt instruments issued by private companies and early stage public companies. This ASU requires companies to disregard the down round feature when assessing whether the instrument is indexed to its own stock for purposes of determining liability or equity classification. The provisions of this ASU related to down round feature are effective for public entities for fiscal years and interim periods within those fiscal years, beginning after December 15, 2018. Early adoption is permitted. The amendments in Part I should be applied (1) retrospectively to outstanding financial instruments with down round features by means of a cumulative-effect adjustment to the consolidated balance sheets as of the beginning of the first fiscal year and interim periods and (2) retrospectively to outstanding financial instruments with down round features for each prior reporting period presented. The Company is currently evaluating the impact the adoption of this standard will have on its consolidated financial statements and related disclosures.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3.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VA MVP</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421</w:t>
            </w:r>
          </w:p>
        </w:tc>
        <w:tc>
          <w:tcPr>
            <w:tcW w:w="22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$18,601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All other customers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8,972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19,173</w:t>
            </w:r>
          </w:p>
        </w:tc>
        <w:tc>
          <w:tcPr>
            <w:tcW w:w="1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2,187</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9,393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37,774</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Countries outside of the United States, based on the billing addresses of customers, represented less than 2% and 3% of the Company’s revenues for the years ended December 31, 2017 and 2018, respectively, and less than 4% and 2% for the three months ended March 31, 2018 and 2019 (unaudited), respectively.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contract assets as of December 31, 2017 and 2018 and March 31, 2019 (unaudited), respectively.</w:t>
      </w:r>
    </w:p>
    <w:p>
      <w:pPr>
        <w:spacing w:after="0" w:line="22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consolidated balance sheets.</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balance of customer deposits associated with advances received from customers at January 1, 2017 was $5.6 million. The balance of contract liabilities was $24.7 million and $42.9 million at December 31, 2017 and 2018, respectively. Contract liabilities of $1.1 million and $16.0 million were recognized in revenues during the years ended December 31, 2017 and 2018, respectively.</w:t>
      </w:r>
    </w:p>
    <w:p>
      <w:pPr>
        <w:spacing w:after="0" w:line="183"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balance of contract liabilities was $44.3 million at March 31, 2019 (unaudited). Contract liabilities of $1.6 million and $7.8 million were recognized in revenues during the three months ended March 31, 2018 and 2019 (unaudited), respectively.</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As of December 31, 2018, the remaining performance obligations under contracts for which revenues are expected to be recognized over a period of more than one year is $73 million. Management expects to recognize such revenues over a three-year period.</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Company does not disclose remaining performance obligations under its other contracts since contract terms are less than a year and are recognized over a term of less than 12 months.</w:t>
      </w:r>
    </w:p>
    <w:p>
      <w:pPr>
        <w:spacing w:after="0" w:line="274"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Consolidated Balance Sheets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6"/>
              </w:rPr>
              <w:t>Year Ended December 31,</w:t>
            </w:r>
          </w:p>
        </w:tc>
        <w:tc>
          <w:tcPr>
            <w:tcW w:w="48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77"/>
        </w:trPr>
        <w:tc>
          <w:tcPr>
            <w:tcW w:w="42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52"/>
        </w:trPr>
        <w:tc>
          <w:tcPr>
            <w:tcW w:w="42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4"/>
                <w:szCs w:val="14"/>
                <w:b w:val="1"/>
                <w:bCs w:val="1"/>
                <w:color w:val="auto"/>
                <w:w w:val="89"/>
              </w:rPr>
              <w:t>2017</w:t>
            </w:r>
          </w:p>
        </w:tc>
        <w:tc>
          <w:tcPr>
            <w:tcW w:w="9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822</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$2,134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deferred costs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542</w:t>
            </w:r>
          </w:p>
        </w:tc>
        <w:tc>
          <w:tcPr>
            <w:tcW w:w="9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1,298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inventory and other deferred costs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8"/>
              </w:rPr>
              <w:t>1,364</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2880" w:type="dxa"/>
            <w:vAlign w:val="bottom"/>
            <w:gridSpan w:val="2"/>
          </w:tcPr>
          <w:p>
            <w:pPr>
              <w:jc w:val="right"/>
              <w:ind w:right="1500"/>
              <w:spacing w:after="0"/>
              <w:rPr>
                <w:sz w:val="20"/>
                <w:szCs w:val="20"/>
                <w:color w:val="auto"/>
              </w:rPr>
            </w:pPr>
            <w:r>
              <w:rPr>
                <w:rFonts w:ascii="Arial" w:cs="Arial" w:eastAsia="Arial" w:hAnsi="Arial"/>
                <w:sz w:val="18"/>
                <w:szCs w:val="18"/>
                <w:color w:val="auto"/>
              </w:rPr>
              <w:t>F-18</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82"/>
        </w:trPr>
        <w:tc>
          <w:tcPr>
            <w:tcW w:w="7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980" w:type="dxa"/>
            <w:vAlign w:val="bottom"/>
            <w:tcBorders>
              <w:bottom w:val="single" w:sz="8" w:color="auto"/>
            </w:tcBorders>
            <w:gridSpan w:val="4"/>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52"/>
        </w:trPr>
        <w:tc>
          <w:tcPr>
            <w:tcW w:w="7100" w:type="dxa"/>
            <w:vAlign w:val="bottom"/>
          </w:tcPr>
          <w:p>
            <w:pPr>
              <w:spacing w:after="0"/>
              <w:rPr>
                <w:sz w:val="4"/>
                <w:szCs w:val="4"/>
                <w:color w:val="auto"/>
              </w:rPr>
            </w:pPr>
          </w:p>
        </w:tc>
        <w:tc>
          <w:tcPr>
            <w:tcW w:w="560" w:type="dxa"/>
            <w:vAlign w:val="bottom"/>
            <w:gridSpan w:val="2"/>
            <w:vMerge w:val="restart"/>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$ 2,138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Computer software</w:t>
            </w:r>
          </w:p>
        </w:tc>
        <w:tc>
          <w:tcPr>
            <w:tcW w:w="1400" w:type="dxa"/>
            <w:vAlign w:val="bottom"/>
            <w:gridSpan w:val="3"/>
          </w:tcPr>
          <w:p>
            <w:pPr>
              <w:jc w:val="right"/>
              <w:ind w:right="84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6,129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7,951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Capitalized software costs</w:t>
            </w:r>
          </w:p>
        </w:tc>
        <w:tc>
          <w:tcPr>
            <w:tcW w:w="2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4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9,610</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16,656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(5,204)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$ 6,342</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11,452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Depreciation and amortization expense for the years ended December 31, 2017 and 2018 was $1.2 million and $3.1 million, respectively. Depreciation and amortization expense for the three months ended March 31, 2018 and 2019 (unaudited) was $0.5 million and $1.0 million,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0" w:type="dxa"/>
            <w:vAlign w:val="bottom"/>
            <w:gridSpan w:val="4"/>
            <w:vMerge w:val="restart"/>
          </w:tcPr>
          <w:p>
            <w:pPr>
              <w:jc w:val="right"/>
              <w:ind w:right="1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82"/>
        </w:trPr>
        <w:tc>
          <w:tcPr>
            <w:tcW w:w="5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00" w:type="dxa"/>
            <w:vAlign w:val="bottom"/>
            <w:tcBorders>
              <w:bottom w:val="single" w:sz="8" w:color="auto"/>
            </w:tcBorders>
            <w:gridSpan w:val="4"/>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52"/>
        </w:trPr>
        <w:tc>
          <w:tcPr>
            <w:tcW w:w="5360" w:type="dxa"/>
            <w:vAlign w:val="bottom"/>
          </w:tcPr>
          <w:p>
            <w:pPr>
              <w:spacing w:after="0"/>
              <w:rPr>
                <w:sz w:val="4"/>
                <w:szCs w:val="4"/>
                <w:color w:val="auto"/>
              </w:rPr>
            </w:pPr>
          </w:p>
        </w:tc>
        <w:tc>
          <w:tcPr>
            <w:tcW w:w="254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4"/>
                <w:szCs w:val="4"/>
                <w:color w:val="auto"/>
              </w:rPr>
            </w:pPr>
          </w:p>
        </w:tc>
        <w:tc>
          <w:tcPr>
            <w:tcW w:w="9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$1,913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liabilities</w:t>
            </w:r>
          </w:p>
        </w:tc>
        <w:tc>
          <w:tcPr>
            <w:tcW w:w="2940" w:type="dxa"/>
            <w:vAlign w:val="bottom"/>
            <w:gridSpan w:val="3"/>
          </w:tcPr>
          <w:p>
            <w:pPr>
              <w:jc w:val="right"/>
              <w:ind w:right="400"/>
              <w:spacing w:after="0"/>
              <w:rPr>
                <w:sz w:val="20"/>
                <w:szCs w:val="20"/>
                <w:color w:val="auto"/>
              </w:rPr>
            </w:pPr>
            <w:r>
              <w:rPr>
                <w:rFonts w:ascii="Arial" w:cs="Arial" w:eastAsia="Arial" w:hAnsi="Arial"/>
                <w:sz w:val="18"/>
                <w:szCs w:val="18"/>
                <w:color w:val="auto"/>
              </w:rPr>
              <w:t>88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interest</w:t>
            </w:r>
          </w:p>
        </w:tc>
        <w:tc>
          <w:tcPr>
            <w:tcW w:w="2940" w:type="dxa"/>
            <w:vAlign w:val="bottom"/>
            <w:gridSpan w:val="3"/>
          </w:tcPr>
          <w:p>
            <w:pPr>
              <w:jc w:val="right"/>
              <w:ind w:right="400"/>
              <w:spacing w:after="0"/>
              <w:rPr>
                <w:sz w:val="20"/>
                <w:szCs w:val="20"/>
                <w:color w:val="auto"/>
              </w:rPr>
            </w:pPr>
            <w:r>
              <w:rPr>
                <w:rFonts w:ascii="Arial" w:cs="Arial" w:eastAsia="Arial" w:hAnsi="Arial"/>
                <w:sz w:val="18"/>
                <w:szCs w:val="18"/>
                <w:color w:val="auto"/>
              </w:rPr>
              <w:t>563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taxes</w:t>
            </w: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2,757</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left="220" w:right="20" w:firstLine="440"/>
        <w:spacing w:after="0" w:line="256"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authoritative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1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1—Unadjusted quoted prices in active markets that are accessible to the reporting entity at the measurement date for identical assets and liabilities.</w:t>
      </w:r>
    </w:p>
    <w:p>
      <w:pPr>
        <w:spacing w:after="0" w:line="6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2—Inputs other than quoted prices in active markets for identical assets and liabilities that are observable either directly or indirectly for substantially the full term of the asset or liability. Level 2 inputs include the following:</w:t>
      </w:r>
    </w:p>
    <w:p>
      <w:pPr>
        <w:spacing w:after="0" w:line="75" w:lineRule="exact"/>
        <w:rPr>
          <w:sz w:val="20"/>
          <w:szCs w:val="20"/>
          <w:color w:val="auto"/>
        </w:rPr>
      </w:pPr>
    </w:p>
    <w:p>
      <w:pPr>
        <w:ind w:left="5540" w:right="5040" w:hanging="4453"/>
        <w:spacing w:after="0" w:line="535" w:lineRule="auto"/>
        <w:tabs>
          <w:tab w:leader="none" w:pos="162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 F-19</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20" w:hanging="533"/>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30" w:lineRule="exact"/>
        <w:rPr>
          <w:rFonts w:ascii="Arial" w:cs="Arial" w:eastAsia="Arial" w:hAnsi="Arial"/>
          <w:sz w:val="18"/>
          <w:szCs w:val="18"/>
          <w:color w:val="auto"/>
        </w:rPr>
      </w:pPr>
    </w:p>
    <w:p>
      <w:pPr>
        <w:ind w:left="1620" w:hanging="533"/>
        <w:spacing w:after="0" w:line="277"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w:t>
      </w:r>
    </w:p>
    <w:p>
      <w:pPr>
        <w:spacing w:after="0" w:line="75" w:lineRule="exact"/>
        <w:rPr>
          <w:rFonts w:ascii="Arial" w:cs="Arial" w:eastAsia="Arial" w:hAnsi="Arial"/>
          <w:sz w:val="18"/>
          <w:szCs w:val="18"/>
          <w:color w:val="auto"/>
        </w:rPr>
      </w:pPr>
    </w:p>
    <w:p>
      <w:pPr>
        <w:ind w:left="1620" w:hanging="533"/>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17" w:lineRule="exact"/>
        <w:rPr>
          <w:sz w:val="20"/>
          <w:szCs w:val="20"/>
          <w:color w:val="auto"/>
        </w:rPr>
      </w:pPr>
    </w:p>
    <w:p>
      <w:pPr>
        <w:ind w:left="660"/>
        <w:spacing w:after="0" w:line="341" w:lineRule="auto"/>
        <w:rPr>
          <w:sz w:val="20"/>
          <w:szCs w:val="20"/>
          <w:color w:val="auto"/>
        </w:rPr>
      </w:pPr>
      <w:r>
        <w:rPr>
          <w:rFonts w:ascii="Arial" w:cs="Arial" w:eastAsia="Arial" w:hAnsi="Arial"/>
          <w:sz w:val="16"/>
          <w:szCs w:val="16"/>
          <w:color w:val="auto"/>
        </w:rPr>
        <w:t>Level 3—Unobservable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25"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7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 following table represents the fair value hierarchy for the Company’s financial assets and financial liabilities measured at fair value on a recurring basis (in thousands):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480" w:type="dxa"/>
            <w:vAlign w:val="bottom"/>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88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380" w:type="dxa"/>
            <w:vAlign w:val="bottom"/>
            <w:gridSpan w:val="2"/>
          </w:tcPr>
          <w:p>
            <w:pPr>
              <w:jc w:val="right"/>
              <w:ind w:right="880"/>
              <w:spacing w:after="0"/>
              <w:rPr>
                <w:sz w:val="20"/>
                <w:szCs w:val="20"/>
                <w:color w:val="auto"/>
              </w:rPr>
            </w:pPr>
            <w:r>
              <w:rPr>
                <w:rFonts w:ascii="Arial" w:cs="Arial" w:eastAsia="Arial" w:hAnsi="Arial"/>
                <w:sz w:val="18"/>
                <w:szCs w:val="18"/>
                <w:color w:val="auto"/>
                <w:w w:val="87"/>
              </w:rPr>
              <w:t>21,650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21,650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7"/>
              </w:rPr>
              <w:t>21,650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Compound derivative liability</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9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(671)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Convertible preferred stock warrants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9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480" w:type="dxa"/>
            <w:vAlign w:val="bottom"/>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88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380" w:type="dxa"/>
            <w:vAlign w:val="bottom"/>
            <w:gridSpan w:val="2"/>
          </w:tcPr>
          <w:p>
            <w:pPr>
              <w:jc w:val="right"/>
              <w:ind w:right="880"/>
              <w:spacing w:after="0"/>
              <w:rPr>
                <w:sz w:val="20"/>
                <w:szCs w:val="20"/>
                <w:color w:val="auto"/>
              </w:rPr>
            </w:pPr>
            <w:r>
              <w:rPr>
                <w:rFonts w:ascii="Arial" w:cs="Arial" w:eastAsia="Arial" w:hAnsi="Arial"/>
                <w:sz w:val="18"/>
                <w:szCs w:val="18"/>
                <w:color w:val="auto"/>
                <w:w w:val="87"/>
              </w:rPr>
              <w:t>18,142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18,142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7"/>
              </w:rPr>
              <w:t>18,142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18,142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9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$ 683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8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$ 683</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As of March 31, 2019 (unaudited)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2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8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28,698</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28,698</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28,698</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817</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fair value of the compound derivative instrument has been estimated at the date of inception in June 2017 and at each subsequent consolidated balance sheet date using a hybrid method that combines probability-</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weighted and with-or-without methods using unobservable inputs, which are classified as Level 3 within the fair value hierarchy. The primary inputs for this approach included the probability of achieving various settlement scenarios that provide the lenders the right or the obligation to receive cash or a variable number of shares upon the completion of a capital transaction. The probability assumptions related to estimating various settlement scenarios as of December 31, 2017 and 2018, and the inception date ranged between 0.2% and 70%, and a discount rate of 35.1% was applied to estimated future cash flows.</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After the initial measurement, changes in the fair value of this compound derivative were recorded in other income (expense), net. The net derivative liability was reported within accrued and other current liabilities in the Company’s consolidated balance sheets.</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Black-Scholes option-pricing model was used to estimate the fair value of the convertible preferred stock warrants. Under this option-pricing model,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86"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The fair value of each convertible preferred stock warrant was estimated on the date of grant using the Black-Scholes option-pricing model with the assumptions described below.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at the time of the grant over the expected term of the warrants.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42"/>
        </w:trPr>
        <w:tc>
          <w:tcPr>
            <w:tcW w:w="470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595"/>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40" w:type="dxa"/>
            <w:vAlign w:val="bottom"/>
          </w:tcPr>
          <w:p>
            <w:pPr>
              <w:spacing w:after="0"/>
              <w:rPr>
                <w:sz w:val="12"/>
                <w:szCs w:val="12"/>
                <w:color w:val="auto"/>
              </w:rPr>
            </w:pPr>
          </w:p>
        </w:tc>
        <w:tc>
          <w:tcPr>
            <w:tcW w:w="17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March 31, 2019</w:t>
            </w:r>
          </w:p>
        </w:tc>
      </w:tr>
      <w:tr>
        <w:trPr>
          <w:trHeight w:val="142"/>
        </w:trPr>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- 7.50</w:t>
            </w:r>
          </w:p>
        </w:tc>
        <w:tc>
          <w:tcPr>
            <w:tcW w:w="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5.17 - 7.0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56.07%</w:t>
            </w:r>
          </w:p>
        </w:tc>
        <w:tc>
          <w:tcPr>
            <w:tcW w:w="880" w:type="dxa"/>
            <w:vAlign w:val="bottom"/>
          </w:tcPr>
          <w:p>
            <w:pPr>
              <w:ind w:left="40"/>
              <w:spacing w:after="0"/>
              <w:rPr>
                <w:sz w:val="20"/>
                <w:szCs w:val="20"/>
                <w:color w:val="auto"/>
              </w:rPr>
            </w:pPr>
            <w:r>
              <w:rPr>
                <w:rFonts w:ascii="Arial" w:cs="Arial" w:eastAsia="Arial" w:hAnsi="Arial"/>
                <w:sz w:val="18"/>
                <w:szCs w:val="18"/>
                <w:color w:val="auto"/>
              </w:rPr>
              <w:t>- 69.87%</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55.56%</w:t>
            </w:r>
          </w:p>
        </w:tc>
        <w:tc>
          <w:tcPr>
            <w:tcW w:w="880" w:type="dxa"/>
            <w:vAlign w:val="bottom"/>
          </w:tcPr>
          <w:p>
            <w:pPr>
              <w:ind w:left="20"/>
              <w:spacing w:after="0"/>
              <w:rPr>
                <w:sz w:val="20"/>
                <w:szCs w:val="20"/>
                <w:color w:val="auto"/>
              </w:rPr>
            </w:pPr>
            <w:r>
              <w:rPr>
                <w:rFonts w:ascii="Arial" w:cs="Arial" w:eastAsia="Arial" w:hAnsi="Arial"/>
                <w:sz w:val="18"/>
                <w:szCs w:val="18"/>
                <w:color w:val="auto"/>
              </w:rPr>
              <w:t>- 56.42%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56.89%</w:t>
            </w:r>
          </w:p>
        </w:tc>
        <w:tc>
          <w:tcPr>
            <w:tcW w:w="920" w:type="dxa"/>
            <w:vAlign w:val="bottom"/>
          </w:tcPr>
          <w:p>
            <w:pPr>
              <w:ind w:left="40"/>
              <w:spacing w:after="0"/>
              <w:rPr>
                <w:sz w:val="20"/>
                <w:szCs w:val="20"/>
                <w:color w:val="auto"/>
              </w:rPr>
            </w:pPr>
            <w:r>
              <w:rPr>
                <w:rFonts w:ascii="Arial" w:cs="Arial" w:eastAsia="Arial" w:hAnsi="Arial"/>
                <w:sz w:val="18"/>
                <w:szCs w:val="18"/>
                <w:color w:val="auto"/>
              </w:rPr>
              <w:t>- 57.24%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- 2.33%</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615"/>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changes in the fair value of the Company’s Level 3 financial instruments (in thousands):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Warrant</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Asset</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3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Issuance of convertible preferred stock warrants</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Initial fair value of derivative liability</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Initial fair value of derivative asset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Elimination as a result of debt extinguishment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2019 (unaudited)</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560" w:type="dxa"/>
            <w:vAlign w:val="bottom"/>
            <w:gridSpan w:val="2"/>
          </w:tcPr>
          <w:p>
            <w:pPr>
              <w:ind w:left="940"/>
              <w:spacing w:after="0"/>
              <w:rPr>
                <w:sz w:val="20"/>
                <w:szCs w:val="20"/>
                <w:color w:val="auto"/>
              </w:rPr>
            </w:pPr>
            <w:r>
              <w:rPr>
                <w:rFonts w:ascii="Arial" w:cs="Arial" w:eastAsia="Arial" w:hAnsi="Arial"/>
                <w:sz w:val="18"/>
                <w:szCs w:val="18"/>
                <w:color w:val="auto"/>
              </w:rPr>
              <w:t>F-21</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Borrowings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outstanding under the Company’s financing arrangements consisted of the following (in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7"/>
            <w:vMerge w:val="restart"/>
          </w:tcPr>
          <w:p>
            <w:pPr>
              <w:jc w:val="right"/>
              <w:ind w:right="13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20" w:type="dxa"/>
            <w:vAlign w:val="bottom"/>
            <w:gridSpan w:val="7"/>
            <w:vMerge w:val="continue"/>
          </w:tcPr>
          <w:p>
            <w:pPr>
              <w:spacing w:after="0"/>
              <w:rPr>
                <w:sz w:val="6"/>
                <w:szCs w:val="6"/>
                <w:color w:val="auto"/>
              </w:rPr>
            </w:pPr>
          </w:p>
        </w:tc>
        <w:tc>
          <w:tcPr>
            <w:tcW w:w="11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Loan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Convertible Promissory Note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12,225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Growth Capital Loan</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principal payments due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17,978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reduction in carrying value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Total amounts outstanding</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17,506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(17,506)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1"/>
              </w:rPr>
              <w:t>(4,996)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repayment schedule relating to the Company’s long-term debt as of March 31, 2019 is as follows (in thousands):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1"/>
              </w:rPr>
              <w:t>(unaudited)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nine months)</w:t>
            </w:r>
          </w:p>
        </w:tc>
        <w:tc>
          <w:tcPr>
            <w:tcW w:w="24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2020</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4,395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6,463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2022</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7,212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1,930</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20,000</w:t>
            </w:r>
          </w:p>
        </w:tc>
      </w:tr>
      <w:tr>
        <w:trPr>
          <w:trHeight w:val="20"/>
        </w:trPr>
        <w:tc>
          <w:tcPr>
            <w:tcW w:w="4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In September 2014, the Company entered into a loan and security agreement with Silicon Valley Bank (the “Term Loan”), to borrow up to $3.0 million under an equipment loan that will be secured with the equipment financed. On October 3, 2014, the Company borrowed $2.4 million under this loan agreement. The Term Loan required 12 interest-only payments, followed by 36 equal monthly installments of principal, plus interest, which began on October 3, 2015.</w:t>
      </w:r>
    </w:p>
    <w:p>
      <w:pPr>
        <w:spacing w:after="0" w:line="186"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connection with the Term Loan, the Company issued to the bank a 10-year warrant to purchase 89,956 shares of the Company’s Series B redeemable convertible preferred stock (see Note 9).</w:t>
      </w:r>
    </w:p>
    <w:p>
      <w:pPr>
        <w:spacing w:after="0" w:line="170"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The estimated fair value of the warrants upon draw down, of $0.1 million was based on the Black-Scholes option-pricing model. The Company recorded the fair value of the warrant at issuance as a reduction in the debt-carrying value and as a warrant liability. The debt-carrying value reduction is being accreted using the effective interest method as additional interest expense over the contractual period of four years for the Term Loan.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2018, this Term Loan was repaid in full.</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Loan</w:t>
      </w:r>
    </w:p>
    <w:p>
      <w:pPr>
        <w:spacing w:after="0" w:line="117" w:lineRule="exact"/>
        <w:rPr>
          <w:sz w:val="20"/>
          <w:szCs w:val="20"/>
          <w:color w:val="auto"/>
        </w:rPr>
      </w:pPr>
    </w:p>
    <w:p>
      <w:pPr>
        <w:jc w:val="both"/>
        <w:ind w:left="220" w:firstLine="440"/>
        <w:spacing w:after="0" w:line="255" w:lineRule="auto"/>
        <w:rPr>
          <w:sz w:val="20"/>
          <w:szCs w:val="20"/>
          <w:color w:val="auto"/>
        </w:rPr>
      </w:pPr>
      <w:r>
        <w:rPr>
          <w:rFonts w:ascii="Arial" w:cs="Arial" w:eastAsia="Arial" w:hAnsi="Arial"/>
          <w:sz w:val="18"/>
          <w:szCs w:val="18"/>
          <w:color w:val="auto"/>
        </w:rPr>
        <w:t>In June 2017, the Company entered into a $10.0 million revolving loan and security agreement (the “Revolving Loan”).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(see Note 16). Upon determining that the change in cash flows between the previous and current credit facility was not greater than 10%, the Company accounted for the transaction as a debt modification.</w:t>
      </w:r>
    </w:p>
    <w:p>
      <w:pPr>
        <w:spacing w:after="0" w:line="19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As of December 31, 2017 and 2018, the Company’s outstanding principal under the Revolving Loan was $5.0 million and $5.0 million was available to borrow.</w:t>
      </w:r>
    </w:p>
    <w:p>
      <w:pPr>
        <w:spacing w:after="0" w:line="17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connection with the Revolving Loan, the Company issued a warrant to purchase up to 248,385 shares of the Company’s Series C redeemable convertible preferred stock (see Note 9).</w:t>
      </w:r>
    </w:p>
    <w:p>
      <w:pPr>
        <w:spacing w:after="0" w:line="170"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is being accreted using the effective interest method as additional interest expense over the contractual period of 1.5 years for the Revolving Loan.</w:t>
      </w:r>
    </w:p>
    <w:p>
      <w:pPr>
        <w:spacing w:after="0" w:line="148"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years ended December 31, 2017 and 2018, was $0.4 million and $0.9 million, respectively.</w:t>
      </w:r>
    </w:p>
    <w:p>
      <w:pPr>
        <w:spacing w:after="0" w:line="17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Company accrued $0.1 million and $0.2 million, as of December 31, 2017 and 2018, respectively, related to accretion of final payment due at maturity per agreement using the effective interest rate method.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22, 2019, this Revolving Loan was repaid in full.</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Growth Capital Loan (unaudited)</w:t>
      </w:r>
    </w:p>
    <w:p>
      <w:pPr>
        <w:spacing w:after="0" w:line="117" w:lineRule="exact"/>
        <w:rPr>
          <w:sz w:val="20"/>
          <w:szCs w:val="20"/>
          <w:color w:val="auto"/>
        </w:rPr>
      </w:pPr>
    </w:p>
    <w:p>
      <w:pPr>
        <w:jc w:val="both"/>
        <w:ind w:left="220" w:firstLine="440"/>
        <w:spacing w:after="0" w:line="268" w:lineRule="auto"/>
        <w:rPr>
          <w:sz w:val="20"/>
          <w:szCs w:val="20"/>
          <w:color w:val="auto"/>
        </w:rPr>
      </w:pPr>
      <w:r>
        <w:rPr>
          <w:rFonts w:ascii="Arial" w:cs="Arial" w:eastAsia="Arial" w:hAnsi="Arial"/>
          <w:sz w:val="17"/>
          <w:szCs w:val="17"/>
          <w:color w:val="auto"/>
        </w:rPr>
        <w:t>On March 22, 2019, the Company entered into a growth capital loan with TriplePoint Capital LLC to provide for a $20.0 million growth capital loan facility and as of March 31, 2019 had drawn down the full $20.0 million available under the facility. The Company used $5.3 million of the growth capital loan facility to repay, in its entirety, all amounts outstanding under the Revolving Loan. Borrowings under the growth capital loan bear interest at a floating rate of prime rate plus 5.00% for borrowings up to $15.0 million and the prime rate plus 6.50% for borrowing greater than $15.0 million; provided, however, that in an event of default, as defined in the loan and security agreement, the interest rate applicable to borrowings under such agreement will be increased by 5.0%. Under the agreement, the Company is required to make monthly interest-only payments through April 1, 2020 and is required to make 36 equal monthly payments of principal, plus accrued interest, from April 1, 2020 through March 1, 2023, when all unpaid principal and interest becomes due and payable. The Company may voluntarily prepay all, but not part, of the outstanding principal at any time prior to the maturity date, subject to a prepayment fee of 1% of the outstanding balance, if prepaid in months one through 12 of the loan term. If prepaid after month 12 of the loan term of any growth capital loan, no additional prepayment premium shall be due. In addition to the final payment, the Company will pay an amount equal to 2.75% of each principal amount drawn under this growth capital loan facility. In connection with the growth capital loan facility, the Company issued a warrant to purchase 262,008 shares of common stock to the lender at an exercise price of $2.29 per share. The Company recorded the issuance-date fair value of the warrant of $0.6 million and fees paid to the lender of $0.3 million as a debt discount which is amortized over the term of the growth capital loan using the effective interest rate method.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issuance, the growth capital loan had an effective interest rate of 15.23% per year.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jc w:val="both"/>
        <w:ind w:left="220" w:firstLine="440"/>
        <w:spacing w:after="0" w:line="269" w:lineRule="auto"/>
        <w:rPr>
          <w:sz w:val="20"/>
          <w:szCs w:val="20"/>
          <w:color w:val="auto"/>
        </w:rPr>
      </w:pPr>
      <w:r>
        <w:rPr>
          <w:rFonts w:ascii="Arial" w:cs="Arial" w:eastAsia="Arial" w:hAnsi="Arial"/>
          <w:sz w:val="17"/>
          <w:szCs w:val="17"/>
          <w:color w:val="auto"/>
        </w:rPr>
        <w:t>On June 29, 2017, the Company entered into a convertible promissory note agreement with certain existing redeemable convertible preferred stockholders and third parties (the “Investors”) for the issuance of convertible promissory notes with a face value of $12.2 million (the “Convertible Notes”). Under the terms of the Convertible Notes agreement, the Convertible Notes bear interest of 8% per annum, with a maturity date of June 28, 2018. In the event that the Company issued and sold shares of its equity securities (the “Equity Securities”) to Investors on or before the maturity date in an equity financing with total proceeds to the Company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the Company consummated a change of control while the Convertible Notes remained outstanding, the Company would have repaid the holders in cash an amount equal to 150% of the outstanding principal amount of the Convertible Notes, plus any unpaid accrued interest on the original principal. The Convertible Notes had customary events of default.</w:t>
      </w:r>
    </w:p>
    <w:p>
      <w:pPr>
        <w:spacing w:after="0" w:line="180" w:lineRule="exact"/>
        <w:rPr>
          <w:sz w:val="20"/>
          <w:szCs w:val="20"/>
          <w:color w:val="auto"/>
        </w:rPr>
      </w:pPr>
    </w:p>
    <w:p>
      <w:pPr>
        <w:jc w:val="both"/>
        <w:ind w:left="220" w:firstLine="440"/>
        <w:spacing w:after="0" w:line="254" w:lineRule="auto"/>
        <w:rPr>
          <w:sz w:val="20"/>
          <w:szCs w:val="20"/>
          <w:color w:val="auto"/>
        </w:rPr>
      </w:pPr>
      <w:r>
        <w:rPr>
          <w:rFonts w:ascii="Arial" w:cs="Arial" w:eastAsia="Arial" w:hAnsi="Arial"/>
          <w:sz w:val="18"/>
          <w:szCs w:val="18"/>
          <w:color w:val="auto"/>
        </w:rPr>
        <w:t>Certain conversion and redemption features of the Convertible Notes met the requirements for separate accounting and were accounted for as a single, compound derivative instrument (see Note 10). The compound derivative instrument was recorded at fair value at inception and was subject to remeasurement to fair value at each consolidated balance sheet date, with any changes in fair value recognized in the consolidated statements of operations. The estimated fair value of the compound derivative instrument at issuance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93" w:lineRule="exact"/>
        <w:rPr>
          <w:sz w:val="20"/>
          <w:szCs w:val="20"/>
          <w:color w:val="auto"/>
        </w:rPr>
      </w:pPr>
    </w:p>
    <w:p>
      <w:pPr>
        <w:jc w:val="both"/>
        <w:ind w:left="220" w:firstLine="440"/>
        <w:spacing w:after="0" w:line="272" w:lineRule="auto"/>
        <w:rPr>
          <w:sz w:val="20"/>
          <w:szCs w:val="20"/>
          <w:color w:val="auto"/>
        </w:rPr>
      </w:pPr>
      <w:r>
        <w:rPr>
          <w:rFonts w:ascii="Arial" w:cs="Arial" w:eastAsia="Arial" w:hAnsi="Arial"/>
          <w:sz w:val="17"/>
          <w:szCs w:val="17"/>
          <w:color w:val="auto"/>
        </w:rPr>
        <w:t xml:space="preserve">On May 31, 2018, the original maturity date for the Convertible Notes was extended to June 28, 2019 (previously June 28, 2018). The maturity date extension was deemed substantial and was accounted for as a debt extinguishment under ASC 470, </w:t>
      </w:r>
      <w:r>
        <w:rPr>
          <w:rFonts w:ascii="Arial" w:cs="Arial" w:eastAsia="Arial" w:hAnsi="Arial"/>
          <w:sz w:val="17"/>
          <w:szCs w:val="17"/>
          <w:i w:val="1"/>
          <w:iCs w:val="1"/>
          <w:color w:val="auto"/>
        </w:rPr>
        <w:t>Debt</w:t>
      </w:r>
      <w:r>
        <w:rPr>
          <w:rFonts w:ascii="Arial" w:cs="Arial" w:eastAsia="Arial" w:hAnsi="Arial"/>
          <w:sz w:val="17"/>
          <w:szCs w:val="17"/>
          <w:color w:val="auto"/>
        </w:rPr>
        <w:t>. In connection with the debt extinguishment on May 31, 2018, the fair value of the Convertible Notes was allocated between the carrying amount of the Convertible Notes and accrued interested of $13.1 million, a compound derivative asset of $0.6 million, and an equity component of $3.9 million, which was credited to additional paid-in capital within the consolidated statements of redeemable convertible preferred stock and stockholders’ deficit. A $3.3 million loss on debt extinguishment was also recorded in the accompanying consolidated statements of operations. The new carrying value of the Convertible Notes was accreted using the effective interest method as interest expense over the new contractual period of 1.1 years.</w:t>
      </w:r>
    </w:p>
    <w:p>
      <w:pPr>
        <w:spacing w:after="0" w:line="176"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A $0.8 million loss on debt extinguishment was also recorded in the accompanying consolidated statements of operations. The new carrying value of Convertible Notes was accreted using the effective interest method as interest expense over the new contractual period of one month.</w:t>
      </w:r>
    </w:p>
    <w:p>
      <w:pPr>
        <w:spacing w:after="0" w:line="177"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6,671,990 shares of the Company’s Series C redeemable convertible preferred stock at a conversion price equal to $2.013 per share. No gain or loss was recorded on the conversion.</w:t>
      </w:r>
    </w:p>
    <w:p>
      <w:pPr>
        <w:spacing w:after="0" w:line="183" w:lineRule="exact"/>
        <w:rPr>
          <w:sz w:val="20"/>
          <w:szCs w:val="20"/>
          <w:color w:val="auto"/>
        </w:rPr>
      </w:pPr>
    </w:p>
    <w:p>
      <w:pPr>
        <w:jc w:val="center"/>
        <w:ind w:left="760" w:right="140"/>
        <w:spacing w:after="0" w:line="449" w:lineRule="auto"/>
        <w:rPr>
          <w:sz w:val="20"/>
          <w:szCs w:val="20"/>
          <w:color w:val="auto"/>
        </w:rPr>
      </w:pPr>
      <w:r>
        <w:rPr>
          <w:rFonts w:ascii="Arial" w:cs="Arial" w:eastAsia="Arial" w:hAnsi="Arial"/>
          <w:sz w:val="18"/>
          <w:szCs w:val="18"/>
          <w:color w:val="auto"/>
        </w:rPr>
        <w:t>The interest expense on the Convertible Notes for the years ended December 31, 2017 and 2018, was $0.7 million and $0.9 million, respectively. F-24</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financial reporting purposes, loss before provision for income taxes, includes the following components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2"/>
              </w:rPr>
              <w:t>$ (23,613)</w:t>
            </w:r>
          </w:p>
        </w:tc>
        <w:tc>
          <w:tcPr>
            <w:tcW w:w="5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(19,897)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(23,593)</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 (19,879)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The provision for income taxes consists of the following (in thousands):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Income tax provision related to continuing operations differ from the amounts computed by applying the statutory income tax rate of 34% to pretax loss in 2017 and 21% in 2018 as follows (in thousands):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Federal provision</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statutory rate</w:t>
            </w:r>
          </w:p>
        </w:tc>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(8,022)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State taxes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Rate impact due to tax reform</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 Law Changes</w:t>
      </w:r>
    </w:p>
    <w:p>
      <w:pPr>
        <w:spacing w:after="0" w:line="121"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The U.S. Tax Cuts and Jobs Act (the “Tax Act”) was enacted on December 22, 2017. The Tax Act reduced the U.S. federal corporate tax rate from 35% in 2017 to 21% in 2018, required companies to pay a onetime transition tax on earnings of certain foreign subsidiaries that were previously tax deferred, and created new taxes on certain foreign sourced earnings. For the year ended December 31, 2017, the Company remeasured its deferred tax assets and liabilities based on the change in the federal rate to 21%. At December 31, 2018, the Company had completed its accounting for the Tax Act, which, other than the decrease in its gross deferred tax assets, did not have a material impact on the Company’s financial statements.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Deferred Tax Assets and Liabilities</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3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22,783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3,535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gross deferred tax 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i w:val="1"/>
                <w:iCs w:val="1"/>
                <w:color w:val="auto"/>
              </w:rPr>
              <w:t>Less: Valuation allowance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(27,940)</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(32,423)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Realization of our deferred tax assets is dependent upon future earning, if any, the timing and amount of which are uncertain. Because of our lack of U.S. earnings history, the net U.S. deferred tax assets have been fully offset by a valuation allowance. The valuation allowance decreased by $1.8 million for the year ended December 31, 2017, and increased by $4.5 million for the year ended December 31, 2018.</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Net Operating Loss and Tax Credit Carryforwards</w:t>
      </w:r>
    </w:p>
    <w:p>
      <w:pPr>
        <w:spacing w:after="0" w:line="121"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As of December 31, 2018, the Company had net operating loss carryforwards for federal income tax purposes of approximately $87.0 million, portions of which will begin to expire in 2031. The Company had a total state net operating loss carryforward of approximately $48.6 million, which will begin to expire in 2031. Utilization of some of the federal and state net operating loss and credit carryforwards are subject to annual limitations due to the “change in ownership” provisions of the Internal Revenue Code of 1986, as amended, and similar state provisions. The annual limitations may result in the expiration of net operating losses and credits before utilization for federal and state income tax purposes, respectively. The federal and state net operating loss carryforwards begin expiring in 2032, if not utilized.</w:t>
      </w:r>
    </w:p>
    <w:p>
      <w:pPr>
        <w:spacing w:after="0" w:line="17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Company has federal credits of approximately $2.8 million, which will begin to expire in 2031 and state research credits of approximately $3.0 million which have no expiration date. These tax credits are subject to the same limitations discussed above.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Company has incurred net operating losses since inceptions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its effective tax rate would be reduced. The Company currently has a full valuation allowance against its net deferred tax asset, which would impact the timing of the effective tax rate benefit should any of these uncertain tax positions be favorably settled in the future. Any adjustments to the Company’s uncertain tax positions would result in an adjustment of its net operating loss or tax credit carryforwards rather than resulting in a cash outlay.</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Company files income tax returns in the U.S. federal and various state income tax returns. Because of net operating losses and research credit carryovers, substantially all of the Company’s tax years remain open to examination.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activity relating to unrecognized tax benefits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708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Gross increase—tax position in current period</w:t>
            </w:r>
          </w:p>
        </w:tc>
        <w:tc>
          <w:tcPr>
            <w:tcW w:w="12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2017 and 2018, no significant interest or penalties were required to be recognized relating to unrecognized tax benefits.</w:t>
      </w:r>
    </w:p>
    <w:p>
      <w:pPr>
        <w:spacing w:after="0" w:line="295"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Common Stock Warrants</w:t>
      </w:r>
    </w:p>
    <w:p>
      <w:pPr>
        <w:spacing w:after="0" w:line="121" w:lineRule="exact"/>
        <w:rPr>
          <w:sz w:val="20"/>
          <w:szCs w:val="20"/>
          <w:color w:val="auto"/>
        </w:rPr>
      </w:pPr>
    </w:p>
    <w:p>
      <w:pPr>
        <w:jc w:val="both"/>
        <w:ind w:left="220" w:right="20" w:firstLine="440"/>
        <w:spacing w:after="0" w:line="286" w:lineRule="auto"/>
        <w:rPr>
          <w:sz w:val="20"/>
          <w:szCs w:val="20"/>
          <w:color w:val="auto"/>
        </w:rPr>
      </w:pPr>
      <w:r>
        <w:rPr>
          <w:rFonts w:ascii="Arial" w:cs="Arial" w:eastAsia="Arial" w:hAnsi="Arial"/>
          <w:sz w:val="17"/>
          <w:szCs w:val="17"/>
          <w:color w:val="auto"/>
        </w:rPr>
        <w:t>In connection with the sale of Series A redeemable convertible preferred stock in August 2011, the Company issued a warrant to purchase 754,573 shares of common stock to an investor who purchased Series A redeemable convertible preferred stock in August 2011 at an exercise price of $0.01 per share. The common stock warrant expires in August 2021 and remained outstanding as of December 31, 2018.</w:t>
      </w:r>
    </w:p>
    <w:p>
      <w:pPr>
        <w:spacing w:after="0" w:line="165"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In connection with the growth capital loan agreement (unaudited, see Note 6), the Company issued a warrant to purchase 262,008 shares of common stock to the lender at an exercise price of $2.29 per share. The Company recorded the issuance-date fair value of the warrant of $0.6 million in equity as the warrant met all criteria for equity classification.</w:t>
      </w:r>
    </w:p>
    <w:p>
      <w:pPr>
        <w:spacing w:after="0" w:line="287"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Convertible Preferred Stock Warrants</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In September 2014, in connection with the Term Loan (see Note 6), the Company issued a warrant to purchase 89,956 shares of its Series B redeemable convertible preferred stock at an exercise price of $1.15 per share. The Series B convertible preferred stock warrant expires in September 2024 and remained outstanding as of March 31, 2019 (unaudited).</w:t>
      </w:r>
    </w:p>
    <w:p>
      <w:pPr>
        <w:spacing w:after="0" w:line="183"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As of December 31, 2018, the remaining term of the Series B convertible preferred stock warrant was 6.75 years. The estimated fair value of the Series B convertible preferred stock warrant on the date of issuance of $0.1 million was recorded as a debt reduction. As of the issuance date, the fair value of the Series B convertible preferred stock warrant was calculated using the Black-Scholes option-pricing model and was based on a contractual term of ten years, a risk-free interest rate of 2.52%, expected volatility of 66.53%, and 0% expected dividend yield.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(unaudited), the remaining term of the Series B convertible preferred stock warrant was 5.5 years.</w:t>
      </w:r>
    </w:p>
    <w:p>
      <w:pPr>
        <w:spacing w:after="0" w:line="225"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248,385 shares of its Series C redeemable convertible preferred stock at an exercise price of $2.013, subject to certain adjustments, such as any stock splits, stock dividends, recapitalizations, reclassifications, combinations, or similar transactions.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remaining term of the Series C convertible preferred stock warrant is the greater of (i) seven years from June 28, 2017, or (ii) five years from the effective date of the Company’s initial public offering.</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86"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2017 and 2018 and March 31, 2019 (unaudited), the fair values of the convertible preferred stock warrants were calculated to be $0.3 million, $0.7 million, and $0.8 million, respectively.</w:t>
      </w:r>
    </w:p>
    <w:p>
      <w:pPr>
        <w:spacing w:after="0" w:line="290"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Compound Derivative Instrument</w:t>
      </w:r>
    </w:p>
    <w:p>
      <w:pPr>
        <w:spacing w:after="0" w:line="121"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Certain conversion and redemption features embedded in the Convertible Notes (see Note 6) were bifurcated from the notes and accounted for as separate compound derivative instrument. The Company remeasured the value of the compound derivative instrument on a recurring basis, with the change in fair value reflected as other income (expense) in the consolidated statements of operations. The compound derivative instrument was recorded as a compound derivative liability at fair value, which was $0.5 million as of the issuance date and $0.7 million and $0 as of December 31, 2017 and 2018, respectively (see Note 5).</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modification of the Convertible Notes on August 20, 2018 (see Note 6), the compound derivative asset was eliminated.</w:t>
      </w:r>
    </w:p>
    <w:p>
      <w:pPr>
        <w:spacing w:after="0" w:line="329"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Lease Obligations</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In February 2015, the Company entered into a noncancelable operating lease for approximately 31,280 square feet of office space, which expires on November 30, 2020.</w:t>
      </w:r>
    </w:p>
    <w:p>
      <w:pPr>
        <w:spacing w:after="0" w:line="170"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term. The Company’s rent expense was $1.1 million for the years ended December 31, 2017 and 2018.</w:t>
      </w:r>
    </w:p>
    <w:p>
      <w:pPr>
        <w:spacing w:after="0" w:line="170" w:lineRule="exact"/>
        <w:rPr>
          <w:sz w:val="20"/>
          <w:szCs w:val="20"/>
          <w:color w:val="auto"/>
        </w:rPr>
      </w:pPr>
    </w:p>
    <w:p>
      <w:pPr>
        <w:jc w:val="both"/>
        <w:ind w:left="220" w:firstLine="440"/>
        <w:spacing w:after="0" w:line="291" w:lineRule="auto"/>
        <w:rPr>
          <w:sz w:val="20"/>
          <w:szCs w:val="20"/>
          <w:color w:val="auto"/>
        </w:rPr>
      </w:pPr>
      <w:r>
        <w:rPr>
          <w:rFonts w:ascii="Arial" w:cs="Arial" w:eastAsia="Arial" w:hAnsi="Arial"/>
          <w:sz w:val="16"/>
          <w:szCs w:val="16"/>
          <w:color w:val="auto"/>
        </w:rPr>
        <w:t>The Company adopted ASC 842 as of January 1, 2019. In determining the present value of lease payments, the Company uses its incremental borrowing rate based on the information available at the lease commencement date if the rate implicit in the lease is not readily determinable. At the date of adoption of ASC 842, the Company determined the amounts of lease liability using a discount rate of 8%, which represents the Company’s incremental borrowing rate. The Company determines its incremental borrowing rate for lease liability using its current borrowing rate, adjusted for various factors including level of collateralization and term. Lease cost for the three-month period ended March 31, 2019 (unaudited) was $0.2 million. Cash paid for operating lease liabilities, included in cash flow from operating activities in the Consolidated Statement of Cash Flows, was $0.3 million for the three-month period ended March 31, 2019 (unaudited). As of March 31, 2019 (unaudited), the remaining lease term for the lease is 1.7 years.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at December 31, 2018 under this noncancelable operating lease were as follows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$1,091</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420"/>
              <w:spacing w:after="0"/>
              <w:rPr>
                <w:sz w:val="20"/>
                <w:szCs w:val="20"/>
                <w:color w:val="auto"/>
              </w:rPr>
            </w:pPr>
            <w:r>
              <w:rPr>
                <w:rFonts w:ascii="Arial" w:cs="Arial" w:eastAsia="Arial" w:hAnsi="Arial"/>
                <w:sz w:val="18"/>
                <w:szCs w:val="18"/>
                <w:color w:val="auto"/>
              </w:rPr>
              <w:t>Future minimum lease payments at March 31, 2019 (unaudited) under the lease were as follows (in thousands):</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(excluding the three months ended March 31, 2019)</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1,854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340"/>
              <w:spacing w:after="0"/>
              <w:rPr>
                <w:sz w:val="20"/>
                <w:szCs w:val="20"/>
                <w:color w:val="auto"/>
              </w:rPr>
            </w:pPr>
            <w:r>
              <w:rPr>
                <w:rFonts w:ascii="Arial" w:cs="Arial" w:eastAsia="Arial" w:hAnsi="Arial"/>
                <w:sz w:val="18"/>
                <w:szCs w:val="18"/>
                <w:color w:val="auto"/>
              </w:rPr>
              <w:t>Less: imputed interest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1,739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340"/>
              <w:spacing w:after="0"/>
              <w:rPr>
                <w:sz w:val="20"/>
                <w:szCs w:val="20"/>
                <w:color w:val="auto"/>
              </w:rPr>
            </w:pPr>
            <w:r>
              <w:rPr>
                <w:rFonts w:ascii="Arial" w:cs="Arial" w:eastAsia="Arial" w:hAnsi="Arial"/>
                <w:sz w:val="18"/>
                <w:szCs w:val="18"/>
                <w:color w:val="auto"/>
              </w:rPr>
              <w:t>Less: current portion of operating lease liability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noncurrent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left="220" w:firstLine="440"/>
        <w:spacing w:after="0" w:line="270" w:lineRule="auto"/>
        <w:rPr>
          <w:sz w:val="20"/>
          <w:szCs w:val="20"/>
          <w:color w:val="auto"/>
        </w:rPr>
      </w:pPr>
      <w:r>
        <w:rPr>
          <w:rFonts w:ascii="Arial" w:cs="Arial" w:eastAsia="Arial" w:hAnsi="Arial"/>
          <w:sz w:val="17"/>
          <w:szCs w:val="17"/>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2017 and 2018 and March 31, 2019 (unaudited), the Company was not involved in any material legal proceedings.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left="220" w:firstLine="440"/>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Convertible Preferred Stock</w:t>
      </w:r>
    </w:p>
    <w:p>
      <w:pPr>
        <w:spacing w:after="0" w:line="12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Company’s certificate of incorporation, as amended, authorizes it to issue 75,238,150 shares of $0.0001 par value redeemable convertible preferred stock, with 31,250,000 shares of preferred stock designated as Series A redeemable convertible preferred stock, 19,288,150 shares of redeemable preferred stock designated as Series B redeemable convertible preferred stock, and 24,700,000 shares of preferred stock designated as Series C redeemable convertible preferred stock.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Redeemable convertible preferred stock at December 31, 2017, consisted of the following (in thousands, except share and per share data):</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 of December 31, 2017</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3"/>
              </w:rPr>
              <w:t>Issuance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18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Authorized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31,250,000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31,249,991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19,288,150</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19,198,194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8"/>
              </w:rPr>
              <w:t>18,000,000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16,778,800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68,538,150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67,226,985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Redeemable convertible preferred stock at December 31, 2018, consisted of the following (in thousands, except share and per share data):</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 of December 31, 2018</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Issuance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48"/>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Authorized</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Outstanding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31,250,000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31,249,991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2260" w:type="dxa"/>
            <w:vAlign w:val="bottom"/>
            <w:gridSpan w:val="3"/>
          </w:tcPr>
          <w:p>
            <w:pPr>
              <w:ind w:left="1180"/>
              <w:spacing w:after="0"/>
              <w:rPr>
                <w:sz w:val="20"/>
                <w:szCs w:val="20"/>
                <w:color w:val="auto"/>
              </w:rPr>
            </w:pPr>
            <w:r>
              <w:rPr>
                <w:rFonts w:ascii="Arial" w:cs="Arial" w:eastAsia="Arial" w:hAnsi="Arial"/>
                <w:sz w:val="18"/>
                <w:szCs w:val="18"/>
                <w:color w:val="auto"/>
              </w:rPr>
              <w:t>19,288,150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19,198,194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22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24,700,000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23,450,790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75,238,150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73,898,975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2260" w:type="dxa"/>
            <w:vAlign w:val="bottom"/>
            <w:gridSpan w:val="3"/>
          </w:tcPr>
          <w:p>
            <w:pPr>
              <w:ind w:left="920"/>
              <w:spacing w:after="0"/>
              <w:rPr>
                <w:sz w:val="20"/>
                <w:szCs w:val="20"/>
                <w:color w:val="auto"/>
              </w:rPr>
            </w:pPr>
            <w:r>
              <w:rPr>
                <w:rFonts w:ascii="Arial" w:cs="Arial" w:eastAsia="Arial" w:hAnsi="Arial"/>
                <w:sz w:val="18"/>
                <w:szCs w:val="18"/>
                <w:color w:val="auto"/>
              </w:rPr>
              <w:t>F-30</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Redeemable convertible preferred stock at March 31, 2019, consisted of the following (in thousands, except share and per share data):</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 of March 31, 2019 (unaudited)</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Liquidation</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Issuance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Authorized</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Outstanding</w:t>
            </w: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31,250,000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31,249,991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0"/>
              </w:rPr>
              <w:t>19,288,150</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19,198,194</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22,078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24,700,000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23,450,790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75,238,150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73,898,975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89,784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preferences of holders of the redeemable convertible preferred stock are as follows: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prior and in preference to any declaration or payments of any dividend on the common stock, noncumulative dividends out of any assets legally available at the per annum rate of 8% of the original issuance price of the redeemable convertible preferred stock, when and if declared by the board of directors.</w:t>
      </w:r>
    </w:p>
    <w:p>
      <w:pPr>
        <w:spacing w:after="0" w:line="183"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No dividends shall be paid on any common stock until dividends to the holders of the redeemable convertible preferred stock have been paid. After payment of dividends to holders of the redeemable convertible preferred stock, any additional dividends, when, as, and if declared by the board of directors, shall be distributed among all holders of common stock and all holders of redeemable convertible preferred stock pro rata based on the number of shares of common stock held by each holder on an as-converted basis. As of December 31, 2018, no dividends have been declared or paid to the holders of redeemable convertible preferred stock.</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Each share of redeemable convertible preferred stock has voting rights equal to an equivalent number of shares of common stock into which it is convertible and votes together as one class with the common stock. As long as 1,000,000 shares of redeemable convertible preferred stock remain outstanding, the Company must obtain approval from the holders of a majority of the then-outstanding redeemable convertible preferred stock in order to alter the certificate of incorporation; increase or decrease the authorized number of shares of common stock or redeemable convertible preferred stock; authorize or designate any new class or series of stock or any other securities convertible into equity securities of the Company ranking on parity with or senior to the redeemable convertible preferred stock in redemption, liquidation preference, voting or dividend rights, or any increase in the authorized or designated number of any such class or series; effect any liquidation, dissolution, winding-up, recapitalization, reorganization, or change in control of the Company; change the number of authorized directors of the Company; or declare or pay any dividends on the common stock.</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In the event of any liquidation, dissolution, or winding-up of the Company, either voluntary or involuntary, holders of the redeemable convertible preferred stock shall be entitled to receive, prior to and in preference to any distribution of any of the assets to the holders of the common stock of the Company, an amount per share equal to the sum of the original issue price of the redeemable convertible preferred stock and all declared and</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unpaid dividends on such shares of redeemable convertible preferred stock. If upon the occurrence of such an event, the assets and funds distributed among the holders of the redeemable convertible preferred stock are insufficient to permit the payment to such holders of the redeemable convertible preferred stock, then the entire assets and funds of the Company legally available for distribution shall be distributed ratably among the holders of the redeemable convertible preferred stock in proportion to the full amount such holders are otherwise entitled to have received pursuant to the entitlement as noted above.</w:t>
      </w:r>
    </w:p>
    <w:p>
      <w:pPr>
        <w:spacing w:after="0" w:line="191"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After the payment in full to holders of the redeemable convertible preferred stock as noted above, the remaining assets, if any, shall be distributed ratably to the holders of the common stock.</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Each share of redeemable convertible preferred stock is convertible, at the option of the holder, at any time after the date of issuance of such share for such redeemable convertible preferred stock. Each share of redeemable convertible preferred stock shall be convertible into the number of shares of common stock determined by dividing the original issuance price by the conversion price. The initial conversion price for each share of redeemable convertible preferred stock is the original issuance price for such share of redeemable convertible preferred stock.</w:t>
      </w:r>
    </w:p>
    <w:p>
      <w:pPr>
        <w:spacing w:after="0" w:line="170"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Each share of redeemable convertible preferred stock automatically converts into the number of shares of common stock into which such shares are convertible at the then-effective conversion ratio (i) at any time upon the affirmative election of the holders of a majority of the outstanding shares of the redeemable convertible preferred stock or (ii) upon closing of a public offering of common stock in which the gross cash proceeds to the Company are at least $30.0 million.</w:t>
      </w:r>
    </w:p>
    <w:p>
      <w:pPr>
        <w:spacing w:after="0" w:line="290"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Stockholders’ Deficit</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Company’s certificate of incorporation, as amended, authorizes it to issue 105,700,000 shares of $0.0001 par value common stock. Common stockholders are entitled to dividends, subject to redeemable convertible preferred stock dividends, when and if declared by the board of directors. There have been no dividends declared to date. The holder of each common share is entitled to one vote.</w:t>
      </w:r>
    </w:p>
    <w:p>
      <w:pPr>
        <w:spacing w:after="0" w:line="287"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Stock Option Plan</w:t>
      </w:r>
    </w:p>
    <w:p>
      <w:pPr>
        <w:spacing w:after="0" w:line="121" w:lineRule="exact"/>
        <w:rPr>
          <w:sz w:val="20"/>
          <w:szCs w:val="20"/>
          <w:color w:val="auto"/>
        </w:rPr>
      </w:pPr>
    </w:p>
    <w:p>
      <w:pPr>
        <w:jc w:val="both"/>
        <w:ind w:left="220" w:firstLine="440"/>
        <w:spacing w:after="0" w:line="290" w:lineRule="auto"/>
        <w:rPr>
          <w:sz w:val="20"/>
          <w:szCs w:val="20"/>
          <w:color w:val="auto"/>
        </w:rPr>
      </w:pPr>
      <w:r>
        <w:rPr>
          <w:rFonts w:ascii="Arial" w:cs="Arial" w:eastAsia="Arial" w:hAnsi="Arial"/>
          <w:sz w:val="16"/>
          <w:szCs w:val="16"/>
          <w:color w:val="auto"/>
        </w:rPr>
        <w:t>In 2011, the Company established its 2011 stock option plan (the “2011 Plan”) that provides for the granting of stock options to employees and nonemployees of the Company. Under the 2011 Plan, the Company has the ability to issue incentive stock options (“ISOs”), nonstatutory stock options, stock appreciation rights, restricted stock awards, and restricted stock unit awards. Options under the 2011 Plan may be granted for periods of up to 10 years. The ISOs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At December 31, 2018 and March 31, 2019 (unaudited), there were 18,591,357 shares and 21,802,734 shares, respectively, of common stock available for issuance under the 2011 Plan.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Early Exercise of Stock Options</w:t>
      </w:r>
    </w:p>
    <w:p>
      <w:pPr>
        <w:spacing w:after="0" w:line="117" w:lineRule="exact"/>
        <w:rPr>
          <w:sz w:val="20"/>
          <w:szCs w:val="20"/>
          <w:color w:val="auto"/>
        </w:rPr>
      </w:pPr>
    </w:p>
    <w:p>
      <w:pPr>
        <w:jc w:val="both"/>
        <w:ind w:left="220" w:firstLine="440"/>
        <w:spacing w:after="0" w:line="275" w:lineRule="auto"/>
        <w:rPr>
          <w:sz w:val="20"/>
          <w:szCs w:val="20"/>
          <w:color w:val="auto"/>
        </w:rPr>
      </w:pPr>
      <w:r>
        <w:rPr>
          <w:rFonts w:ascii="Arial" w:cs="Arial" w:eastAsia="Arial" w:hAnsi="Arial"/>
          <w:sz w:val="17"/>
          <w:szCs w:val="17"/>
          <w:color w:val="auto"/>
        </w:rPr>
        <w:t>For stock option grants issued prior to December 31, 2015, the Company allowed employees to exercise options granted under the 2011 Plan prior to vesting.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8,854 and 1,048 unvested shares subject to the Company’s repurchase rights as of December 31, 2017 and 2018, respectively. There were 267 unvested shares subject to the Company’s repurchase rights as of March 31, 2019 (unaudited).</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7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8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1"/>
              </w:rPr>
              <w:t>Weighted-Average</w:t>
            </w:r>
          </w:p>
        </w:tc>
        <w:tc>
          <w:tcPr>
            <w:tcW w:w="17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Remaining</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1"/>
              </w:rPr>
              <w:t>Number of Shares</w:t>
            </w:r>
          </w:p>
        </w:tc>
        <w:tc>
          <w:tcPr>
            <w:tcW w:w="1780" w:type="dxa"/>
            <w:vAlign w:val="bottom"/>
            <w:gridSpan w:val="3"/>
            <w:vMerge w:val="continue"/>
          </w:tcPr>
          <w:p>
            <w:pPr>
              <w:spacing w:after="0"/>
              <w:rPr>
                <w:sz w:val="12"/>
                <w:szCs w:val="12"/>
                <w:color w:val="auto"/>
              </w:rPr>
            </w:pPr>
          </w:p>
        </w:tc>
        <w:tc>
          <w:tcPr>
            <w:tcW w:w="17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1"/>
              </w:rPr>
              <w:t>Exercise Price</w:t>
            </w: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8,449,577</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3,594,042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0.61</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(122,498)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0.53</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canceled</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(383,010)</w:t>
            </w:r>
          </w:p>
        </w:tc>
        <w:tc>
          <w:tcPr>
            <w:tcW w:w="12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0.80</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11,538,111</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0.48</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authorized</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5,545,857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(137,705)</w:t>
            </w:r>
          </w:p>
        </w:tc>
        <w:tc>
          <w:tcPr>
            <w:tcW w:w="12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0.70</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(505,742)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0.74</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16,440,521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0.79</w:t>
            </w: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authorized</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1,446,000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2.29</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(324,037)</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canceled</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(34,948)</w:t>
            </w:r>
          </w:p>
        </w:tc>
        <w:tc>
          <w:tcPr>
            <w:tcW w:w="12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0.86</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Balance—March 31, 2019 (unaudited)</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17,527,536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0.90</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41,980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as of December 31,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16,440,552</w:t>
            </w:r>
          </w:p>
        </w:tc>
        <w:tc>
          <w:tcPr>
            <w:tcW w:w="12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0.79</w:t>
            </w: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exerciseable as of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9,289,971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0.45</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Options vested and expected to vest as of March 31, 2019</w:t>
            </w: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17,527,536</w:t>
            </w:r>
          </w:p>
        </w:tc>
        <w:tc>
          <w:tcPr>
            <w:tcW w:w="12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0.90</w:t>
            </w: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41,980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 March 31, 2019</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9,496,126</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0.46</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26,923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20" w:firstLine="440"/>
        <w:spacing w:after="0" w:line="273" w:lineRule="auto"/>
        <w:rPr>
          <w:sz w:val="20"/>
          <w:szCs w:val="20"/>
          <w:color w:val="auto"/>
        </w:rPr>
      </w:pPr>
      <w:r>
        <w:rPr>
          <w:rFonts w:ascii="Arial" w:cs="Arial" w:eastAsia="Arial" w:hAnsi="Arial"/>
          <w:sz w:val="17"/>
          <w:szCs w:val="17"/>
          <w:color w:val="auto"/>
        </w:rPr>
        <w:t>The weighted-average grant date fair values of options granted in the years ended December 31, 2017 and 2018, were $0.61 and $1.42, respectively. There were no options granted in the three months ended March 31, 2018 (unaudited). The weighted-average grant date fair values of options granted in the three months ended March 31, 2019 (unaudited) was $1.94. The total fair values of options vested during the years ended December 31, 2017 and 2018, were $0.6 million and $0.8 million, respectively. The total fair values of options vested during March 31, 2018 and 2019 (unaudited) were $0.1 million and $0.4 million, respectively. As of March 31, 2019 (unaudited), the unrecognized stock-based compensation of unvested options was $9.3 million, which is expected to be recognized over a weighted-average period of 3.5 years.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77"/>
        </w:trPr>
        <w:tc>
          <w:tcPr>
            <w:tcW w:w="6480" w:type="dxa"/>
            <w:vAlign w:val="bottom"/>
          </w:tcPr>
          <w:p>
            <w:pPr>
              <w:spacing w:after="0"/>
              <w:rPr>
                <w:sz w:val="6"/>
                <w:szCs w:val="6"/>
                <w:color w:val="auto"/>
              </w:rPr>
            </w:pPr>
          </w:p>
        </w:tc>
        <w:tc>
          <w:tcPr>
            <w:tcW w:w="2040" w:type="dxa"/>
            <w:vAlign w:val="bottom"/>
            <w:tcBorders>
              <w:bottom w:val="single" w:sz="8" w:color="auto"/>
            </w:tcBorders>
            <w:gridSpan w:val="3"/>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52"/>
        </w:trPr>
        <w:tc>
          <w:tcPr>
            <w:tcW w:w="6480" w:type="dxa"/>
            <w:vAlign w:val="bottom"/>
          </w:tcPr>
          <w:p>
            <w:pPr>
              <w:spacing w:after="0"/>
              <w:rPr>
                <w:sz w:val="4"/>
                <w:szCs w:val="4"/>
                <w:color w:val="auto"/>
              </w:rPr>
            </w:pP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4"/>
                <w:szCs w:val="4"/>
                <w:color w:val="auto"/>
              </w:rPr>
            </w:pPr>
          </w:p>
        </w:tc>
        <w:tc>
          <w:tcPr>
            <w:tcW w:w="102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5.97 - 6.95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- 6.35</w:t>
            </w:r>
          </w:p>
        </w:tc>
        <w:tc>
          <w:tcPr>
            <w:tcW w:w="7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Volatility</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56.05 - 65.78%</w:t>
            </w:r>
          </w:p>
        </w:tc>
        <w:tc>
          <w:tcPr>
            <w:tcW w:w="1780" w:type="dxa"/>
            <w:vAlign w:val="bottom"/>
            <w:gridSpan w:val="3"/>
          </w:tcPr>
          <w:p>
            <w:pPr>
              <w:jc w:val="right"/>
              <w:ind w:right="600"/>
              <w:spacing w:after="0"/>
              <w:rPr>
                <w:sz w:val="20"/>
                <w:szCs w:val="20"/>
                <w:color w:val="auto"/>
              </w:rPr>
            </w:pPr>
            <w:r>
              <w:rPr>
                <w:rFonts w:ascii="Arial" w:cs="Arial" w:eastAsia="Arial" w:hAnsi="Arial"/>
                <w:sz w:val="18"/>
                <w:szCs w:val="18"/>
                <w:color w:val="auto"/>
                <w:w w:val="94"/>
              </w:rPr>
              <w:t>56.20 - 65.91%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1.88 - 2.10%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- 2.87%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 - 2.52%</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left="220" w:firstLine="440"/>
        <w:spacing w:after="0" w:line="256"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 Rate</w:t>
      </w:r>
    </w:p>
    <w:p>
      <w:pPr>
        <w:spacing w:after="0" w:line="117"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zero.</w:t>
      </w:r>
    </w:p>
    <w:p>
      <w:pPr>
        <w:spacing w:after="0" w:line="170" w:lineRule="exact"/>
        <w:rPr>
          <w:sz w:val="20"/>
          <w:szCs w:val="20"/>
          <w:color w:val="auto"/>
        </w:rPr>
      </w:pPr>
    </w:p>
    <w:p>
      <w:pPr>
        <w:jc w:val="both"/>
        <w:ind w:left="220" w:firstLine="440"/>
        <w:spacing w:after="0" w:line="296" w:lineRule="auto"/>
        <w:rPr>
          <w:sz w:val="20"/>
          <w:szCs w:val="20"/>
          <w:color w:val="auto"/>
        </w:rPr>
      </w:pPr>
      <w:r>
        <w:rPr>
          <w:rFonts w:ascii="Arial" w:cs="Arial" w:eastAsia="Arial" w:hAnsi="Arial"/>
          <w:sz w:val="16"/>
          <w:szCs w:val="16"/>
          <w:color w:val="auto"/>
        </w:rPr>
        <w:t>As of March 31, 2019 (unaudited), the Company had outstanding 269,671 stock options with performance vesting conditions granted to several of its employees. The awards are subject to two vesting criteria: (i) a time-based service criterion, and (ii) a performance criterion of an initial public offering. Until both conditions have been met, shares are not considered to be vested. As of March 31, 2019 (unaudited), the awards’ underlying conditions were not considered probable of occurrence and, therefore, no compensation cost was recognized. If an initial public offering had occurred on March 31, 2019 (unaudited), the Company would have recognized $0.9 million of stock-based compensation expense for all such outstanding options.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64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2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2018</w:t>
            </w:r>
          </w:p>
        </w:tc>
        <w:tc>
          <w:tcPr>
            <w:tcW w:w="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2"/>
          </w:tcPr>
          <w:p>
            <w:pPr>
              <w:jc w:val="right"/>
              <w:ind w:right="607"/>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6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225</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164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454</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360</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753</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1,317</w:t>
            </w: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609</w:t>
            </w:r>
          </w:p>
        </w:tc>
        <w:tc>
          <w:tcPr>
            <w:tcW w:w="6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Net Loss per Share Attributable to Common Stockholders</w:t>
      </w:r>
    </w:p>
    <w:p>
      <w:pPr>
        <w:spacing w:after="0" w:line="121" w:lineRule="exact"/>
        <w:rPr>
          <w:sz w:val="20"/>
          <w:szCs w:val="20"/>
          <w:color w:val="auto"/>
        </w:rPr>
      </w:pPr>
    </w:p>
    <w:p>
      <w:pPr>
        <w:jc w:val="both"/>
        <w:ind w:left="220" w:firstLine="440"/>
        <w:spacing w:after="0" w:line="279"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Because the Company reported a net loss for 2017 and 2018 and the three months ended March 31, 2018 and 2019,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70"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(23,598)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(19,886)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12,143,164</w:t>
            </w: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12,254,067</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12,207,239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12,366,018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weighted-average shares subject to repurchase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5100" w:type="dxa"/>
            <w:vAlign w:val="bottom"/>
            <w:vMerge w:val="restart"/>
          </w:tcPr>
          <w:p>
            <w:pPr>
              <w:ind w:left="360"/>
              <w:spacing w:after="0"/>
              <w:rPr>
                <w:sz w:val="20"/>
                <w:szCs w:val="20"/>
                <w:color w:val="auto"/>
              </w:rPr>
            </w:pPr>
            <w:r>
              <w:rPr>
                <w:rFonts w:ascii="Arial" w:cs="Arial" w:eastAsia="Arial" w:hAnsi="Arial"/>
                <w:sz w:val="18"/>
                <w:szCs w:val="18"/>
                <w:color w:val="auto"/>
                <w:w w:val="97"/>
              </w:rPr>
              <w:t>Weighted-average shares outstanding used in computing net</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520"/>
              <w:spacing w:after="0"/>
              <w:rPr>
                <w:sz w:val="20"/>
                <w:szCs w:val="20"/>
                <w:color w:val="auto"/>
              </w:rPr>
            </w:pPr>
            <w:r>
              <w:rPr>
                <w:rFonts w:ascii="Arial" w:cs="Arial" w:eastAsia="Arial" w:hAnsi="Arial"/>
                <w:sz w:val="18"/>
                <w:szCs w:val="18"/>
                <w:color w:val="auto"/>
                <w:w w:val="97"/>
              </w:rPr>
              <w:t>loss per share attributable to common stockholders—basic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520"/>
              <w:spacing w:after="0"/>
              <w:rPr>
                <w:sz w:val="20"/>
                <w:szCs w:val="20"/>
                <w:color w:val="auto"/>
              </w:rPr>
            </w:pPr>
            <w:r>
              <w:rPr>
                <w:rFonts w:ascii="Arial" w:cs="Arial" w:eastAsia="Arial" w:hAnsi="Arial"/>
                <w:sz w:val="18"/>
                <w:szCs w:val="18"/>
                <w:color w:val="auto"/>
              </w:rPr>
              <w:t>and diluted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12,126,544</w:t>
            </w:r>
          </w:p>
        </w:tc>
        <w:tc>
          <w:tcPr>
            <w:tcW w:w="8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12,252,629</w:t>
            </w: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12,206,325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12,365,371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Net loss per share attributable to common stockholders—basic and</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146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67,226,985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73,898,975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67,226,985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73,898,975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Conversion of Convertible Notes</w:t>
            </w:r>
            <w:r>
              <w:rPr>
                <w:rFonts w:ascii="Arial" w:cs="Arial" w:eastAsia="Arial" w:hAnsi="Arial"/>
                <w:sz w:val="15"/>
                <w:szCs w:val="15"/>
                <w:color w:val="auto"/>
              </w:rPr>
              <w:t>(1)</w:t>
            </w:r>
          </w:p>
        </w:tc>
        <w:tc>
          <w:tcPr>
            <w:tcW w:w="2940" w:type="dxa"/>
            <w:vAlign w:val="bottom"/>
            <w:gridSpan w:val="3"/>
          </w:tcPr>
          <w:p>
            <w:pPr>
              <w:jc w:val="right"/>
              <w:ind w:right="380"/>
              <w:spacing w:after="0"/>
              <w:rPr>
                <w:sz w:val="20"/>
                <w:szCs w:val="20"/>
                <w:color w:val="auto"/>
              </w:rPr>
            </w:pPr>
            <w:r>
              <w:rPr>
                <w:rFonts w:ascii="Arial" w:cs="Arial" w:eastAsia="Arial" w:hAnsi="Arial"/>
                <w:sz w:val="18"/>
                <w:szCs w:val="18"/>
                <w:color w:val="auto"/>
              </w:rPr>
              <w:t>6,320,605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6,440,402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754,573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754,573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1,016,581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B preferred stock warrant</w:t>
            </w:r>
          </w:p>
        </w:tc>
        <w:tc>
          <w:tcPr>
            <w:tcW w:w="2940" w:type="dxa"/>
            <w:vAlign w:val="bottom"/>
            <w:gridSpan w:val="3"/>
          </w:tcPr>
          <w:p>
            <w:pPr>
              <w:jc w:val="right"/>
              <w:ind w:right="380"/>
              <w:spacing w:after="0"/>
              <w:rPr>
                <w:sz w:val="20"/>
                <w:szCs w:val="20"/>
                <w:color w:val="auto"/>
              </w:rPr>
            </w:pPr>
            <w:r>
              <w:rPr>
                <w:rFonts w:ascii="Arial" w:cs="Arial" w:eastAsia="Arial" w:hAnsi="Arial"/>
                <w:sz w:val="18"/>
                <w:szCs w:val="18"/>
                <w:color w:val="auto"/>
              </w:rPr>
              <w:t>89,956</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89,956</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89,956</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89,956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stock warrant</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248,385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248,385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248,385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940" w:type="dxa"/>
            <w:vAlign w:val="bottom"/>
            <w:gridSpan w:val="3"/>
          </w:tcPr>
          <w:p>
            <w:pPr>
              <w:jc w:val="right"/>
              <w:ind w:right="380"/>
              <w:spacing w:after="0"/>
              <w:rPr>
                <w:sz w:val="20"/>
                <w:szCs w:val="20"/>
                <w:color w:val="auto"/>
              </w:rPr>
            </w:pPr>
            <w:r>
              <w:rPr>
                <w:rFonts w:ascii="Arial" w:cs="Arial" w:eastAsia="Arial" w:hAnsi="Arial"/>
                <w:sz w:val="18"/>
                <w:szCs w:val="18"/>
                <w:color w:val="auto"/>
              </w:rPr>
              <w:t>11,538,111</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16,440,521</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11,347,515</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17,527,537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Unvested early exercised common stock options</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8,854</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86,187,469</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91,433,458</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86,109,899</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92,785,498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2940" w:type="dxa"/>
            <w:vAlign w:val="bottom"/>
            <w:gridSpan w:val="3"/>
          </w:tcPr>
          <w:p>
            <w:pPr>
              <w:jc w:val="right"/>
              <w:ind w:right="1680"/>
              <w:spacing w:after="0"/>
              <w:rPr>
                <w:sz w:val="20"/>
                <w:szCs w:val="20"/>
                <w:color w:val="auto"/>
              </w:rPr>
            </w:pPr>
            <w:r>
              <w:rPr>
                <w:rFonts w:ascii="Arial" w:cs="Arial" w:eastAsia="Arial" w:hAnsi="Arial"/>
                <w:sz w:val="18"/>
                <w:szCs w:val="18"/>
                <w:color w:val="auto"/>
              </w:rPr>
              <w:t>F-35</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hanging="330"/>
        <w:spacing w:after="0" w:line="252"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Calculated as $12.2 million principal and $0.5 million accrued but unpaid interest as of December 31, 2017. Calculated as $12.2 million principal and $0.7 million accrued but unpaid interest as of March 31, 2018 (unaudited).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Unaudited pro forma basic and diluted net loss per share was computed to give effect to the automatic one-for-one conversion of all outstanding shares of redeemable convertible preferred stock into shares of common stock in connection with a qualified initial public offering, using the if-converted method as though the conversion had occurred as of the beginning of the period presented or the date of issuance.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vMerge w:val="restart"/>
          </w:tcPr>
          <w:p>
            <w:pPr>
              <w:jc w:val="right"/>
              <w:ind w:right="1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2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3"/>
              </w:rPr>
              <w:t>December 31, 2018</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loss attributable to common stockholder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(19,886)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Adjust: Change in fair value of convertible preferred stock warrants</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Pro forma net loss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(19,495)</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8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outstanding used in computing net loss per share attributable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520"/>
              <w:spacing w:after="0"/>
              <w:rPr>
                <w:sz w:val="20"/>
                <w:szCs w:val="20"/>
                <w:color w:val="auto"/>
              </w:rPr>
            </w:pPr>
            <w:r>
              <w:rPr>
                <w:rFonts w:ascii="Arial" w:cs="Arial" w:eastAsia="Arial" w:hAnsi="Arial"/>
                <w:sz w:val="18"/>
                <w:szCs w:val="18"/>
                <w:color w:val="auto"/>
              </w:rPr>
              <w:t>to common stockholders—basic and diluted</w:t>
            </w:r>
          </w:p>
        </w:tc>
        <w:tc>
          <w:tcPr>
            <w:tcW w:w="180" w:type="dxa"/>
            <w:vAlign w:val="bottom"/>
          </w:tcPr>
          <w:p>
            <w:pPr>
              <w:spacing w:after="0"/>
              <w:rPr>
                <w:sz w:val="20"/>
                <w:szCs w:val="20"/>
                <w:color w:val="auto"/>
              </w:rPr>
            </w:pP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12,252,629</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12,365,371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 Conversion of redeemable convertible preferred stock</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68,926,971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73,898,975</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Adjust: Conversion of common stock warrants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754,573</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shares outstanding used in computing pro forma net loss per share—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81,934,173</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87,018,919</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loss per share—basic and diluted (unaudited)</w:t>
            </w: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(0.24)</w:t>
            </w:r>
          </w:p>
        </w:tc>
        <w:tc>
          <w:tcPr>
            <w:tcW w:w="9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The Company evaluated subsequent events through March 27, 2019, the date on which the consolidated financial statements were available for issuance.</w:t>
      </w:r>
    </w:p>
    <w:p>
      <w:pPr>
        <w:spacing w:after="0" w:line="62"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For the three months ended March 31, 2019, subsequent events were evaluated through May 23, 2019, the date on which the unaudited interim consolidated financial statements were available for issuance.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4023360</wp:posOffset>
            </wp:positionV>
            <wp:extent cx="3434715" cy="7112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34715" cy="71120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1220"/>
          </w:cols>
          <w:pgMar w:left="240" w:top="459" w:right="439" w:bottom="1440" w:gutter="0" w:footer="0" w:header="0"/>
        </w:sect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-121920</wp:posOffset>
            </wp:positionV>
            <wp:extent cx="6989445"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89445"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wp:posOffset>
            </wp:positionV>
            <wp:extent cx="698944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Exchange listing fee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wp:posOffset>
            </wp:positionV>
            <wp:extent cx="698944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wp:posOffset>
            </wp:positionV>
            <wp:extent cx="698944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Miscellaneous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-121920</wp:posOffset>
            </wp:positionV>
            <wp:extent cx="6989445"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8944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134620</wp:posOffset>
            </wp:positionV>
            <wp:extent cx="7023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53" w:lineRule="exact"/>
        <w:rPr>
          <w:sz w:val="20"/>
          <w:szCs w:val="20"/>
          <w:color w:val="auto"/>
        </w:rPr>
      </w:pPr>
    </w:p>
    <w:p>
      <w:pPr>
        <w:ind w:left="640" w:hanging="430"/>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53"/>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733" w:hanging="733"/>
        <w:spacing w:after="0"/>
        <w:tabs>
          <w:tab w:leader="none" w:pos="7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73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 w:lineRule="exact"/>
        <w:rPr>
          <w:sz w:val="20"/>
          <w:szCs w:val="20"/>
          <w:color w:val="auto"/>
        </w:rPr>
      </w:pPr>
    </w:p>
    <w:p>
      <w:pPr>
        <w:ind w:left="733" w:hanging="733"/>
        <w:spacing w:after="0"/>
        <w:tabs>
          <w:tab w:leader="none" w:pos="7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226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226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236" w:lineRule="exact"/>
        <w:rPr>
          <w:sz w:val="20"/>
          <w:szCs w:val="20"/>
          <w:color w:val="auto"/>
        </w:rPr>
      </w:pPr>
    </w:p>
    <w:p>
      <w:pPr>
        <w:sectPr>
          <w:pgSz w:w="11900" w:h="16838" w:orient="portrait"/>
          <w:cols w:equalWidth="0" w:num="2">
            <w:col w:w="9607" w:space="720"/>
            <w:col w:w="893"/>
          </w:cols>
          <w:pgMar w:left="240" w:top="459" w:right="439" w:bottom="1440" w:gutter="0" w:footer="0" w:header="0"/>
          <w:type w:val="continuous"/>
        </w:sectPr>
      </w:pPr>
    </w:p>
    <w:p>
      <w:pPr>
        <w:jc w:val="both"/>
        <w:ind w:left="220" w:firstLine="440"/>
        <w:spacing w:after="0" w:line="25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officers and permit us to indemnify our employees and other agents, in each case to the maximum extent permitted by the Delaware General Corporation Law.</w:t>
      </w:r>
    </w:p>
    <w:p>
      <w:pPr>
        <w:spacing w:after="0" w:line="193" w:lineRule="exact"/>
        <w:rPr>
          <w:sz w:val="20"/>
          <w:szCs w:val="20"/>
          <w:color w:val="auto"/>
        </w:rPr>
      </w:pPr>
    </w:p>
    <w:p>
      <w:pPr>
        <w:jc w:val="both"/>
        <w:ind w:left="220" w:firstLine="440"/>
        <w:spacing w:after="0" w:line="293"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Personalis, Inc., provided that such director or officer acted in good faith and in a manner that the director or officer reasonably believed to be in, or not opposed to, the best interest of Personalis, Inc. At present, there is no pending litigation or proceeding involving a director or officer of Personalis, Inc. regarding which indemnification is sought, nor is the registrant aware of any threatened litigation that may result in claims for indemnification.</w:t>
      </w:r>
    </w:p>
    <w:p>
      <w:pPr>
        <w:spacing w:after="0" w:line="163"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January 1, 2016, we have issued the following unregistered securities:</w:t>
      </w:r>
    </w:p>
    <w:p>
      <w:pPr>
        <w:spacing w:after="0" w:line="130" w:lineRule="exact"/>
        <w:rPr>
          <w:sz w:val="20"/>
          <w:szCs w:val="20"/>
          <w:color w:val="auto"/>
        </w:rPr>
      </w:pPr>
    </w:p>
    <w:p>
      <w:pPr>
        <w:jc w:val="both"/>
        <w:ind w:left="1080" w:hanging="324"/>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June 2017, we issued $12,225,000 million in principal amount of convertible promissory notes to a total of 37 accredited investors (including certain holders of 5% or more of our capital stock and entities affiliated with certain of our directors), which notes were subsequently amended and converted into an aggregate of 6,671,990 shares of our Series C redeemable convertible preferred stock in September 2018 at a price of $2.013 per share.</w:t>
      </w:r>
    </w:p>
    <w:p>
      <w:pPr>
        <w:spacing w:after="0" w:line="91" w:lineRule="exact"/>
        <w:rPr>
          <w:rFonts w:ascii="Arial" w:cs="Arial" w:eastAsia="Arial" w:hAnsi="Arial"/>
          <w:sz w:val="18"/>
          <w:szCs w:val="18"/>
          <w:color w:val="auto"/>
        </w:rPr>
      </w:pPr>
    </w:p>
    <w:p>
      <w:pPr>
        <w:ind w:left="1080" w:hanging="3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June 2017, we issued a warrant exercisable for up to 248,385 shares of our Series C redeemable convertible preferred stock at a price of $2.013 per share.</w:t>
      </w:r>
    </w:p>
    <w:p>
      <w:pPr>
        <w:spacing w:after="0" w:line="75" w:lineRule="exact"/>
        <w:rPr>
          <w:rFonts w:ascii="Arial" w:cs="Arial" w:eastAsia="Arial" w:hAnsi="Arial"/>
          <w:sz w:val="18"/>
          <w:szCs w:val="18"/>
          <w:color w:val="auto"/>
        </w:rPr>
      </w:pPr>
    </w:p>
    <w:p>
      <w:pPr>
        <w:ind w:left="1080" w:hanging="3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March 2019, we issued a warrant exercisable for up to 262,008 shares of our common stock at a price of $2.29 per share.</w:t>
      </w:r>
    </w:p>
    <w:p>
      <w:pPr>
        <w:spacing w:after="0" w:line="130" w:lineRule="exact"/>
        <w:rPr>
          <w:rFonts w:ascii="Arial" w:cs="Arial" w:eastAsia="Arial" w:hAnsi="Arial"/>
          <w:sz w:val="18"/>
          <w:szCs w:val="18"/>
          <w:color w:val="auto"/>
        </w:rPr>
      </w:pPr>
    </w:p>
    <w:p>
      <w:pPr>
        <w:ind w:left="1080" w:right="20" w:hanging="324"/>
        <w:spacing w:after="0" w:line="307"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From January 1, 2016 through May 23, 2019, we granted to certain employees, consultants and directors options to purchase an aggregate of 12,712,645 shares of our common stock under our 2011 Plan at exercise prices ranging from $0.61 to $3.30 per share.</w:t>
      </w:r>
    </w:p>
    <w:p>
      <w:pPr>
        <w:spacing w:after="0" w:line="52" w:lineRule="exact"/>
        <w:rPr>
          <w:rFonts w:ascii="Arial" w:cs="Arial" w:eastAsia="Arial" w:hAnsi="Arial"/>
          <w:sz w:val="17"/>
          <w:szCs w:val="17"/>
          <w:color w:val="auto"/>
        </w:rPr>
      </w:pPr>
    </w:p>
    <w:p>
      <w:pPr>
        <w:ind w:left="1080" w:hanging="324"/>
        <w:spacing w:after="0" w:line="341"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From January 1, 2016 through May 23, 2019, we issued an aggregate of 1,033,415 shares of our common stock upon the exercise of options granted under our 2011 Plan, at exercise prices ranging from $0.11 to $1.32 per share, for an aggregate exercise price of $717,763.35.</w:t>
      </w:r>
    </w:p>
    <w:p>
      <w:pPr>
        <w:spacing w:after="0" w:line="125"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1" w:lineRule="exact"/>
        <w:rPr>
          <w:sz w:val="20"/>
          <w:szCs w:val="20"/>
          <w:color w:val="auto"/>
        </w:rPr>
      </w:pPr>
    </w:p>
    <w:p>
      <w:pPr>
        <w:jc w:val="both"/>
        <w:ind w:left="220" w:hanging="10"/>
        <w:spacing w:after="0" w:line="253" w:lineRule="auto"/>
        <w:tabs>
          <w:tab w:leader="none" w:pos="5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14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8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500" w:type="dxa"/>
            <w:vAlign w:val="bottom"/>
          </w:tcPr>
          <w:p>
            <w:pPr>
              <w:ind w:left="8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9500" w:type="dxa"/>
            <w:vAlign w:val="bottom"/>
            <w:gridSpan w:val="5"/>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74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Amended and Restated Certificate of Incorporation of the Registrant, as amended, as currently in effect.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34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Bylaws of the Registrant, as currently in effect.</w:t>
            </w:r>
          </w:p>
        </w:tc>
        <w:tc>
          <w:tcPr>
            <w:tcW w:w="6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500" w:type="dxa"/>
            <w:vAlign w:val="bottom"/>
            <w:gridSpan w:val="5"/>
          </w:tcPr>
          <w:p>
            <w:pPr>
              <w:spacing w:after="0"/>
              <w:rPr>
                <w:sz w:val="20"/>
                <w:szCs w:val="20"/>
                <w:color w:val="auto"/>
              </w:rPr>
            </w:pPr>
            <w:r>
              <w:rPr>
                <w:rFonts w:ascii="Arial" w:cs="Arial" w:eastAsia="Arial" w:hAnsi="Arial"/>
                <w:sz w:val="18"/>
                <w:szCs w:val="18"/>
                <w:color w:val="auto"/>
                <w:w w:val="94"/>
              </w:rPr>
              <w:t>Form of Amended and Restated Certificate of Incorporation of the Registrant, to be in effect prior to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500" w:type="dxa"/>
            <w:vAlign w:val="bottom"/>
            <w:gridSpan w:val="5"/>
          </w:tcPr>
          <w:p>
            <w:pPr>
              <w:spacing w:after="0"/>
              <w:rPr>
                <w:sz w:val="20"/>
                <w:szCs w:val="20"/>
                <w:color w:val="auto"/>
              </w:rPr>
            </w:pPr>
            <w:r>
              <w:rPr>
                <w:rFonts w:ascii="Arial" w:cs="Arial" w:eastAsia="Arial" w:hAnsi="Arial"/>
                <w:sz w:val="18"/>
                <w:szCs w:val="18"/>
                <w:color w:val="auto"/>
              </w:rPr>
              <w:t>Form of Amended and Restated Bylaws of the Registrant, to be in effect prior to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500" w:type="dxa"/>
            <w:vAlign w:val="bottom"/>
            <w:gridSpan w:val="5"/>
          </w:tcPr>
          <w:p>
            <w:pPr>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Amended and Restated Investor Rights Agreement by and among the Registrant and certain of its stockholders, dated December 16,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gridSpan w:val="2"/>
          </w:tcPr>
          <w:p>
            <w:pPr>
              <w:ind w:left="760"/>
              <w:spacing w:after="0" w:line="196" w:lineRule="exact"/>
              <w:rPr>
                <w:sz w:val="20"/>
                <w:szCs w:val="20"/>
                <w:color w:val="auto"/>
              </w:rPr>
            </w:pPr>
            <w:r>
              <w:rPr>
                <w:rFonts w:ascii="Arial" w:cs="Arial" w:eastAsia="Arial" w:hAnsi="Arial"/>
                <w:sz w:val="18"/>
                <w:szCs w:val="18"/>
                <w:color w:val="0000EE"/>
                <w:w w:val="84"/>
              </w:rPr>
              <w:t>2014.</w:t>
            </w:r>
          </w:p>
        </w:tc>
        <w:tc>
          <w:tcPr>
            <w:tcW w:w="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512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Warrant to purchase capital stock of the Registrant, issued to Silicon Valley Bank, dated September 25, 2014.</w:t>
            </w:r>
          </w:p>
        </w:tc>
        <w:tc>
          <w:tcPr>
            <w:tcW w:w="2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77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Warrant to purchase capital stock of the Registrant, issued to TriplePoint Capital LLC, dated June 28, 2017.</w:t>
            </w:r>
          </w:p>
        </w:tc>
        <w:tc>
          <w:tcPr>
            <w:tcW w:w="2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rPr>
              <w:t>Warrant to purchase capital stock of the Registrant, issued to TriplePoint Capital LLC, dated March 22, 2019.</w:t>
            </w:r>
          </w:p>
        </w:tc>
        <w:tc>
          <w:tcPr>
            <w:tcW w:w="0" w:type="dxa"/>
            <w:vAlign w:val="bottom"/>
          </w:tcPr>
          <w:p>
            <w:pPr>
              <w:spacing w:after="0"/>
              <w:rPr>
                <w:sz w:val="1"/>
                <w:szCs w:val="1"/>
                <w:color w:val="auto"/>
              </w:rPr>
            </w:pPr>
          </w:p>
        </w:tc>
      </w:tr>
      <w:tr>
        <w:trPr>
          <w:trHeight w:val="34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Opinion of Cooley LLP.</w:t>
            </w: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rPr>
              <w:t>Personalis, Inc. 2011 Equity Incentive Plan, as amended, and forms of agreements thereunder.</w:t>
            </w:r>
          </w:p>
        </w:tc>
        <w:tc>
          <w:tcPr>
            <w:tcW w:w="0" w:type="dxa"/>
            <w:vAlign w:val="bottom"/>
          </w:tcPr>
          <w:p>
            <w:pPr>
              <w:spacing w:after="0"/>
              <w:rPr>
                <w:sz w:val="1"/>
                <w:szCs w:val="1"/>
                <w:color w:val="auto"/>
              </w:rPr>
            </w:pPr>
          </w:p>
        </w:tc>
      </w:tr>
      <w:tr>
        <w:trPr>
          <w:trHeight w:val="34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Personalis, Inc. 2019 Equity Incentive Plan and forms of agreements thereunder.</w:t>
            </w: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w w:val="88"/>
              </w:rPr>
              <w:t>Personalis, Inc. 2019 Employee Stock Purchase Plan and forms of agreements thereunder.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Employment Terms Letter, by and between John West and the Registrant, dated</w:t>
            </w:r>
          </w:p>
        </w:tc>
        <w:tc>
          <w:tcPr>
            <w:tcW w:w="820" w:type="dxa"/>
            <w:vAlign w:val="bottom"/>
            <w:gridSpan w:val="4"/>
          </w:tcPr>
          <w:p>
            <w:pPr>
              <w:jc w:val="right"/>
              <w:ind w:right="320"/>
              <w:spacing w:after="0"/>
              <w:rPr>
                <w:sz w:val="20"/>
                <w:szCs w:val="20"/>
                <w:color w:val="auto"/>
              </w:rPr>
            </w:pPr>
            <w:r>
              <w:rPr>
                <w:rFonts w:ascii="Arial" w:cs="Arial" w:eastAsia="Arial" w:hAnsi="Arial"/>
                <w:sz w:val="18"/>
                <w:szCs w:val="18"/>
                <w:color w:val="auto"/>
                <w:w w:val="87"/>
              </w:rPr>
              <w:t>, 2019.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w w:val="97"/>
              </w:rPr>
              <w:t>Employment Terms Letter, by and between Clinton Musil and the Registrant, dated</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 2019.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w w:val="92"/>
              </w:rPr>
              <w:t>Employment Terms Letter, by and between Dr. Richard Chen and the Registrant, dated</w:t>
            </w:r>
          </w:p>
        </w:tc>
        <w:tc>
          <w:tcPr>
            <w:tcW w:w="1260" w:type="dxa"/>
            <w:vAlign w:val="bottom"/>
            <w:gridSpan w:val="6"/>
          </w:tcPr>
          <w:p>
            <w:pPr>
              <w:jc w:val="right"/>
              <w:ind w:right="240"/>
              <w:spacing w:after="0"/>
              <w:rPr>
                <w:sz w:val="20"/>
                <w:szCs w:val="20"/>
                <w:color w:val="auto"/>
              </w:rPr>
            </w:pPr>
            <w:r>
              <w:rPr>
                <w:rFonts w:ascii="Arial" w:cs="Arial" w:eastAsia="Arial" w:hAnsi="Arial"/>
                <w:sz w:val="18"/>
                <w:szCs w:val="18"/>
                <w:color w:val="auto"/>
              </w:rPr>
              <w:t>, 2019.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w w:val="93"/>
              </w:rPr>
              <w:t>Employment Terms Letter, by and between Aaron Tachibana and the Registrant, dated</w:t>
            </w:r>
          </w:p>
        </w:tc>
        <w:tc>
          <w:tcPr>
            <w:tcW w:w="1260" w:type="dxa"/>
            <w:vAlign w:val="bottom"/>
            <w:gridSpan w:val="6"/>
          </w:tcPr>
          <w:p>
            <w:pPr>
              <w:jc w:val="right"/>
              <w:ind w:right="280"/>
              <w:spacing w:after="0"/>
              <w:rPr>
                <w:sz w:val="20"/>
                <w:szCs w:val="20"/>
                <w:color w:val="auto"/>
              </w:rPr>
            </w:pPr>
            <w:r>
              <w:rPr>
                <w:rFonts w:ascii="Arial" w:cs="Arial" w:eastAsia="Arial" w:hAnsi="Arial"/>
                <w:sz w:val="18"/>
                <w:szCs w:val="18"/>
                <w:color w:val="auto"/>
              </w:rPr>
              <w:t>, 2019.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4"/>
              </w:rPr>
              <w:t>Lease, by and between MENLO PREHC I, LLC, MENLO PREPI I, LLC, TPI Investors 9, LLC and the Registrant, dated February 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2"/>
          </w:tcPr>
          <w:p>
            <w:pPr>
              <w:ind w:left="520"/>
              <w:spacing w:after="0" w:line="196" w:lineRule="exact"/>
              <w:rPr>
                <w:sz w:val="20"/>
                <w:szCs w:val="20"/>
                <w:color w:val="auto"/>
              </w:rPr>
            </w:pPr>
            <w:r>
              <w:rPr>
                <w:rFonts w:ascii="Arial" w:cs="Arial" w:eastAsia="Arial" w:hAnsi="Arial"/>
                <w:sz w:val="18"/>
                <w:szCs w:val="18"/>
                <w:color w:val="0000EE"/>
                <w:w w:val="84"/>
              </w:rPr>
              <w:t>2015.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0"/>
              </w:rPr>
              <w:t>Contract No. VA240-17-D-0103, by and between the U.S. Department of Veterans Affairs and the Registrant, dated September 28, 2017.</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8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w w:val="94"/>
              </w:rPr>
              <w:t>Quotation for Supply of Genetic Analysis Products No. 4079884, by and between Illumina, Inc. and the Registrant, dated March 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2"/>
          </w:tcPr>
          <w:p>
            <w:pPr>
              <w:ind w:left="520"/>
              <w:spacing w:after="0" w:line="196" w:lineRule="exact"/>
              <w:rPr>
                <w:sz w:val="20"/>
                <w:szCs w:val="20"/>
                <w:color w:val="auto"/>
              </w:rPr>
            </w:pPr>
            <w:r>
              <w:rPr>
                <w:rFonts w:ascii="Arial" w:cs="Arial" w:eastAsia="Arial" w:hAnsi="Arial"/>
                <w:sz w:val="18"/>
                <w:szCs w:val="18"/>
                <w:color w:val="0000EE"/>
                <w:w w:val="84"/>
              </w:rPr>
              <w:t>2017.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73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Purchase Order No. P11405, by and between Illumina, Inc. and the Registrant, dated March 31, 2017.</w:t>
            </w:r>
          </w:p>
        </w:tc>
        <w:tc>
          <w:tcPr>
            <w:tcW w:w="2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84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Master Services Subcontract Agreement, by and between Illumina, Inc. and the Registrant, dated November 1, 2017.</w:t>
            </w: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2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Pricing Agreement, by and between Illumina, Inc. and the Registrant, dated November 22, 2017.</w:t>
            </w:r>
          </w:p>
        </w:tc>
        <w:tc>
          <w:tcPr>
            <w:tcW w:w="2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4"/>
              </w:rPr>
              <w:t>Fasttrack Genetic Analysis Services Agreement No. MQ-20171213CG100, by and between Illumina, Inc. and the Registrant, dated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December 13, 2017.</w:t>
            </w:r>
          </w:p>
        </w:tc>
        <w:tc>
          <w:tcPr>
            <w:tcW w:w="50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3"/>
              </w:rPr>
              <w:t>Quotation for Supply of Genetic Analysis Products No. SQ-20190214CG102, by and between Illumina, Inc. and the Registrant, dated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February 22, 2019.</w:t>
            </w: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Quotation for Supply of Genetic Analysis Products No. 4192031, by and between Illumina, Inc. and the Registrant, dated March 1, 2019.</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rPr>
              <w:t>Purchase Order No. P11405, by and between Illumina, Inc. and the Registrant, dated March 20, 2019.</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24"/>
                <w:szCs w:val="24"/>
                <w:color w:val="auto"/>
              </w:rPr>
            </w:pPr>
          </w:p>
        </w:tc>
        <w:tc>
          <w:tcPr>
            <w:tcW w:w="73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9"/>
              </w:rPr>
              <w:t>Pricing Agreement, by and between Illumina, Inc. and the Registrant, dated March 26, 2019.</w:t>
            </w:r>
          </w:p>
        </w:tc>
        <w:tc>
          <w:tcPr>
            <w:tcW w:w="2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60" w:type="dxa"/>
            <w:vAlign w:val="bottom"/>
            <w:gridSpan w:val="5"/>
            <w:shd w:val="clear" w:color="auto" w:fill="0000EE"/>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52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4"/>
              </w:rPr>
              <w:t>Plain English Revolving Loan and Security Agreement, by and between TriplePoint Capital LLC and the Registrant, dated June 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2"/>
          </w:tcPr>
          <w:p>
            <w:pPr>
              <w:ind w:left="520"/>
              <w:spacing w:after="0" w:line="196" w:lineRule="exact"/>
              <w:rPr>
                <w:sz w:val="20"/>
                <w:szCs w:val="20"/>
                <w:color w:val="auto"/>
              </w:rPr>
            </w:pPr>
            <w:r>
              <w:rPr>
                <w:rFonts w:ascii="Arial" w:cs="Arial" w:eastAsia="Arial" w:hAnsi="Arial"/>
                <w:sz w:val="18"/>
                <w:szCs w:val="18"/>
                <w:color w:val="0000EE"/>
                <w:w w:val="84"/>
              </w:rPr>
              <w:t>2017.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768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First Amendment to Plain English Revolving Loan and Security Agreement, by and between TriplePoint Capital LLC and the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40" w:type="dxa"/>
            <w:vAlign w:val="bottom"/>
            <w:gridSpan w:val="9"/>
          </w:tcPr>
          <w:p>
            <w:pPr>
              <w:spacing w:after="0" w:line="196" w:lineRule="exact"/>
              <w:rPr>
                <w:sz w:val="20"/>
                <w:szCs w:val="20"/>
                <w:color w:val="auto"/>
              </w:rPr>
            </w:pPr>
            <w:r>
              <w:rPr>
                <w:rFonts w:ascii="Arial" w:cs="Arial" w:eastAsia="Arial" w:hAnsi="Arial"/>
                <w:sz w:val="18"/>
                <w:szCs w:val="18"/>
                <w:color w:val="0000EE"/>
              </w:rPr>
              <w:t>Registrant, dated March 22, 2019.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Form of convertible promissory note of the Registrant.</w:t>
            </w:r>
          </w:p>
        </w:tc>
        <w:tc>
          <w:tcPr>
            <w:tcW w:w="5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gridSpan w:val="9"/>
          </w:tcPr>
          <w:p>
            <w:pPr>
              <w:spacing w:after="0"/>
              <w:rPr>
                <w:sz w:val="20"/>
                <w:szCs w:val="20"/>
                <w:color w:val="auto"/>
              </w:rPr>
            </w:pPr>
            <w:r>
              <w:rPr>
                <w:rFonts w:ascii="Arial" w:cs="Arial" w:eastAsia="Arial" w:hAnsi="Arial"/>
                <w:sz w:val="18"/>
                <w:szCs w:val="18"/>
                <w:color w:val="0000EE"/>
              </w:rPr>
              <w:t>Amendment No. 1 to the convertible promissory note of the Registrant.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gridSpan w:val="9"/>
          </w:tcPr>
          <w:p>
            <w:pPr>
              <w:spacing w:after="0"/>
              <w:rPr>
                <w:sz w:val="20"/>
                <w:szCs w:val="20"/>
                <w:color w:val="auto"/>
              </w:rPr>
            </w:pPr>
            <w:r>
              <w:rPr>
                <w:rFonts w:ascii="Arial" w:cs="Arial" w:eastAsia="Arial" w:hAnsi="Arial"/>
                <w:sz w:val="18"/>
                <w:szCs w:val="18"/>
                <w:color w:val="0000EE"/>
              </w:rPr>
              <w:t>Amendment No. 2 to the convertible promissory note of the Registrant.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gridSpan w:val="9"/>
          </w:tcPr>
          <w:p>
            <w:pPr>
              <w:spacing w:after="0"/>
              <w:rPr>
                <w:sz w:val="20"/>
                <w:szCs w:val="20"/>
                <w:color w:val="auto"/>
              </w:rPr>
            </w:pPr>
            <w:r>
              <w:rPr>
                <w:rFonts w:ascii="Arial" w:cs="Arial" w:eastAsia="Arial" w:hAnsi="Arial"/>
                <w:sz w:val="18"/>
                <w:szCs w:val="18"/>
                <w:color w:val="0000EE"/>
              </w:rPr>
              <w:t>Letter from Moss Adams LLP to the Securities and Exchange Commission, dated March 27, 2019.</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0"/>
              </w:rPr>
              <w:t>List of subsidiaries of the Registrant.</w:t>
            </w:r>
          </w:p>
        </w:tc>
        <w:tc>
          <w:tcPr>
            <w:tcW w:w="4440" w:type="dxa"/>
            <w:vAlign w:val="bottom"/>
            <w:tcBorders>
              <w:top w:val="single" w:sz="8" w:color="0000EE"/>
            </w:tcBorders>
            <w:gridSpan w:val="5"/>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Deloitte &amp; Touche LLP, independent registered public accounting firm.</w:t>
            </w:r>
          </w:p>
        </w:tc>
        <w:tc>
          <w:tcPr>
            <w:tcW w:w="3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gridSpan w:val="9"/>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gridSpan w:val="9"/>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hanging="430"/>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640" w:right="20" w:hanging="430"/>
        <w:spacing w:after="0" w:line="260"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Registrant has determined that (i) the omitted information is not material and (ii) the omitted information would likely cause competitive harm to the Registrant if publicly disclosed.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220" w:right="20" w:firstLine="440"/>
        <w:spacing w:after="0" w:line="307"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jc w:val="both"/>
        <w:ind w:left="22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220" w:right="20" w:firstLine="430"/>
        <w:spacing w:after="0" w:line="311" w:lineRule="auto"/>
        <w:tabs>
          <w:tab w:leader="none" w:pos="91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30"/>
        <w:spacing w:after="0" w:line="263" w:lineRule="auto"/>
        <w:tabs>
          <w:tab w:leader="none" w:pos="9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2" w:lineRule="exact"/>
        <w:rPr>
          <w:rFonts w:ascii="Arial" w:cs="Arial" w:eastAsia="Arial" w:hAnsi="Arial"/>
          <w:sz w:val="18"/>
          <w:szCs w:val="18"/>
          <w:color w:val="auto"/>
        </w:rPr>
      </w:pPr>
    </w:p>
    <w:p>
      <w:pPr>
        <w:jc w:val="both"/>
        <w:ind w:left="220" w:firstLine="430"/>
        <w:spacing w:after="0" w:line="256" w:lineRule="auto"/>
        <w:tabs>
          <w:tab w:leader="none" w:pos="9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1" w:lineRule="exact"/>
        <w:rPr>
          <w:rFonts w:ascii="Arial" w:cs="Arial" w:eastAsia="Arial" w:hAnsi="Arial"/>
          <w:sz w:val="18"/>
          <w:szCs w:val="18"/>
          <w:color w:val="auto"/>
        </w:rPr>
      </w:pPr>
    </w:p>
    <w:p>
      <w:pPr>
        <w:ind w:left="1300" w:hanging="209"/>
        <w:spacing w:after="0"/>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7" w:lineRule="exact"/>
        <w:rPr>
          <w:rFonts w:ascii="Arial" w:cs="Arial" w:eastAsia="Arial" w:hAnsi="Arial"/>
          <w:sz w:val="16"/>
          <w:szCs w:val="16"/>
          <w:color w:val="auto"/>
        </w:rPr>
      </w:pPr>
    </w:p>
    <w:p>
      <w:pPr>
        <w:ind w:left="1100" w:right="20" w:hanging="9"/>
        <w:spacing w:after="0" w:line="277" w:lineRule="auto"/>
        <w:tabs>
          <w:tab w:leader="none" w:pos="137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69" w:lineRule="exact"/>
        <w:rPr>
          <w:rFonts w:ascii="Arial" w:cs="Arial" w:eastAsia="Arial" w:hAnsi="Arial"/>
          <w:sz w:val="18"/>
          <w:szCs w:val="18"/>
          <w:color w:val="auto"/>
        </w:rPr>
      </w:pPr>
    </w:p>
    <w:p>
      <w:pPr>
        <w:ind w:left="1100" w:hanging="9"/>
        <w:spacing w:after="0" w:line="277" w:lineRule="auto"/>
        <w:tabs>
          <w:tab w:leader="none" w:pos="141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9" w:lineRule="exact"/>
        <w:rPr>
          <w:rFonts w:ascii="Arial" w:cs="Arial" w:eastAsia="Arial" w:hAnsi="Arial"/>
          <w:sz w:val="18"/>
          <w:szCs w:val="18"/>
          <w:color w:val="auto"/>
        </w:rPr>
      </w:pPr>
    </w:p>
    <w:p>
      <w:pPr>
        <w:ind w:left="1400" w:hanging="309"/>
        <w:spacing w:after="0"/>
        <w:tabs>
          <w:tab w:leader="none" w:pos="14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4" w:lineRule="exact"/>
        <w:rPr>
          <w:rFonts w:ascii="Arial" w:cs="Arial" w:eastAsia="Arial" w:hAnsi="Arial"/>
          <w:sz w:val="18"/>
          <w:szCs w:val="18"/>
          <w:color w:val="auto"/>
        </w:rPr>
      </w:pPr>
    </w:p>
    <w:p>
      <w:pPr>
        <w:jc w:val="both"/>
        <w:ind w:left="220" w:firstLine="430"/>
        <w:spacing w:after="0" w:line="272" w:lineRule="auto"/>
        <w:tabs>
          <w:tab w:leader="none" w:pos="91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Menlo Park, State of California, on May 23, 2019.</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PERSONALIS,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14605</wp:posOffset>
            </wp:positionV>
            <wp:extent cx="26123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West</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220" w:firstLine="4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John West and Aaron Tachibana,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4" w:lineRule="exact"/>
        <w:rPr>
          <w:sz w:val="20"/>
          <w:szCs w:val="20"/>
          <w:color w:val="auto"/>
        </w:rPr>
      </w:pPr>
    </w:p>
    <w:p>
      <w:pPr>
        <w:jc w:val="both"/>
        <w:ind w:left="2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240" w:top="459" w:right="439" w:bottom="1440" w:gutter="0" w:footer="0" w:header="0"/>
        </w:sectPr>
      </w:pPr>
    </w:p>
    <w:p>
      <w:pPr>
        <w:spacing w:after="0" w:line="188"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jc w:val="right"/>
        <w:ind w:right="860"/>
        <w:spacing w:after="0"/>
        <w:tabs>
          <w:tab w:leader="none" w:pos="1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John West</w:t>
      </w:r>
    </w:p>
    <w:p>
      <w:pPr>
        <w:spacing w:after="0" w:line="237" w:lineRule="exact"/>
        <w:rPr>
          <w:sz w:val="20"/>
          <w:szCs w:val="20"/>
          <w:color w:val="auto"/>
        </w:rPr>
      </w:pPr>
    </w:p>
    <w:p>
      <w:pPr>
        <w:jc w:val="right"/>
        <w:ind w:right="620"/>
        <w:spacing w:after="0"/>
        <w:tabs>
          <w:tab w:leader="none" w:pos="1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Aaron Tachibana</w:t>
      </w:r>
    </w:p>
    <w:p>
      <w:pPr>
        <w:spacing w:after="0" w:line="237" w:lineRule="exact"/>
        <w:rPr>
          <w:sz w:val="20"/>
          <w:szCs w:val="20"/>
          <w:color w:val="auto"/>
        </w:rPr>
      </w:pPr>
    </w:p>
    <w:p>
      <w:pPr>
        <w:jc w:val="right"/>
        <w:ind w:right="620"/>
        <w:spacing w:after="0"/>
        <w:tabs>
          <w:tab w:leader="none" w:pos="1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Balthrop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Patrick Balthrop</w:t>
      </w:r>
    </w:p>
    <w:p>
      <w:pPr>
        <w:spacing w:after="0" w:line="237" w:lineRule="exact"/>
        <w:rPr>
          <w:sz w:val="20"/>
          <w:szCs w:val="20"/>
          <w:color w:val="auto"/>
        </w:rPr>
      </w:pPr>
    </w:p>
    <w:p>
      <w:pPr>
        <w:jc w:val="right"/>
        <w:ind w:right="54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 Blaine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A. Blaine Bowman</w:t>
      </w:r>
    </w:p>
    <w:p>
      <w:pPr>
        <w:spacing w:after="0" w:line="237" w:lineRule="exact"/>
        <w:rPr>
          <w:sz w:val="20"/>
          <w:szCs w:val="20"/>
          <w:color w:val="auto"/>
        </w:rPr>
      </w:pPr>
    </w:p>
    <w:p>
      <w:pPr>
        <w:ind w:left="1140"/>
        <w:spacing w:after="0"/>
        <w:tabs>
          <w:tab w:leader="none" w:pos="1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Alan Colowick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Alan Colowick, M.D.</w:t>
      </w:r>
    </w:p>
    <w:p>
      <w:pPr>
        <w:spacing w:after="0" w:line="237" w:lineRule="exact"/>
        <w:rPr>
          <w:sz w:val="20"/>
          <w:szCs w:val="20"/>
          <w:color w:val="auto"/>
        </w:rPr>
      </w:pPr>
    </w:p>
    <w:p>
      <w:pPr>
        <w:jc w:val="right"/>
        <w:ind w:right="600"/>
        <w:spacing w:after="0"/>
        <w:tabs>
          <w:tab w:leader="none" w:pos="1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Kenneth Ludlum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Kenneth Ludlum</w:t>
      </w:r>
    </w:p>
    <w:p>
      <w:pPr>
        <w:spacing w:after="0" w:line="237" w:lineRule="exact"/>
        <w:rPr>
          <w:sz w:val="20"/>
          <w:szCs w:val="20"/>
          <w:color w:val="auto"/>
        </w:rPr>
      </w:pPr>
    </w:p>
    <w:p>
      <w:pPr>
        <w:ind w:left="960"/>
        <w:spacing w:after="0"/>
        <w:tabs>
          <w:tab w:leader="none" w:pos="1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Jonathan MacQuitty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Jonathan MacQuitty, Ph.D.</w:t>
      </w:r>
    </w:p>
    <w:p>
      <w:pPr>
        <w:spacing w:after="0" w:line="260" w:lineRule="exact"/>
        <w:rPr>
          <w:sz w:val="20"/>
          <w:szCs w:val="20"/>
          <w:color w:val="auto"/>
        </w:rPr>
      </w:pPr>
    </w:p>
    <w:p>
      <w:pPr>
        <w:jc w:val="right"/>
        <w:ind w:right="840"/>
        <w:spacing w:after="0"/>
        <w:tabs>
          <w:tab w:leader="none" w:pos="1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Ricci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23298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Paul Ricci</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ind w:right="1580"/>
        <w:spacing w:after="0" w:line="277" w:lineRule="auto"/>
        <w:rPr>
          <w:sz w:val="20"/>
          <w:szCs w:val="20"/>
          <w:color w:val="auto"/>
        </w:rPr>
      </w:pPr>
      <w:r>
        <w:rPr>
          <w:rFonts w:ascii="Arial" w:cs="Arial" w:eastAsia="Arial" w:hAnsi="Arial"/>
          <w:sz w:val="18"/>
          <w:szCs w:val="18"/>
          <w:color w:val="auto"/>
        </w:rPr>
        <w:t xml:space="preserve">President, Chief Executive Officer and Director </w:t>
      </w: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Date</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May 23, 2019</w:t>
      </w:r>
    </w:p>
    <w:p>
      <w:pPr>
        <w:sectPr>
          <w:pgSz w:w="11900" w:h="16838" w:orient="portrait"/>
          <w:cols w:equalWidth="0" w:num="3">
            <w:col w:w="3260" w:space="720"/>
            <w:col w:w="5020" w:space="720"/>
            <w:col w:w="1500"/>
          </w:cols>
          <w:pgMar w:left="240" w:top="459" w:right="439" w:bottom="144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John West, hereby certifies that:</w:t>
      </w:r>
    </w:p>
    <w:p>
      <w:pPr>
        <w:spacing w:after="0" w:line="221" w:lineRule="exact"/>
        <w:rPr>
          <w:sz w:val="20"/>
          <w:szCs w:val="20"/>
          <w:color w:val="auto"/>
        </w:rPr>
      </w:pPr>
    </w:p>
    <w:p>
      <w:pPr>
        <w:ind w:right="140" w:firstLine="440"/>
        <w:spacing w:after="0" w:line="281"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original name of this corporation is Personalis, Inc. and the date of filing the original Certificate of Incorporation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Secretary of State of the State of Delaware was February 21, 2011.</w:t>
      </w:r>
    </w:p>
    <w:p>
      <w:pPr>
        <w:spacing w:after="0" w:line="163"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President and Chief Executive Officer of Personalis,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The Certificate of Incorporation of this corporation is hereby amended and restated to read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Personalis,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firstLine="440"/>
        <w:spacing w:after="0" w:line="307" w:lineRule="auto"/>
        <w:rPr>
          <w:sz w:val="20"/>
          <w:szCs w:val="20"/>
          <w:color w:val="auto"/>
        </w:rPr>
      </w:pPr>
      <w:r>
        <w:rPr>
          <w:rFonts w:ascii="Arial" w:cs="Arial" w:eastAsia="Arial" w:hAnsi="Arial"/>
          <w:sz w:val="17"/>
          <w:szCs w:val="17"/>
          <w:color w:val="auto"/>
        </w:rPr>
        <w:t>The address of the registered office of this Company in the State of Delaware is 3500 South DuPont Highway, Dover, County of Kent, DE 19901, and the name of the registered agent of this corporation in the State of Delaware at such address is Incorporating Services, Ltd.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280" w:firstLine="430"/>
        <w:spacing w:after="0" w:line="259" w:lineRule="auto"/>
        <w:tabs>
          <w:tab w:leader="none" w:pos="791"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two classes of stock to be designated, respectively, Common Stock and Preferred Stock. The total number of shares that the Company is authorized to issue is 164,538,150 shares, 96,000,000 shares of which shall be Common Stock and 68,538,150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and the Common Stock shall have a par value of $0.0001 per share.</w:t>
      </w:r>
    </w:p>
    <w:p>
      <w:pPr>
        <w:spacing w:after="0" w:line="185" w:lineRule="exact"/>
        <w:rPr>
          <w:rFonts w:ascii="Arial" w:cs="Arial" w:eastAsia="Arial" w:hAnsi="Arial"/>
          <w:sz w:val="18"/>
          <w:szCs w:val="18"/>
          <w:b w:val="1"/>
          <w:bCs w:val="1"/>
          <w:color w:val="auto"/>
        </w:rPr>
      </w:pPr>
    </w:p>
    <w:p>
      <w:pPr>
        <w:ind w:right="20" w:firstLine="430"/>
        <w:spacing w:after="0" w:line="286" w:lineRule="auto"/>
        <w:tabs>
          <w:tab w:leader="none" w:pos="782"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 irrespective of the provisions of Section 242(b)(2) of the DGCL, except as otherwise set forth herein.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60" w:top="121" w:right="439" w:bottom="1440" w:gutter="0" w:footer="0" w:header="0"/>
        </w:sectPr>
      </w:pPr>
    </w:p>
    <w:bookmarkStart w:id="223" w:name="page224"/>
    <w:bookmarkEnd w:id="223"/>
    <w:p>
      <w:pPr>
        <w:ind w:right="580" w:firstLine="430"/>
        <w:spacing w:after="0" w:line="259" w:lineRule="auto"/>
        <w:tabs>
          <w:tab w:leader="none" w:pos="795"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31,250,000 of the authorized shares of Preferred Stock are hereby designated “Series A Convertible Preferred Stock” (the “</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w:t>
      </w:r>
      <w:r>
        <w:rPr>
          <w:rFonts w:ascii="Arial" w:cs="Arial" w:eastAsia="Arial" w:hAnsi="Arial"/>
          <w:sz w:val="18"/>
          <w:szCs w:val="18"/>
          <w:color w:val="auto"/>
        </w:rPr>
        <w:t>”), 19,288,150 of the authorized shares of Preferred Stock are hereby designated “Series B Convertible Preferred Stock” (the “</w:t>
      </w:r>
      <w:r>
        <w:rPr>
          <w:rFonts w:ascii="Arial" w:cs="Arial" w:eastAsia="Arial" w:hAnsi="Arial"/>
          <w:sz w:val="18"/>
          <w:szCs w:val="18"/>
          <w:b w:val="1"/>
          <w:bCs w:val="1"/>
          <w:i w:val="1"/>
          <w:iCs w:val="1"/>
          <w:color w:val="auto"/>
        </w:rPr>
        <w:t>Series B Preferred</w:t>
      </w:r>
      <w:r>
        <w:rPr>
          <w:rFonts w:ascii="Arial" w:cs="Arial" w:eastAsia="Arial" w:hAnsi="Arial"/>
          <w:sz w:val="18"/>
          <w:szCs w:val="18"/>
          <w:color w:val="auto"/>
        </w:rPr>
        <w:t>,” and 18,000,000 shares are designated “Series C Convertible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 together with the Series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and the Series B Preferred, the “</w:t>
      </w:r>
      <w:r>
        <w:rPr>
          <w:rFonts w:ascii="Arial" w:cs="Arial" w:eastAsia="Arial" w:hAnsi="Arial"/>
          <w:sz w:val="18"/>
          <w:szCs w:val="18"/>
          <w:b w:val="1"/>
          <w:bCs w:val="1"/>
          <w:i w:val="1"/>
          <w:iCs w:val="1"/>
          <w:color w:val="auto"/>
        </w:rPr>
        <w:t>Series Preferred</w:t>
      </w:r>
      <w:r>
        <w:rPr>
          <w:rFonts w:ascii="Arial" w:cs="Arial" w:eastAsia="Arial" w:hAnsi="Arial"/>
          <w:sz w:val="18"/>
          <w:szCs w:val="18"/>
          <w:color w:val="auto"/>
        </w:rPr>
        <w:t>”).</w:t>
      </w:r>
    </w:p>
    <w:p>
      <w:pPr>
        <w:spacing w:after="0" w:line="185" w:lineRule="exact"/>
        <w:rPr>
          <w:rFonts w:ascii="Arial" w:cs="Arial" w:eastAsia="Arial" w:hAnsi="Arial"/>
          <w:sz w:val="18"/>
          <w:szCs w:val="18"/>
          <w:b w:val="1"/>
          <w:bCs w:val="1"/>
          <w:color w:val="auto"/>
        </w:rPr>
      </w:pPr>
    </w:p>
    <w:p>
      <w:pPr>
        <w:ind w:left="780" w:hanging="350"/>
        <w:spacing w:after="0"/>
        <w:tabs>
          <w:tab w:leader="none" w:pos="78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Series Preferred are as follows:</w:t>
      </w:r>
    </w:p>
    <w:p>
      <w:pPr>
        <w:spacing w:after="0" w:line="220" w:lineRule="exact"/>
        <w:rPr>
          <w:rFonts w:ascii="Arial" w:cs="Arial" w:eastAsia="Arial" w:hAnsi="Arial"/>
          <w:sz w:val="18"/>
          <w:szCs w:val="18"/>
          <w:b w:val="1"/>
          <w:bCs w:val="1"/>
          <w:color w:val="auto"/>
        </w:rPr>
      </w:pPr>
    </w:p>
    <w:p>
      <w:pPr>
        <w:ind w:left="1180" w:hanging="309"/>
        <w:spacing w:after="0"/>
        <w:tabs>
          <w:tab w:leader="none" w:pos="1180"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firstLine="1421"/>
        <w:spacing w:after="0" w:line="259" w:lineRule="auto"/>
        <w:tabs>
          <w:tab w:leader="none" w:pos="1820" w:val="left"/>
        </w:tabs>
        <w:numPr>
          <w:ilvl w:val="2"/>
          <w:numId w:val="120"/>
        </w:numPr>
        <w:rPr>
          <w:rFonts w:ascii="Arial" w:cs="Arial" w:eastAsia="Arial" w:hAnsi="Arial"/>
          <w:sz w:val="18"/>
          <w:szCs w:val="18"/>
          <w:b w:val="1"/>
          <w:bCs w:val="1"/>
          <w:color w:val="auto"/>
        </w:rPr>
      </w:pPr>
      <w:r>
        <w:rPr>
          <w:rFonts w:ascii="Arial" w:cs="Arial" w:eastAsia="Arial" w:hAnsi="Arial"/>
          <w:sz w:val="18"/>
          <w:szCs w:val="18"/>
          <w:color w:val="auto"/>
        </w:rPr>
        <w:t>Holders of Series Preferred, in preference to the holders of Common Stock, shall be entitled to receive, on a pari passu basis, but only out of funds that are legally available therefor, cash dividends at the rate of eight percent (8%) of the Original Issue Price (as defined below) per annum on each outstanding share of Series Preferred. Such dividends shall be payable only when, as and if declared by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shall be non-cumulative.</w:t>
      </w:r>
    </w:p>
    <w:p>
      <w:pPr>
        <w:spacing w:after="0" w:line="185" w:lineRule="exact"/>
        <w:rPr>
          <w:rFonts w:ascii="Arial" w:cs="Arial" w:eastAsia="Arial" w:hAnsi="Arial"/>
          <w:sz w:val="18"/>
          <w:szCs w:val="18"/>
          <w:b w:val="1"/>
          <w:bCs w:val="1"/>
          <w:color w:val="auto"/>
        </w:rPr>
      </w:pPr>
    </w:p>
    <w:p>
      <w:pPr>
        <w:ind w:right="80" w:firstLine="1421"/>
        <w:spacing w:after="0" w:line="275" w:lineRule="auto"/>
        <w:tabs>
          <w:tab w:leader="none" w:pos="1827" w:val="left"/>
        </w:tabs>
        <w:numPr>
          <w:ilvl w:val="2"/>
          <w:numId w:val="120"/>
        </w:numPr>
        <w:rPr>
          <w:rFonts w:ascii="Arial" w:cs="Arial" w:eastAsia="Arial" w:hAnsi="Arial"/>
          <w:sz w:val="17"/>
          <w:szCs w:val="17"/>
          <w:b w:val="1"/>
          <w:bCs w:val="1"/>
          <w:color w:val="auto"/>
        </w:rPr>
      </w:pPr>
      <w:r>
        <w:rPr>
          <w:rFonts w:ascii="Arial" w:cs="Arial" w:eastAsia="Arial" w:hAnsi="Arial"/>
          <w:sz w:val="17"/>
          <w:szCs w:val="17"/>
          <w:color w:val="auto"/>
        </w:rPr>
        <w:t>The “Original Issue Price” of the Series C Preferred shall be $2.013 per share (as adjusted for any stock dividends, combinations, splits, recapitalizations and the like with respect to such shares often after the filing date hereof). The “Original Issue Price” of the Series B Preferred shall be $1.15 per share (as adjusted for any stock dividends, combinations, splits, recapitalizations and the like with respect to such shares after the filing date hereof). The “Original Issue Price” of the Series A Preferred shall be $0.656 per share (as adjusted for any stock dividends, combinations, splits, recapitalizations and the like with respect to such shares after the filing date hereof).</w:t>
      </w:r>
    </w:p>
    <w:p>
      <w:pPr>
        <w:spacing w:after="0" w:line="175" w:lineRule="exact"/>
        <w:rPr>
          <w:rFonts w:ascii="Arial" w:cs="Arial" w:eastAsia="Arial" w:hAnsi="Arial"/>
          <w:sz w:val="17"/>
          <w:szCs w:val="17"/>
          <w:b w:val="1"/>
          <w:bCs w:val="1"/>
          <w:color w:val="auto"/>
        </w:rPr>
      </w:pPr>
    </w:p>
    <w:p>
      <w:pPr>
        <w:ind w:right="100" w:firstLine="1421"/>
        <w:spacing w:after="0" w:line="311" w:lineRule="auto"/>
        <w:tabs>
          <w:tab w:leader="none" w:pos="1810" w:val="left"/>
        </w:tabs>
        <w:numPr>
          <w:ilvl w:val="2"/>
          <w:numId w:val="120"/>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Preferred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Series Preferred shall have been paid or declared and set apart, except for:</w:t>
      </w:r>
    </w:p>
    <w:p>
      <w:pPr>
        <w:spacing w:after="0" w:line="148" w:lineRule="exact"/>
        <w:rPr>
          <w:rFonts w:ascii="Arial" w:cs="Arial" w:eastAsia="Arial" w:hAnsi="Arial"/>
          <w:sz w:val="16"/>
          <w:szCs w:val="16"/>
          <w:b w:val="1"/>
          <w:bCs w:val="1"/>
          <w:color w:val="auto"/>
        </w:rPr>
      </w:pPr>
    </w:p>
    <w:p>
      <w:pPr>
        <w:ind w:firstLine="1862"/>
        <w:spacing w:after="0" w:line="277" w:lineRule="auto"/>
        <w:tabs>
          <w:tab w:leader="none" w:pos="2221" w:val="left"/>
        </w:tabs>
        <w:numPr>
          <w:ilvl w:val="3"/>
          <w:numId w:val="120"/>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approved by the Board, pursuant to agreements that permit the Company to repurchase such shares at no more than cost upon termination of services to the Company;</w:t>
      </w:r>
    </w:p>
    <w:p>
      <w:pPr>
        <w:spacing w:after="0" w:line="169" w:lineRule="exact"/>
        <w:rPr>
          <w:rFonts w:ascii="Arial" w:cs="Arial" w:eastAsia="Arial" w:hAnsi="Arial"/>
          <w:sz w:val="18"/>
          <w:szCs w:val="18"/>
          <w:b w:val="1"/>
          <w:bCs w:val="1"/>
          <w:color w:val="auto"/>
        </w:rPr>
      </w:pPr>
    </w:p>
    <w:p>
      <w:pPr>
        <w:ind w:right="280" w:firstLine="1862"/>
        <w:spacing w:after="0" w:line="277" w:lineRule="auto"/>
        <w:tabs>
          <w:tab w:leader="none" w:pos="2271" w:val="left"/>
        </w:tabs>
        <w:numPr>
          <w:ilvl w:val="3"/>
          <w:numId w:val="120"/>
        </w:numPr>
        <w:rPr>
          <w:rFonts w:ascii="Arial" w:cs="Arial" w:eastAsia="Arial" w:hAnsi="Arial"/>
          <w:sz w:val="18"/>
          <w:szCs w:val="18"/>
          <w:b w:val="1"/>
          <w:bCs w:val="1"/>
          <w:color w:val="auto"/>
        </w:rPr>
      </w:pPr>
      <w:r>
        <w:rPr>
          <w:rFonts w:ascii="Arial" w:cs="Arial" w:eastAsia="Arial" w:hAnsi="Arial"/>
          <w:sz w:val="18"/>
          <w:szCs w:val="18"/>
          <w:color w:val="auto"/>
        </w:rPr>
        <w:t>acquisitions of Common Stock in exercise of the Company’s right of first refusal to repurchase such shares which are approved by the Company’s Board; or</w:t>
      </w:r>
    </w:p>
    <w:p>
      <w:pPr>
        <w:spacing w:after="0" w:line="169" w:lineRule="exact"/>
        <w:rPr>
          <w:rFonts w:ascii="Arial" w:cs="Arial" w:eastAsia="Arial" w:hAnsi="Arial"/>
          <w:sz w:val="18"/>
          <w:szCs w:val="18"/>
          <w:b w:val="1"/>
          <w:bCs w:val="1"/>
          <w:color w:val="auto"/>
        </w:rPr>
      </w:pPr>
    </w:p>
    <w:p>
      <w:pPr>
        <w:ind w:left="2320" w:hanging="458"/>
        <w:spacing w:after="0"/>
        <w:tabs>
          <w:tab w:leader="none" w:pos="2320" w:val="left"/>
        </w:tabs>
        <w:numPr>
          <w:ilvl w:val="3"/>
          <w:numId w:val="120"/>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 3.</w:t>
      </w:r>
    </w:p>
    <w:p>
      <w:pPr>
        <w:spacing w:after="0" w:line="224" w:lineRule="exact"/>
        <w:rPr>
          <w:rFonts w:ascii="Arial" w:cs="Arial" w:eastAsia="Arial" w:hAnsi="Arial"/>
          <w:sz w:val="18"/>
          <w:szCs w:val="18"/>
          <w:b w:val="1"/>
          <w:bCs w:val="1"/>
          <w:color w:val="auto"/>
        </w:rPr>
      </w:pPr>
    </w:p>
    <w:p>
      <w:pPr>
        <w:ind w:right="300" w:firstLine="1421"/>
        <w:spacing w:after="0" w:line="263" w:lineRule="auto"/>
        <w:tabs>
          <w:tab w:leader="none" w:pos="1830" w:val="left"/>
        </w:tabs>
        <w:numPr>
          <w:ilvl w:val="2"/>
          <w:numId w:val="120"/>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24" w:name="page225"/>
    <w:bookmarkEnd w:id="224"/>
    <w:p>
      <w:pPr>
        <w:jc w:val="both"/>
        <w:ind w:right="40" w:firstLine="1421"/>
        <w:spacing w:after="0" w:line="263" w:lineRule="auto"/>
        <w:tabs>
          <w:tab w:leader="none" w:pos="1807"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Sections 1(c) and 1(d) shall not apply to a dividend payable solely in Common Stock to which the provisions of Section 4(f) hereof are applicable, or any repurchase of any outstanding securities of the Company that is approved by (i) the Board and (ii) the Series Preferred as may be required by this Certificate of Incorporation.</w:t>
      </w:r>
    </w:p>
    <w:p>
      <w:pPr>
        <w:spacing w:after="0" w:line="182" w:lineRule="exact"/>
        <w:rPr>
          <w:rFonts w:ascii="Arial" w:cs="Arial" w:eastAsia="Arial" w:hAnsi="Arial"/>
          <w:sz w:val="18"/>
          <w:szCs w:val="18"/>
          <w:b w:val="1"/>
          <w:bCs w:val="1"/>
          <w:color w:val="auto"/>
        </w:rPr>
      </w:pPr>
    </w:p>
    <w:p>
      <w:pPr>
        <w:ind w:right="220" w:firstLine="1421"/>
        <w:spacing w:after="0" w:line="341" w:lineRule="auto"/>
        <w:tabs>
          <w:tab w:leader="none" w:pos="1790" w:val="left"/>
        </w:tabs>
        <w:numPr>
          <w:ilvl w:val="1"/>
          <w:numId w:val="121"/>
        </w:numPr>
        <w:rPr>
          <w:rFonts w:ascii="Arial" w:cs="Arial" w:eastAsia="Arial" w:hAnsi="Arial"/>
          <w:sz w:val="16"/>
          <w:szCs w:val="16"/>
          <w:b w:val="1"/>
          <w:bCs w:val="1"/>
          <w:color w:val="auto"/>
        </w:rPr>
      </w:pPr>
      <w:r>
        <w:rPr>
          <w:rFonts w:ascii="Arial" w:cs="Arial" w:eastAsia="Arial" w:hAnsi="Arial"/>
          <w:sz w:val="16"/>
          <w:szCs w:val="16"/>
          <w:color w:val="auto"/>
        </w:rPr>
        <w:t>California General Corporation Law Sections 502 and 503 shall not apply with respect to distributions on shares junior to the Series Preferred as they relate to repurchases of shares of Common Stock upon termination of employment or service as a consultant or director.</w:t>
      </w:r>
    </w:p>
    <w:p>
      <w:pPr>
        <w:spacing w:after="0" w:line="120" w:lineRule="exact"/>
        <w:rPr>
          <w:rFonts w:ascii="Arial" w:cs="Arial" w:eastAsia="Arial" w:hAnsi="Arial"/>
          <w:sz w:val="16"/>
          <w:szCs w:val="16"/>
          <w:b w:val="1"/>
          <w:bCs w:val="1"/>
          <w:color w:val="auto"/>
        </w:rPr>
      </w:pPr>
    </w:p>
    <w:p>
      <w:pPr>
        <w:ind w:left="1180" w:hanging="309"/>
        <w:spacing w:after="0"/>
        <w:tabs>
          <w:tab w:leader="none" w:pos="1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4" w:lineRule="exact"/>
        <w:rPr>
          <w:rFonts w:ascii="Arial" w:cs="Arial" w:eastAsia="Arial" w:hAnsi="Arial"/>
          <w:sz w:val="18"/>
          <w:szCs w:val="18"/>
          <w:b w:val="1"/>
          <w:bCs w:val="1"/>
          <w:color w:val="auto"/>
        </w:rPr>
      </w:pPr>
    </w:p>
    <w:p>
      <w:pPr>
        <w:ind w:right="180" w:firstLine="1421"/>
        <w:spacing w:after="0" w:line="294" w:lineRule="auto"/>
        <w:tabs>
          <w:tab w:leader="none" w:pos="1820" w:val="left"/>
        </w:tabs>
        <w:numPr>
          <w:ilvl w:val="1"/>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Rights. </w:t>
      </w:r>
      <w:r>
        <w:rPr>
          <w:rFonts w:ascii="Arial" w:cs="Arial" w:eastAsia="Arial" w:hAnsi="Arial"/>
          <w:sz w:val="16"/>
          <w:szCs w:val="16"/>
          <w:color w:val="auto"/>
        </w:rPr>
        <w:t>Each holder of shares of the Series Preferred shall be entitled to the number of votes equal to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into which such shares of Series Preferred could be converted (pursuant to Section 4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58" w:lineRule="exact"/>
        <w:rPr>
          <w:rFonts w:ascii="Arial" w:cs="Arial" w:eastAsia="Arial" w:hAnsi="Arial"/>
          <w:sz w:val="16"/>
          <w:szCs w:val="16"/>
          <w:b w:val="1"/>
          <w:bCs w:val="1"/>
          <w:color w:val="auto"/>
        </w:rPr>
      </w:pPr>
    </w:p>
    <w:p>
      <w:pPr>
        <w:ind w:right="180" w:firstLine="1421"/>
        <w:spacing w:after="0" w:line="280" w:lineRule="auto"/>
        <w:tabs>
          <w:tab w:leader="none" w:pos="1830"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Separate Vote of Series Preferred. </w:t>
      </w:r>
      <w:r>
        <w:rPr>
          <w:rFonts w:ascii="Arial" w:cs="Arial" w:eastAsia="Arial" w:hAnsi="Arial"/>
          <w:sz w:val="17"/>
          <w:szCs w:val="17"/>
          <w:color w:val="auto"/>
        </w:rPr>
        <w:t>For so long as at least 1,000,000 shares of Series Preferred (as adjusted for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combinations, splits, recapitalizations and the like with respect to such shares after the filing date hereof) remain outstanding, in addition to any other vote or consent required herein or by law, the vote or written consent of the holders of a majority of the outstanding Series Preferred shall be necessary for effecting or validating the following actions (whether by merger, recapitalization or otherwise):</w:t>
      </w:r>
    </w:p>
    <w:p>
      <w:pPr>
        <w:spacing w:after="0" w:line="170" w:lineRule="exact"/>
        <w:rPr>
          <w:rFonts w:ascii="Arial" w:cs="Arial" w:eastAsia="Arial" w:hAnsi="Arial"/>
          <w:sz w:val="17"/>
          <w:szCs w:val="17"/>
          <w:b w:val="1"/>
          <w:bCs w:val="1"/>
          <w:color w:val="auto"/>
        </w:rPr>
      </w:pPr>
    </w:p>
    <w:p>
      <w:pPr>
        <w:ind w:right="220" w:firstLine="1862"/>
        <w:spacing w:after="0" w:line="263" w:lineRule="auto"/>
        <w:tabs>
          <w:tab w:leader="none" w:pos="2211" w:val="left"/>
        </w:tabs>
        <w:numPr>
          <w:ilvl w:val="2"/>
          <w:numId w:val="122"/>
        </w:numPr>
        <w:rPr>
          <w:rFonts w:ascii="Arial" w:cs="Arial" w:eastAsia="Arial" w:hAnsi="Arial"/>
          <w:sz w:val="18"/>
          <w:szCs w:val="18"/>
          <w:b w:val="1"/>
          <w:bCs w:val="1"/>
          <w:color w:val="auto"/>
        </w:rPr>
      </w:pPr>
      <w:r>
        <w:rPr>
          <w:rFonts w:ascii="Arial" w:cs="Arial" w:eastAsia="Arial" w:hAnsi="Arial"/>
          <w:sz w:val="18"/>
          <w:szCs w:val="18"/>
          <w:color w:val="auto"/>
        </w:rPr>
        <w:t>Any amendment, alteration or repeal of any provision of the Certificate of Incorporation or Bylaws of the Company (including any filing of a Certificate of Designation) that alters or changes the voting or other powers, preferences or other special rights, privileges or restrictions of the Series Preferred;</w:t>
      </w:r>
    </w:p>
    <w:p>
      <w:pPr>
        <w:spacing w:after="0" w:line="182" w:lineRule="exact"/>
        <w:rPr>
          <w:rFonts w:ascii="Arial" w:cs="Arial" w:eastAsia="Arial" w:hAnsi="Arial"/>
          <w:sz w:val="18"/>
          <w:szCs w:val="18"/>
          <w:b w:val="1"/>
          <w:bCs w:val="1"/>
          <w:color w:val="auto"/>
        </w:rPr>
      </w:pPr>
    </w:p>
    <w:p>
      <w:pPr>
        <w:ind w:left="2260" w:hanging="398"/>
        <w:spacing w:after="0"/>
        <w:tabs>
          <w:tab w:leader="none" w:pos="2260" w:val="left"/>
        </w:tabs>
        <w:numPr>
          <w:ilvl w:val="2"/>
          <w:numId w:val="122"/>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Common Stock or Preferred Stock;</w:t>
      </w:r>
    </w:p>
    <w:p>
      <w:pPr>
        <w:spacing w:after="0" w:line="224" w:lineRule="exact"/>
        <w:rPr>
          <w:rFonts w:ascii="Arial" w:cs="Arial" w:eastAsia="Arial" w:hAnsi="Arial"/>
          <w:sz w:val="18"/>
          <w:szCs w:val="18"/>
          <w:b w:val="1"/>
          <w:bCs w:val="1"/>
          <w:color w:val="auto"/>
        </w:rPr>
      </w:pPr>
    </w:p>
    <w:p>
      <w:pPr>
        <w:ind w:firstLine="1862"/>
        <w:spacing w:after="0" w:line="259" w:lineRule="auto"/>
        <w:tabs>
          <w:tab w:leader="none" w:pos="2311" w:val="left"/>
        </w:tabs>
        <w:numPr>
          <w:ilvl w:val="2"/>
          <w:numId w:val="122"/>
        </w:numPr>
        <w:rPr>
          <w:rFonts w:ascii="Arial" w:cs="Arial" w:eastAsia="Arial" w:hAnsi="Arial"/>
          <w:sz w:val="18"/>
          <w:szCs w:val="18"/>
          <w:b w:val="1"/>
          <w:bCs w:val="1"/>
          <w:color w:val="auto"/>
        </w:rPr>
      </w:pPr>
      <w:r>
        <w:rPr>
          <w:rFonts w:ascii="Arial" w:cs="Arial" w:eastAsia="Arial" w:hAnsi="Arial"/>
          <w:sz w:val="18"/>
          <w:szCs w:val="18"/>
          <w:color w:val="auto"/>
        </w:rPr>
        <w:t>Any authorization or any designation, whether by reclassification or otherwise, of any new class or series of stock or any other securities convertible into equity securities of the Company ranking on a parity with or senior to the Series Preferred in right of redemption, liquidation preference, voting or dividend rights or any increase in the authorized or designated number of Common Stock, Preferred Stock or any series thereof;</w:t>
      </w:r>
    </w:p>
    <w:p>
      <w:pPr>
        <w:spacing w:after="0" w:line="185" w:lineRule="exact"/>
        <w:rPr>
          <w:rFonts w:ascii="Arial" w:cs="Arial" w:eastAsia="Arial" w:hAnsi="Arial"/>
          <w:sz w:val="18"/>
          <w:szCs w:val="18"/>
          <w:b w:val="1"/>
          <w:bCs w:val="1"/>
          <w:color w:val="auto"/>
        </w:rPr>
      </w:pPr>
    </w:p>
    <w:p>
      <w:pPr>
        <w:jc w:val="both"/>
        <w:ind w:right="160" w:firstLine="1862"/>
        <w:spacing w:after="0" w:line="263" w:lineRule="auto"/>
        <w:tabs>
          <w:tab w:leader="none" w:pos="2301" w:val="left"/>
        </w:tabs>
        <w:numPr>
          <w:ilvl w:val="2"/>
          <w:numId w:val="122"/>
        </w:numPr>
        <w:rPr>
          <w:rFonts w:ascii="Arial" w:cs="Arial" w:eastAsia="Arial" w:hAnsi="Arial"/>
          <w:sz w:val="18"/>
          <w:szCs w:val="18"/>
          <w:b w:val="1"/>
          <w:bCs w:val="1"/>
          <w:color w:val="auto"/>
        </w:rPr>
      </w:pPr>
      <w:r>
        <w:rPr>
          <w:rFonts w:ascii="Arial" w:cs="Arial" w:eastAsia="Arial" w:hAnsi="Arial"/>
          <w:sz w:val="18"/>
          <w:szCs w:val="18"/>
          <w:color w:val="auto"/>
        </w:rPr>
        <w:t>Any redemption, repurchase, payment or declaration of dividends or other distributions with respect to Common Stock or Preferred Stock other than dividends required pursuant to Section 1 hereof (except for acquisitions of Common Stock by the Company permitted by Section 1(c)(i), (ii) and (iii) 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225" w:name="page226"/>
    <w:bookmarkEnd w:id="225"/>
    <w:p>
      <w:pPr>
        <w:ind w:left="2240" w:hanging="378"/>
        <w:spacing w:after="0"/>
        <w:tabs>
          <w:tab w:leader="none" w:pos="224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voluntary dissolution or liquidation of the Company;</w:t>
      </w:r>
    </w:p>
    <w:p>
      <w:pPr>
        <w:spacing w:after="0" w:line="224" w:lineRule="exact"/>
        <w:rPr>
          <w:rFonts w:ascii="Arial" w:cs="Arial" w:eastAsia="Arial" w:hAnsi="Arial"/>
          <w:sz w:val="18"/>
          <w:szCs w:val="18"/>
          <w:b w:val="1"/>
          <w:bCs w:val="1"/>
          <w:color w:val="auto"/>
        </w:rPr>
      </w:pPr>
    </w:p>
    <w:p>
      <w:pPr>
        <w:ind w:left="2300" w:hanging="438"/>
        <w:spacing w:after="0"/>
        <w:tabs>
          <w:tab w:leader="none" w:pos="2300"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Any agreement by the Company or its stockholders regarding an Asset Transfer or Acquisition (each as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3 hereof); or</w:t>
      </w:r>
    </w:p>
    <w:p>
      <w:pPr>
        <w:spacing w:after="0" w:line="210" w:lineRule="exact"/>
        <w:rPr>
          <w:sz w:val="20"/>
          <w:szCs w:val="20"/>
          <w:color w:val="auto"/>
        </w:rPr>
      </w:pPr>
    </w:p>
    <w:p>
      <w:pPr>
        <w:ind w:left="2340" w:hanging="478"/>
        <w:spacing w:after="0"/>
        <w:tabs>
          <w:tab w:leader="none" w:pos="234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Company’s Board.</w:t>
      </w:r>
    </w:p>
    <w:p>
      <w:pPr>
        <w:spacing w:after="0" w:line="220" w:lineRule="exact"/>
        <w:rPr>
          <w:rFonts w:ascii="Arial" w:cs="Arial" w:eastAsia="Arial" w:hAnsi="Arial"/>
          <w:sz w:val="18"/>
          <w:szCs w:val="18"/>
          <w:b w:val="1"/>
          <w:bCs w:val="1"/>
          <w:color w:val="auto"/>
        </w:rPr>
      </w:pPr>
    </w:p>
    <w:p>
      <w:pPr>
        <w:ind w:firstLine="1421"/>
        <w:spacing w:after="0" w:line="254" w:lineRule="auto"/>
        <w:tabs>
          <w:tab w:leader="none" w:pos="181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Separate Vote of Series C Preferred. </w:t>
      </w:r>
      <w:r>
        <w:rPr>
          <w:rFonts w:ascii="Arial" w:cs="Arial" w:eastAsia="Arial" w:hAnsi="Arial"/>
          <w:sz w:val="18"/>
          <w:szCs w:val="18"/>
          <w:color w:val="auto"/>
        </w:rPr>
        <w:t>For so long as at least 1,000,000 shares of Series C Preferred (as adjusted for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combinations, splits, recapitalizations and the like with respect to such shares after the filing date hereof) remain outstanding, in addition to any other vote or consent required herein or by law, the vote or written consent of the holders of a majority of the outstanding Series C Preferred shall be necessary for effecting or validating (whether by merger, recapitalization or otherwise) (i) any amendment, alteration or repeal of any provision of the Certificate of Incorporation or Bylaws of the Company (including any filing of a Certificate of Designation) that alters or changes the voting or other powers, preferences or other special rights, privileges or restrictions of the Series C Preferred in a manner that adversely affects the interests or rights of the holders of Series C Preferred in a different and disproportionate manner than the other series of Preferred Stock or (ii) any amendment of Section D.4(k)(i)(A) of this Article IV.</w:t>
      </w:r>
    </w:p>
    <w:p>
      <w:pPr>
        <w:spacing w:after="0" w:line="190" w:lineRule="exact"/>
        <w:rPr>
          <w:rFonts w:ascii="Arial" w:cs="Arial" w:eastAsia="Arial" w:hAnsi="Arial"/>
          <w:sz w:val="18"/>
          <w:szCs w:val="18"/>
          <w:b w:val="1"/>
          <w:bCs w:val="1"/>
          <w:color w:val="auto"/>
        </w:rPr>
      </w:pPr>
    </w:p>
    <w:p>
      <w:pPr>
        <w:ind w:left="1820" w:hanging="399"/>
        <w:spacing w:after="0"/>
        <w:tabs>
          <w:tab w:leader="none" w:pos="18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p>
    <w:p>
      <w:pPr>
        <w:spacing w:after="0" w:line="228" w:lineRule="exact"/>
        <w:rPr>
          <w:rFonts w:ascii="Arial" w:cs="Arial" w:eastAsia="Arial" w:hAnsi="Arial"/>
          <w:sz w:val="18"/>
          <w:szCs w:val="18"/>
          <w:b w:val="1"/>
          <w:bCs w:val="1"/>
          <w:color w:val="auto"/>
        </w:rPr>
      </w:pPr>
    </w:p>
    <w:p>
      <w:pPr>
        <w:ind w:left="2200" w:hanging="338"/>
        <w:spacing w:after="0"/>
        <w:tabs>
          <w:tab w:leader="none" w:pos="2200"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There shall initially be five members of the Board.</w:t>
      </w:r>
    </w:p>
    <w:p>
      <w:pPr>
        <w:spacing w:after="0" w:line="224" w:lineRule="exact"/>
        <w:rPr>
          <w:rFonts w:ascii="Arial" w:cs="Arial" w:eastAsia="Arial" w:hAnsi="Arial"/>
          <w:sz w:val="18"/>
          <w:szCs w:val="18"/>
          <w:b w:val="1"/>
          <w:bCs w:val="1"/>
          <w:color w:val="auto"/>
        </w:rPr>
      </w:pPr>
    </w:p>
    <w:p>
      <w:pPr>
        <w:ind w:right="180" w:firstLine="1862"/>
        <w:spacing w:after="0" w:line="301" w:lineRule="auto"/>
        <w:tabs>
          <w:tab w:leader="none" w:pos="2271"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For so long as any shares of Series Preferred remain outstanding (as adjusted for any stock dividends, combinations, splits, recapitalizations and the like with respect to such shares after the filing date hereof), the holders of Series Preferred, voting as a separate class, shall be entitled to elect three (3)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56" w:lineRule="exact"/>
        <w:rPr>
          <w:rFonts w:ascii="Arial" w:cs="Arial" w:eastAsia="Arial" w:hAnsi="Arial"/>
          <w:sz w:val="16"/>
          <w:szCs w:val="16"/>
          <w:b w:val="1"/>
          <w:bCs w:val="1"/>
          <w:color w:val="auto"/>
        </w:rPr>
      </w:pPr>
    </w:p>
    <w:p>
      <w:pPr>
        <w:jc w:val="both"/>
        <w:ind w:right="40" w:firstLine="1862"/>
        <w:spacing w:after="0" w:line="263" w:lineRule="auto"/>
        <w:tabs>
          <w:tab w:leader="none" w:pos="2317"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one (1) member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2" w:lineRule="exact"/>
        <w:rPr>
          <w:rFonts w:ascii="Arial" w:cs="Arial" w:eastAsia="Arial" w:hAnsi="Arial"/>
          <w:sz w:val="18"/>
          <w:szCs w:val="18"/>
          <w:b w:val="1"/>
          <w:bCs w:val="1"/>
          <w:color w:val="auto"/>
        </w:rPr>
      </w:pPr>
    </w:p>
    <w:p>
      <w:pPr>
        <w:jc w:val="both"/>
        <w:ind w:right="180" w:firstLine="1862"/>
        <w:spacing w:after="0" w:line="311" w:lineRule="auto"/>
        <w:tabs>
          <w:tab w:leader="none" w:pos="2307"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48" w:lineRule="exact"/>
        <w:rPr>
          <w:rFonts w:ascii="Arial" w:cs="Arial" w:eastAsia="Arial" w:hAnsi="Arial"/>
          <w:sz w:val="16"/>
          <w:szCs w:val="16"/>
          <w:b w:val="1"/>
          <w:bCs w:val="1"/>
          <w:color w:val="auto"/>
        </w:rPr>
      </w:pPr>
    </w:p>
    <w:p>
      <w:pPr>
        <w:ind w:right="20" w:firstLine="1862"/>
        <w:spacing w:after="0" w:line="263" w:lineRule="auto"/>
        <w:tabs>
          <w:tab w:leader="none" w:pos="2261"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223(a)(1) and 223(a)(2) of the DGCL, any vacancy, including newly created directorships resulting from any increase in the authorized number of directors or amendment of this Amended and Restated Certificate of Incorporation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vacancies created by removal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26" w:name="page227"/>
    <w:bookmarkEnd w:id="22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where such vacancy occurs among the directors elected by the holders of a class or series of stock, the holders of shares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class or series may override the Board’s action to fill such vacancy by (i) voting for their own designee to fill such vacancy at a meeting of the Company’s stockholders or (ii)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170" w:lineRule="exact"/>
        <w:rPr>
          <w:sz w:val="20"/>
          <w:szCs w:val="20"/>
          <w:color w:val="auto"/>
        </w:rPr>
      </w:pPr>
    </w:p>
    <w:p>
      <w:pPr>
        <w:ind w:firstLine="1862"/>
        <w:spacing w:after="0" w:line="269" w:lineRule="auto"/>
        <w:tabs>
          <w:tab w:leader="none" w:pos="2311"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No person entitled to vote at an election for directors may cumulate votes to which such person is entitled, unless, at the time of such election, Section 2115 of the California General Corporation Law (“</w:t>
      </w:r>
      <w:r>
        <w:rPr>
          <w:rFonts w:ascii="Arial" w:cs="Arial" w:eastAsia="Arial" w:hAnsi="Arial"/>
          <w:sz w:val="17"/>
          <w:szCs w:val="17"/>
          <w:b w:val="1"/>
          <w:bCs w:val="1"/>
          <w:i w:val="1"/>
          <w:iCs w:val="1"/>
          <w:color w:val="auto"/>
        </w:rPr>
        <w:t>CGCL</w:t>
      </w:r>
      <w:r>
        <w:rPr>
          <w:rFonts w:ascii="Arial" w:cs="Arial" w:eastAsia="Arial" w:hAnsi="Arial"/>
          <w:sz w:val="17"/>
          <w:szCs w:val="17"/>
          <w:color w:val="auto"/>
        </w:rPr>
        <w:t>”) purports to apply to the Company. During such time or times that Section 2115(b) of the CGCL purports to apply to the Company,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3" w:lineRule="exact"/>
        <w:rPr>
          <w:rFonts w:ascii="Arial" w:cs="Arial" w:eastAsia="Arial" w:hAnsi="Arial"/>
          <w:sz w:val="17"/>
          <w:szCs w:val="17"/>
          <w:b w:val="1"/>
          <w:bCs w:val="1"/>
          <w:color w:val="auto"/>
        </w:rPr>
      </w:pPr>
    </w:p>
    <w:p>
      <w:pPr>
        <w:ind w:right="40" w:firstLine="1862"/>
        <w:spacing w:after="0" w:line="293" w:lineRule="auto"/>
        <w:tabs>
          <w:tab w:leader="none" w:pos="2361"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 xml:space="preserve">During such time or times that Section 2115(b) of the CGCL purports to apply to the Company, one or more directors may be removed from office at any time without cause by the affirmative vote of the holders of a majority of the outstanding shares entitled to vote for that director as provided above; </w:t>
      </w:r>
      <w:r>
        <w:rPr>
          <w:rFonts w:ascii="Arial" w:cs="Arial" w:eastAsia="Arial" w:hAnsi="Arial"/>
          <w:sz w:val="16"/>
          <w:szCs w:val="16"/>
          <w:i w:val="1"/>
          <w:iCs w:val="1"/>
          <w:color w:val="auto"/>
        </w:rPr>
        <w:t>provided, however</w:t>
      </w:r>
      <w:r>
        <w:rPr>
          <w:rFonts w:ascii="Arial" w:cs="Arial" w:eastAsia="Arial" w:hAnsi="Arial"/>
          <w:sz w:val="16"/>
          <w:szCs w:val="16"/>
          <w:color w:val="auto"/>
        </w:rPr>
        <w:t>, that unless the entire Board is removed, no individual director may be removed when the votes cast against such director’s removal, or not consenting in writing to such removal, would be sufficient to elect that director if voted cumulatively at an election at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60" w:top="274" w:right="519" w:bottom="1440" w:gutter="0" w:footer="0" w:header="0"/>
        </w:sectPr>
      </w:pPr>
    </w:p>
    <w:bookmarkStart w:id="227" w:name="page228"/>
    <w:bookmarkEnd w:id="227"/>
    <w:p>
      <w:pPr>
        <w:ind w:left="1180" w:hanging="309"/>
        <w:spacing w:after="0"/>
        <w:tabs>
          <w:tab w:leader="none" w:pos="1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right="40" w:firstLine="1421"/>
        <w:spacing w:after="0" w:line="254" w:lineRule="auto"/>
        <w:tabs>
          <w:tab w:leader="none" w:pos="182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Upon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before any distribution or payment shall be made to the holders of any Common Stock, the holders of Series Preferred shall be entitled to be paid, on a pari passu basis, out of the assets of the Company legally available for distribution (or the consideration received by the Company or its stockholders in an Acquisition) for each share of Series Preferred held by them, an amount per share of Series Preferred equal to the applicable Original Issue Price plus all declared and unpaid dividends on the Series Preferred. If, upon any such Liquidation Event, the assets of the Company shall be insufficient to make payment in full to all holders of Series Preferred of the liquidation preference set forth in this Section 3(a), then such assets (or consideration) shall be distributed among the holders of Series Preferred at the time outstanding, ratably in proportion to the full amounts to which they would otherwise be respectively entitled.</w:t>
      </w:r>
    </w:p>
    <w:p>
      <w:pPr>
        <w:spacing w:after="0" w:line="190" w:lineRule="exact"/>
        <w:rPr>
          <w:rFonts w:ascii="Arial" w:cs="Arial" w:eastAsia="Arial" w:hAnsi="Arial"/>
          <w:sz w:val="18"/>
          <w:szCs w:val="18"/>
          <w:b w:val="1"/>
          <w:bCs w:val="1"/>
          <w:color w:val="auto"/>
        </w:rPr>
      </w:pPr>
    </w:p>
    <w:p>
      <w:pPr>
        <w:jc w:val="both"/>
        <w:ind w:right="340" w:firstLine="1421"/>
        <w:spacing w:after="0" w:line="263" w:lineRule="auto"/>
        <w:tabs>
          <w:tab w:leader="none" w:pos="1821"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Series Preferred as set forth in Section 3(a) above, the remaining assets of the Company legally available for distribution (or the consideration received by the Company or its stockholders in an Acquisition), if any, shall be distributed ratably to the holders of the Common Stock.</w:t>
      </w:r>
    </w:p>
    <w:p>
      <w:pPr>
        <w:spacing w:after="0" w:line="182" w:lineRule="exact"/>
        <w:rPr>
          <w:rFonts w:ascii="Arial" w:cs="Arial" w:eastAsia="Arial" w:hAnsi="Arial"/>
          <w:sz w:val="18"/>
          <w:szCs w:val="18"/>
          <w:b w:val="1"/>
          <w:bCs w:val="1"/>
          <w:color w:val="auto"/>
        </w:rPr>
      </w:pPr>
    </w:p>
    <w:p>
      <w:pPr>
        <w:ind w:left="1800" w:hanging="379"/>
        <w:spacing w:after="0"/>
        <w:tabs>
          <w:tab w:leader="none" w:pos="1800"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An Asset Transfer or Acquisition (each as defined below) shall be deemed a Liquidation Event for purposes of this Section 3.</w:t>
      </w:r>
    </w:p>
    <w:p>
      <w:pPr>
        <w:spacing w:after="0" w:line="247" w:lineRule="exact"/>
        <w:rPr>
          <w:rFonts w:ascii="Arial" w:cs="Arial" w:eastAsia="Arial" w:hAnsi="Arial"/>
          <w:sz w:val="16"/>
          <w:szCs w:val="16"/>
          <w:b w:val="1"/>
          <w:bCs w:val="1"/>
          <w:color w:val="auto"/>
        </w:rPr>
      </w:pPr>
    </w:p>
    <w:p>
      <w:pPr>
        <w:ind w:firstLine="1862"/>
        <w:spacing w:after="0" w:line="287" w:lineRule="auto"/>
        <w:tabs>
          <w:tab w:leader="none" w:pos="2221" w:val="left"/>
        </w:tabs>
        <w:numPr>
          <w:ilvl w:val="2"/>
          <w:numId w:val="127"/>
        </w:numPr>
        <w:rPr>
          <w:rFonts w:ascii="Arial" w:cs="Arial" w:eastAsia="Arial" w:hAnsi="Arial"/>
          <w:sz w:val="16"/>
          <w:szCs w:val="16"/>
          <w:b w:val="1"/>
          <w:bCs w:val="1"/>
          <w:color w:val="auto"/>
        </w:rPr>
      </w:pPr>
      <w:r>
        <w:rPr>
          <w:rFonts w:ascii="Arial" w:cs="Arial" w:eastAsia="Arial" w:hAnsi="Arial"/>
          <w:sz w:val="16"/>
          <w:szCs w:val="16"/>
          <w:color w:val="auto"/>
        </w:rPr>
        <w:t>For the purposes of this Section 3: (i)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shall mean any consolidation or merger of the Company with or into any other corporation or other entity or person, 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this Section 3(c), all shares of Common Stock issuable upon exercise of options outstanding immediately prior to such consolidation or merger or upon conversion of Convertible Securities (as defined below)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w:t>
      </w:r>
      <w:r>
        <w:rPr>
          <w:rFonts w:ascii="Arial" w:cs="Arial" w:eastAsia="Arial" w:hAnsi="Arial"/>
          <w:sz w:val="16"/>
          <w:szCs w:val="16"/>
          <w:i w:val="1"/>
          <w:iCs w:val="1"/>
          <w:color w:val="auto"/>
        </w:rPr>
        <w:t>provided</w:t>
      </w:r>
      <w:r>
        <w:rPr>
          <w:rFonts w:ascii="Arial" w:cs="Arial" w:eastAsia="Arial" w:hAnsi="Arial"/>
          <w:sz w:val="16"/>
          <w:szCs w:val="16"/>
          <w:color w:val="auto"/>
        </w:rPr>
        <w:t>,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shall mean a sale, lease, exclusive license or other disposition of all or substantially all of the assets of the Company.</w:t>
      </w:r>
    </w:p>
    <w:p>
      <w:pPr>
        <w:spacing w:after="0" w:line="169" w:lineRule="exact"/>
        <w:rPr>
          <w:rFonts w:ascii="Arial" w:cs="Arial" w:eastAsia="Arial" w:hAnsi="Arial"/>
          <w:sz w:val="16"/>
          <w:szCs w:val="16"/>
          <w:b w:val="1"/>
          <w:bCs w:val="1"/>
          <w:color w:val="auto"/>
        </w:rPr>
      </w:pPr>
    </w:p>
    <w:p>
      <w:pPr>
        <w:ind w:right="240" w:firstLine="1862"/>
        <w:spacing w:after="0" w:line="341" w:lineRule="auto"/>
        <w:tabs>
          <w:tab w:leader="none" w:pos="2271" w:val="left"/>
        </w:tabs>
        <w:numPr>
          <w:ilvl w:val="2"/>
          <w:numId w:val="127"/>
        </w:numPr>
        <w:rPr>
          <w:rFonts w:ascii="Arial" w:cs="Arial" w:eastAsia="Arial" w:hAnsi="Arial"/>
          <w:sz w:val="16"/>
          <w:szCs w:val="16"/>
          <w:b w:val="1"/>
          <w:bCs w:val="1"/>
          <w:color w:val="auto"/>
        </w:rPr>
      </w:pPr>
      <w:r>
        <w:rPr>
          <w:rFonts w:ascii="Arial" w:cs="Arial" w:eastAsia="Arial" w:hAnsi="Arial"/>
          <w:sz w:val="16"/>
          <w:szCs w:val="16"/>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0" w:right="439" w:bottom="1440" w:gutter="0" w:footer="0" w:header="0"/>
        </w:sectPr>
      </w:pPr>
    </w:p>
    <w:bookmarkStart w:id="228" w:name="page229"/>
    <w:bookmarkEnd w:id="228"/>
    <w:p>
      <w:pPr>
        <w:ind w:right="300" w:firstLine="1862"/>
        <w:spacing w:after="0" w:line="263" w:lineRule="auto"/>
        <w:tabs>
          <w:tab w:leader="none" w:pos="2317" w:val="left"/>
        </w:tabs>
        <w:numPr>
          <w:ilvl w:val="2"/>
          <w:numId w:val="1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 have the power to effect an Acquisition or Asset Transfer unless the definitive agreement for such transaction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provides that the consideration payable to the stockholders of the Company in connection therewith shall be allocated among the holders of capital stock of the Company in accordance with this Section 3.</w:t>
      </w:r>
    </w:p>
    <w:p>
      <w:pPr>
        <w:spacing w:after="0" w:line="182" w:lineRule="exact"/>
        <w:rPr>
          <w:rFonts w:ascii="Arial" w:cs="Arial" w:eastAsia="Arial" w:hAnsi="Arial"/>
          <w:sz w:val="18"/>
          <w:szCs w:val="18"/>
          <w:b w:val="1"/>
          <w:bCs w:val="1"/>
          <w:color w:val="auto"/>
        </w:rPr>
      </w:pPr>
    </w:p>
    <w:p>
      <w:pPr>
        <w:ind w:right="80" w:firstLine="1421"/>
        <w:spacing w:after="0" w:line="254" w:lineRule="auto"/>
        <w:tabs>
          <w:tab w:leader="none" w:pos="1830" w:val="left"/>
        </w:tabs>
        <w:numPr>
          <w:ilvl w:val="1"/>
          <w:numId w:val="129"/>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upon any Liquidation Event, (including an Acquisition or Asset Transfer), each holder of Series Preferred shall be entitled to receive, for each share of each series of Series Preferred then held, out of the proceeds available for distribution, the greater of: (i) the amount of cash, securities or other property to which such holder would be entitled to receive with respect to such shares in a Liquidation Event pursuant to Section 3(a) (without giving effect to this Section 3(d)) or (ii) the amount of cash, securities or other property to which such holder would be entitled to receive in a Liquidation Event with respect to such shares if such shares had been converted to Common Stock immediately prior to such Liquidation Event or Acquisition or Asset Transfer, giving effect to this Section 3(d) with respect to all Series Preferred simultaneously.</w:t>
      </w:r>
    </w:p>
    <w:p>
      <w:pPr>
        <w:spacing w:after="0" w:line="189" w:lineRule="exact"/>
        <w:rPr>
          <w:rFonts w:ascii="Arial" w:cs="Arial" w:eastAsia="Arial" w:hAnsi="Arial"/>
          <w:sz w:val="18"/>
          <w:szCs w:val="18"/>
          <w:b w:val="1"/>
          <w:bCs w:val="1"/>
          <w:color w:val="auto"/>
        </w:rPr>
      </w:pPr>
    </w:p>
    <w:p>
      <w:pPr>
        <w:ind w:left="1180" w:hanging="309"/>
        <w:spacing w:after="0"/>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1431"/>
        <w:spacing w:after="0" w:line="277" w:lineRule="auto"/>
        <w:rPr>
          <w:sz w:val="20"/>
          <w:szCs w:val="20"/>
          <w:color w:val="auto"/>
        </w:rPr>
      </w:pPr>
      <w:r>
        <w:rPr>
          <w:rFonts w:ascii="Arial" w:cs="Arial" w:eastAsia="Arial" w:hAnsi="Arial"/>
          <w:sz w:val="18"/>
          <w:szCs w:val="18"/>
          <w:color w:val="auto"/>
        </w:rPr>
        <w:t>The holders of the Series Preferred shall have the following rights with respect to the conversion of the Series Preferred into shares of 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66" w:lineRule="exact"/>
        <w:rPr>
          <w:sz w:val="20"/>
          <w:szCs w:val="20"/>
          <w:color w:val="auto"/>
        </w:rPr>
      </w:pPr>
    </w:p>
    <w:p>
      <w:pPr>
        <w:ind w:firstLine="1421"/>
        <w:spacing w:after="0" w:line="303" w:lineRule="auto"/>
        <w:tabs>
          <w:tab w:leader="none" w:pos="182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Optional Conversion. </w:t>
      </w:r>
      <w:r>
        <w:rPr>
          <w:rFonts w:ascii="Arial" w:cs="Arial" w:eastAsia="Arial" w:hAnsi="Arial"/>
          <w:sz w:val="16"/>
          <w:szCs w:val="16"/>
          <w:color w:val="auto"/>
        </w:rPr>
        <w:t>Subject to and in compliance with the provisions of this Section 4, any shares of Series Preferred may,</w:t>
      </w:r>
      <w:r>
        <w:rPr>
          <w:rFonts w:ascii="Arial" w:cs="Arial" w:eastAsia="Arial" w:hAnsi="Arial"/>
          <w:sz w:val="16"/>
          <w:szCs w:val="16"/>
          <w:b w:val="1"/>
          <w:bCs w:val="1"/>
          <w:color w:val="auto"/>
        </w:rPr>
        <w:t xml:space="preserve"> </w:t>
      </w:r>
      <w:r>
        <w:rPr>
          <w:rFonts w:ascii="Arial" w:cs="Arial" w:eastAsia="Arial" w:hAnsi="Arial"/>
          <w:sz w:val="16"/>
          <w:szCs w:val="16"/>
          <w:color w:val="auto"/>
        </w:rPr>
        <w:t>at the 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then in effect (determined as provided in Section 4(b)) by the number of shares of Series Preferred being converted.</w:t>
      </w:r>
    </w:p>
    <w:p>
      <w:pPr>
        <w:spacing w:after="0" w:line="150" w:lineRule="exact"/>
        <w:rPr>
          <w:rFonts w:ascii="Arial" w:cs="Arial" w:eastAsia="Arial" w:hAnsi="Arial"/>
          <w:sz w:val="16"/>
          <w:szCs w:val="16"/>
          <w:b w:val="1"/>
          <w:bCs w:val="1"/>
          <w:color w:val="auto"/>
        </w:rPr>
      </w:pPr>
    </w:p>
    <w:p>
      <w:pPr>
        <w:ind w:left="1820" w:hanging="399"/>
        <w:spacing w:after="0"/>
        <w:tabs>
          <w:tab w:leader="none" w:pos="182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Series Preferred Conversion Rate. </w:t>
      </w:r>
      <w:r>
        <w:rPr>
          <w:rFonts w:ascii="Arial" w:cs="Arial" w:eastAsia="Arial" w:hAnsi="Arial"/>
          <w:sz w:val="16"/>
          <w:szCs w:val="16"/>
          <w:color w:val="auto"/>
        </w:rPr>
        <w:t>The conversion rate in effect at any time for conversion of the Series A Preferred (the</w:t>
      </w:r>
    </w:p>
    <w:p>
      <w:pPr>
        <w:spacing w:after="0" w:line="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A Preferred Conversion Rate</w:t>
      </w:r>
      <w:r>
        <w:rPr>
          <w:rFonts w:ascii="Arial" w:cs="Arial" w:eastAsia="Arial" w:hAnsi="Arial"/>
          <w:sz w:val="16"/>
          <w:szCs w:val="16"/>
          <w:color w:val="auto"/>
        </w:rPr>
        <w:t>”) shall be the quotient obtained by dividing the Original Issue Price of the Series A Preferred by the Series A Preferred Conversion Price, calculated as provided in Section 4(c). The conversion rate in effect at any time for conversion of the Series B Preferred (the “</w:t>
      </w:r>
      <w:r>
        <w:rPr>
          <w:rFonts w:ascii="Arial" w:cs="Arial" w:eastAsia="Arial" w:hAnsi="Arial"/>
          <w:sz w:val="16"/>
          <w:szCs w:val="16"/>
          <w:b w:val="1"/>
          <w:bCs w:val="1"/>
          <w:i w:val="1"/>
          <w:iCs w:val="1"/>
          <w:color w:val="auto"/>
        </w:rPr>
        <w:t>Series B Preferred Conversion Rate</w:t>
      </w:r>
      <w:r>
        <w:rPr>
          <w:rFonts w:ascii="Arial" w:cs="Arial" w:eastAsia="Arial" w:hAnsi="Arial"/>
          <w:sz w:val="16"/>
          <w:szCs w:val="16"/>
          <w:color w:val="auto"/>
        </w:rPr>
        <w:t>”) shall be the quotient obtained by dividing the Original Issue Price of the Series B Preferred by the Series B Preferred Conversion Price, calculated as provided in Section 4(c). The conversion rate in effect at any time for conversion of the Series C Preferred (the “</w:t>
      </w:r>
      <w:r>
        <w:rPr>
          <w:rFonts w:ascii="Arial" w:cs="Arial" w:eastAsia="Arial" w:hAnsi="Arial"/>
          <w:sz w:val="16"/>
          <w:szCs w:val="16"/>
          <w:b w:val="1"/>
          <w:bCs w:val="1"/>
          <w:i w:val="1"/>
          <w:iCs w:val="1"/>
          <w:color w:val="auto"/>
        </w:rPr>
        <w:t>Series C Preferred Conversion Rate</w:t>
      </w:r>
      <w:r>
        <w:rPr>
          <w:rFonts w:ascii="Arial" w:cs="Arial" w:eastAsia="Arial" w:hAnsi="Arial"/>
          <w:sz w:val="16"/>
          <w:szCs w:val="16"/>
          <w:color w:val="auto"/>
        </w:rPr>
        <w:t>”) shall be the quotient obtained by dividing the Original Issue Price of the Series C Preferred by the Series C Preferred Conversion Price, calculated as provided in Section 4(c). The Series A Preferred Conversion Rate, the Series B Preferred Conversion Rate and the Series C Preferred Conversion Rate are collectively referred to herein as the “</w:t>
      </w:r>
      <w:r>
        <w:rPr>
          <w:rFonts w:ascii="Arial" w:cs="Arial" w:eastAsia="Arial" w:hAnsi="Arial"/>
          <w:sz w:val="16"/>
          <w:szCs w:val="16"/>
          <w:b w:val="1"/>
          <w:bCs w:val="1"/>
          <w:i w:val="1"/>
          <w:iCs w:val="1"/>
          <w:color w:val="auto"/>
        </w:rPr>
        <w:t>Series Preferred Conversion Rate</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29" w:name="page230"/>
    <w:bookmarkEnd w:id="229"/>
    <w:p>
      <w:pPr>
        <w:ind w:firstLine="1421"/>
        <w:spacing w:after="0" w:line="255" w:lineRule="auto"/>
        <w:tabs>
          <w:tab w:leader="none" w:pos="181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Series Preferred Conversion Price. </w:t>
      </w:r>
      <w:r>
        <w:rPr>
          <w:rFonts w:ascii="Arial" w:cs="Arial" w:eastAsia="Arial" w:hAnsi="Arial"/>
          <w:sz w:val="18"/>
          <w:szCs w:val="18"/>
          <w:color w:val="auto"/>
        </w:rPr>
        <w:t>The conversion price for the Series A Preferred shall initially be the Original Issue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Series A Preferred (the “</w:t>
      </w:r>
      <w:r>
        <w:rPr>
          <w:rFonts w:ascii="Arial" w:cs="Arial" w:eastAsia="Arial" w:hAnsi="Arial"/>
          <w:sz w:val="18"/>
          <w:szCs w:val="18"/>
          <w:b w:val="1"/>
          <w:bCs w:val="1"/>
          <w:i w:val="1"/>
          <w:iCs w:val="1"/>
          <w:color w:val="auto"/>
        </w:rPr>
        <w:t>Series A Preferred Conversion Price</w:t>
      </w:r>
      <w:r>
        <w:rPr>
          <w:rFonts w:ascii="Arial" w:cs="Arial" w:eastAsia="Arial" w:hAnsi="Arial"/>
          <w:sz w:val="18"/>
          <w:szCs w:val="18"/>
          <w:color w:val="auto"/>
        </w:rPr>
        <w:t>”). The conversion price for the Series B Preferred shall initially be the Original Issue Price of the Series B Preferred (the “</w:t>
      </w:r>
      <w:r>
        <w:rPr>
          <w:rFonts w:ascii="Arial" w:cs="Arial" w:eastAsia="Arial" w:hAnsi="Arial"/>
          <w:sz w:val="18"/>
          <w:szCs w:val="18"/>
          <w:b w:val="1"/>
          <w:bCs w:val="1"/>
          <w:i w:val="1"/>
          <w:iCs w:val="1"/>
          <w:color w:val="auto"/>
        </w:rPr>
        <w:t>Series B Preferred Conversion Price</w:t>
      </w:r>
      <w:r>
        <w:rPr>
          <w:rFonts w:ascii="Arial" w:cs="Arial" w:eastAsia="Arial" w:hAnsi="Arial"/>
          <w:sz w:val="18"/>
          <w:szCs w:val="18"/>
          <w:color w:val="auto"/>
        </w:rPr>
        <w:t>”). The conversion price for the Series C Preferred shall initially be the Original Issue Price of the Series C Preferred (the “</w:t>
      </w:r>
      <w:r>
        <w:rPr>
          <w:rFonts w:ascii="Arial" w:cs="Arial" w:eastAsia="Arial" w:hAnsi="Arial"/>
          <w:sz w:val="18"/>
          <w:szCs w:val="18"/>
          <w:b w:val="1"/>
          <w:bCs w:val="1"/>
          <w:i w:val="1"/>
          <w:iCs w:val="1"/>
          <w:color w:val="auto"/>
        </w:rPr>
        <w:t>Series C Preferred Conversion Price</w:t>
      </w:r>
      <w:r>
        <w:rPr>
          <w:rFonts w:ascii="Arial" w:cs="Arial" w:eastAsia="Arial" w:hAnsi="Arial"/>
          <w:sz w:val="18"/>
          <w:szCs w:val="18"/>
          <w:color w:val="auto"/>
        </w:rPr>
        <w:t>” and, together with the Series A Preferred Conversion Price and the Series B Preferred Conversion Price, the “</w:t>
      </w:r>
      <w:r>
        <w:rPr>
          <w:rFonts w:ascii="Arial" w:cs="Arial" w:eastAsia="Arial" w:hAnsi="Arial"/>
          <w:sz w:val="18"/>
          <w:szCs w:val="18"/>
          <w:b w:val="1"/>
          <w:bCs w:val="1"/>
          <w:i w:val="1"/>
          <w:iCs w:val="1"/>
          <w:color w:val="auto"/>
        </w:rPr>
        <w:t>Series Preferred Conversion Price</w:t>
      </w:r>
      <w:r>
        <w:rPr>
          <w:rFonts w:ascii="Arial" w:cs="Arial" w:eastAsia="Arial" w:hAnsi="Arial"/>
          <w:sz w:val="18"/>
          <w:szCs w:val="18"/>
          <w:color w:val="auto"/>
        </w:rPr>
        <w:t>”). Such initial Series Preferred Conversion Prices shall be adjusted from time to time in accordance with this Section 4. All references to the Series Preferred Conversion Price herein shall mean the Series Preferred Conversion Price as so adjusted.</w:t>
      </w:r>
    </w:p>
    <w:p>
      <w:pPr>
        <w:spacing w:after="0" w:line="187" w:lineRule="exact"/>
        <w:rPr>
          <w:rFonts w:ascii="Arial" w:cs="Arial" w:eastAsia="Arial" w:hAnsi="Arial"/>
          <w:sz w:val="18"/>
          <w:szCs w:val="18"/>
          <w:b w:val="1"/>
          <w:bCs w:val="1"/>
          <w:color w:val="auto"/>
        </w:rPr>
      </w:pPr>
    </w:p>
    <w:p>
      <w:pPr>
        <w:ind w:right="80" w:firstLine="1421"/>
        <w:spacing w:after="0" w:line="288" w:lineRule="auto"/>
        <w:tabs>
          <w:tab w:leader="none" w:pos="183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Mechanics of Optional Conversion. </w:t>
      </w:r>
      <w:r>
        <w:rPr>
          <w:rFonts w:ascii="Arial" w:cs="Arial" w:eastAsia="Arial" w:hAnsi="Arial"/>
          <w:sz w:val="16"/>
          <w:szCs w:val="16"/>
          <w:color w:val="auto"/>
        </w:rPr>
        <w:t>Each holder of Series Preferred who desires to convert the same into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pursuant to this Section 4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in good faith by the Board as of the date of such conversion), any declared and unpaid dividends on the shares of Series Preferred being converted and (ii) in cash (at the Common Stock’s fair market value determined in good faith by the Board as of the date of conversion) the value of any fractional share of Common Stock otherwise issuable to any holder of Series Preferred. Such conversion shall be deemed to have been made at the close of business on the 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61" w:lineRule="exact"/>
        <w:rPr>
          <w:rFonts w:ascii="Arial" w:cs="Arial" w:eastAsia="Arial" w:hAnsi="Arial"/>
          <w:sz w:val="16"/>
          <w:szCs w:val="16"/>
          <w:b w:val="1"/>
          <w:bCs w:val="1"/>
          <w:color w:val="auto"/>
        </w:rPr>
      </w:pPr>
    </w:p>
    <w:p>
      <w:pPr>
        <w:ind w:right="80" w:firstLine="1421"/>
        <w:spacing w:after="0" w:line="274" w:lineRule="auto"/>
        <w:tabs>
          <w:tab w:leader="none" w:pos="181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 for Stock Splits and Combinations. </w:t>
      </w:r>
      <w:r>
        <w:rPr>
          <w:rFonts w:ascii="Arial" w:cs="Arial" w:eastAsia="Arial" w:hAnsi="Arial"/>
          <w:sz w:val="17"/>
          <w:szCs w:val="17"/>
          <w:color w:val="auto"/>
        </w:rPr>
        <w:t>If at any time or from time to time on or after the date that the first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Series C Preferred is issued (the “</w:t>
      </w:r>
      <w:r>
        <w:rPr>
          <w:rFonts w:ascii="Arial" w:cs="Arial" w:eastAsia="Arial" w:hAnsi="Arial"/>
          <w:sz w:val="17"/>
          <w:szCs w:val="17"/>
          <w:b w:val="1"/>
          <w:bCs w:val="1"/>
          <w:i w:val="1"/>
          <w:iCs w:val="1"/>
          <w:color w:val="auto"/>
        </w:rPr>
        <w:t>Original Issue Date</w:t>
      </w:r>
      <w:r>
        <w:rPr>
          <w:rFonts w:ascii="Arial" w:cs="Arial" w:eastAsia="Arial" w:hAnsi="Arial"/>
          <w:sz w:val="17"/>
          <w:szCs w:val="17"/>
          <w:color w:val="auto"/>
        </w:rPr>
        <w:t>”) the Company effects a subdivision of the outstanding Common Stock, the Series Preferred Conversion Price in effect immediately before that subdivision shall be proportionately decreased. Conversely, if at any time or from time to time after the Original Issue Date the Company combines the outstanding shares of Common Stock into a smaller number of shares, the Series Preferred Conversion Price in effect immediately before the combination shall be proportionately increased. Any adjustment under this Section 4(e) shall become effective at the close of business on the date the subdivision or combination becomes effective.</w:t>
      </w:r>
    </w:p>
    <w:p>
      <w:pPr>
        <w:spacing w:after="0" w:line="171" w:lineRule="exact"/>
        <w:rPr>
          <w:rFonts w:ascii="Arial" w:cs="Arial" w:eastAsia="Arial" w:hAnsi="Arial"/>
          <w:sz w:val="17"/>
          <w:szCs w:val="17"/>
          <w:b w:val="1"/>
          <w:bCs w:val="1"/>
          <w:color w:val="auto"/>
        </w:rPr>
      </w:pPr>
    </w:p>
    <w:p>
      <w:pPr>
        <w:ind w:right="140" w:firstLine="1421"/>
        <w:spacing w:after="0" w:line="266" w:lineRule="auto"/>
        <w:tabs>
          <w:tab w:leader="none" w:pos="179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for Common Stock Dividends and Distributions. </w:t>
      </w:r>
      <w:r>
        <w:rPr>
          <w:rFonts w:ascii="Arial" w:cs="Arial" w:eastAsia="Arial" w:hAnsi="Arial"/>
          <w:sz w:val="18"/>
          <w:szCs w:val="18"/>
          <w:color w:val="auto"/>
        </w:rPr>
        <w:t>If at any time or from time to time on or after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Issue Date the Company pays to holders of Common Stock a dividend or other distribution in additional shares of Common Stock, the Series Preferred Conversion Price then in effect shall be decreased as of the time of such issuance, as provided below:</w:t>
      </w:r>
    </w:p>
    <w:p>
      <w:pPr>
        <w:spacing w:after="0" w:line="179" w:lineRule="exact"/>
        <w:rPr>
          <w:rFonts w:ascii="Arial" w:cs="Arial" w:eastAsia="Arial" w:hAnsi="Arial"/>
          <w:sz w:val="18"/>
          <w:szCs w:val="18"/>
          <w:b w:val="1"/>
          <w:bCs w:val="1"/>
          <w:color w:val="auto"/>
        </w:rPr>
      </w:pPr>
    </w:p>
    <w:p>
      <w:pPr>
        <w:ind w:right="120" w:firstLine="1862"/>
        <w:spacing w:after="0" w:line="277" w:lineRule="auto"/>
        <w:tabs>
          <w:tab w:leader="none" w:pos="2218" w:val="left"/>
        </w:tabs>
        <w:numPr>
          <w:ilvl w:val="1"/>
          <w:numId w:val="132"/>
        </w:numPr>
        <w:rPr>
          <w:rFonts w:ascii="Arial" w:cs="Arial" w:eastAsia="Arial" w:hAnsi="Arial"/>
          <w:sz w:val="18"/>
          <w:szCs w:val="18"/>
          <w:b w:val="1"/>
          <w:bCs w:val="1"/>
          <w:color w:val="auto"/>
        </w:rPr>
      </w:pPr>
      <w:r>
        <w:rPr>
          <w:rFonts w:ascii="Arial" w:cs="Arial" w:eastAsia="Arial" w:hAnsi="Arial"/>
          <w:sz w:val="18"/>
          <w:szCs w:val="18"/>
          <w:color w:val="auto"/>
        </w:rPr>
        <w:t>The Series Preferred Conversion Price shall be adjusted by multiplying the applicable Series Preferred Conversion Price then in effect by a fraction equal to:</w:t>
      </w:r>
    </w:p>
    <w:p>
      <w:pPr>
        <w:spacing w:after="0" w:line="170" w:lineRule="exact"/>
        <w:rPr>
          <w:sz w:val="20"/>
          <w:szCs w:val="20"/>
          <w:color w:val="auto"/>
        </w:rPr>
      </w:pPr>
    </w:p>
    <w:p>
      <w:pPr>
        <w:ind w:left="2740" w:hanging="438"/>
        <w:spacing w:after="0"/>
        <w:tabs>
          <w:tab w:leader="none" w:pos="274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the time of such issuance,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230" w:name="page231"/>
    <w:bookmarkEnd w:id="230"/>
    <w:p>
      <w:pPr>
        <w:ind w:right="360" w:firstLine="2302"/>
        <w:spacing w:after="0" w:line="341" w:lineRule="auto"/>
        <w:tabs>
          <w:tab w:leader="none" w:pos="2731" w:val="left"/>
        </w:tabs>
        <w:numPr>
          <w:ilvl w:val="2"/>
          <w:numId w:val="13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is the total number of shares of Common Stock issued and outstanding immediately prior to the time of such issuance plus the number of shares of Common Stock issuable in payment of such dividend or distribution;</w:t>
      </w:r>
    </w:p>
    <w:p>
      <w:pPr>
        <w:spacing w:after="0" w:line="124" w:lineRule="exact"/>
        <w:rPr>
          <w:rFonts w:ascii="Arial" w:cs="Arial" w:eastAsia="Arial" w:hAnsi="Arial"/>
          <w:sz w:val="16"/>
          <w:szCs w:val="16"/>
          <w:b w:val="1"/>
          <w:bCs w:val="1"/>
          <w:color w:val="auto"/>
        </w:rPr>
      </w:pPr>
    </w:p>
    <w:p>
      <w:pPr>
        <w:ind w:right="40" w:firstLine="1862"/>
        <w:spacing w:after="0" w:line="263" w:lineRule="auto"/>
        <w:tabs>
          <w:tab w:leader="none" w:pos="2271"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If the Company fixes a record date to determine which holders of Common Stock are entitled to receive such dividend or other distribution, the Series Preferred Conversion Price shall be fixed as of the close of business on such record date and the number of shares of Common Stock shall be calculated immediately prior to the close of business on such record date; and</w:t>
      </w:r>
    </w:p>
    <w:p>
      <w:pPr>
        <w:spacing w:after="0" w:line="182" w:lineRule="exact"/>
        <w:rPr>
          <w:rFonts w:ascii="Arial" w:cs="Arial" w:eastAsia="Arial" w:hAnsi="Arial"/>
          <w:sz w:val="18"/>
          <w:szCs w:val="18"/>
          <w:b w:val="1"/>
          <w:bCs w:val="1"/>
          <w:color w:val="auto"/>
        </w:rPr>
      </w:pPr>
    </w:p>
    <w:p>
      <w:pPr>
        <w:jc w:val="both"/>
        <w:ind w:right="120" w:firstLine="1862"/>
        <w:spacing w:after="0" w:line="311" w:lineRule="auto"/>
        <w:tabs>
          <w:tab w:leader="none" w:pos="2321" w:val="left"/>
        </w:tabs>
        <w:numPr>
          <w:ilvl w:val="1"/>
          <w:numId w:val="135"/>
        </w:numPr>
        <w:rPr>
          <w:rFonts w:ascii="Arial" w:cs="Arial" w:eastAsia="Arial" w:hAnsi="Arial"/>
          <w:sz w:val="16"/>
          <w:szCs w:val="16"/>
          <w:b w:val="1"/>
          <w:bCs w:val="1"/>
          <w:color w:val="auto"/>
        </w:rPr>
      </w:pPr>
      <w:r>
        <w:rPr>
          <w:rFonts w:ascii="Arial" w:cs="Arial" w:eastAsia="Arial" w:hAnsi="Arial"/>
          <w:sz w:val="16"/>
          <w:szCs w:val="16"/>
          <w:color w:val="auto"/>
        </w:rPr>
        <w:t>If such record date is fixed and such dividend is not fully paid or if such distribution is not fully made on the date fixed therefor, the Series Preferred Conversion Price shall be recomputed accordingly as of the close of business on such record date and thereafter the Series Preferred Conversion Price shall be adjusted pursuant to this Section 4(f) to reflect the actual payment of such dividend or distribution.</w:t>
      </w:r>
    </w:p>
    <w:p>
      <w:pPr>
        <w:spacing w:after="0" w:line="144" w:lineRule="exact"/>
        <w:rPr>
          <w:rFonts w:ascii="Arial" w:cs="Arial" w:eastAsia="Arial" w:hAnsi="Arial"/>
          <w:sz w:val="16"/>
          <w:szCs w:val="16"/>
          <w:b w:val="1"/>
          <w:bCs w:val="1"/>
          <w:color w:val="auto"/>
        </w:rPr>
      </w:pPr>
    </w:p>
    <w:p>
      <w:pPr>
        <w:ind w:firstLine="1421"/>
        <w:spacing w:after="0" w:line="269" w:lineRule="auto"/>
        <w:tabs>
          <w:tab w:leader="none" w:pos="182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 for Reclassification, Exchange, Substitution, Reorganization, Merger or Consolidation. </w:t>
      </w:r>
      <w:r>
        <w:rPr>
          <w:rFonts w:ascii="Arial" w:cs="Arial" w:eastAsia="Arial" w:hAnsi="Arial"/>
          <w:sz w:val="17"/>
          <w:szCs w:val="17"/>
          <w:color w:val="auto"/>
        </w:rPr>
        <w:t>If at any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 or after the Original Issue Date the Common Stock issuable upon the conversion of the Series Preferred is changed into the same or a different number of shares of any class or classes of stock, whether by recapitalization, reclassification, merger, consolidation or otherwise (other than an Acquisition as defined in Section 3 or a subdivision or combination of shares or stock dividend provided for elsewhere in this Section 4), in any such event each share of Series Preferred shall thereafter be convertible in lieu of the Common Stock into which it was convertible prior to such event into the kind and amount of securities, cash or other property that a holder of the number of shares of Common Stock of the Company issuable upon conversion of one share of Series Preferred immediately prior to such recapitalization, reclassification, merger, consolidation or other transaction would have been entitled to receive pursuant to such transaction, all subject to further adjustment as provided herein or with respect to such other securities or property by the terms thereof. In any such case, appropriate adjustment shall be made in the application of the provisions of this Section 4 with respect to the rights of the holders of Series Preferred after the capital reorganization to the end that the provisions of this Section 4 (including adjustment of the Series Preferred Conversion Price then in effect and the number of shares issuable upon conversion of the Series Preferred) shall be applicable after that event and be as nearly equivalent as practicable.</w:t>
      </w:r>
    </w:p>
    <w:p>
      <w:pPr>
        <w:spacing w:after="0" w:line="176" w:lineRule="exact"/>
        <w:rPr>
          <w:rFonts w:ascii="Arial" w:cs="Arial" w:eastAsia="Arial" w:hAnsi="Arial"/>
          <w:sz w:val="17"/>
          <w:szCs w:val="17"/>
          <w:b w:val="1"/>
          <w:bCs w:val="1"/>
          <w:color w:val="auto"/>
        </w:rPr>
      </w:pPr>
    </w:p>
    <w:p>
      <w:pPr>
        <w:ind w:left="1820" w:hanging="399"/>
        <w:spacing w:after="0"/>
        <w:tabs>
          <w:tab w:leader="none" w:pos="18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p>
    <w:p>
      <w:pPr>
        <w:spacing w:after="0" w:line="228" w:lineRule="exact"/>
        <w:rPr>
          <w:rFonts w:ascii="Arial" w:cs="Arial" w:eastAsia="Arial" w:hAnsi="Arial"/>
          <w:sz w:val="18"/>
          <w:szCs w:val="18"/>
          <w:b w:val="1"/>
          <w:bCs w:val="1"/>
          <w:color w:val="auto"/>
        </w:rPr>
      </w:pPr>
    </w:p>
    <w:p>
      <w:pPr>
        <w:ind w:right="20" w:firstLine="1862"/>
        <w:spacing w:after="0" w:line="255" w:lineRule="auto"/>
        <w:tabs>
          <w:tab w:leader="none" w:pos="2221"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on or after the Original Issue Date the Company issues or sells, or is deemed by the express provisions of this Section 4(h) to have issued or sold, Additional Shares of Common Stock (as defined below), other than as provided in Section 4(e), 4(f) or 4(g) above, for an Effective Price (as defined below) less than the then effective Series Preferred Conversion Price (a “</w:t>
      </w:r>
      <w:r>
        <w:rPr>
          <w:rFonts w:ascii="Arial" w:cs="Arial" w:eastAsia="Arial" w:hAnsi="Arial"/>
          <w:sz w:val="18"/>
          <w:szCs w:val="18"/>
          <w:b w:val="1"/>
          <w:bCs w:val="1"/>
          <w:i w:val="1"/>
          <w:iCs w:val="1"/>
          <w:color w:val="auto"/>
        </w:rPr>
        <w:t>Qualifying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Dilutive Issuance</w:t>
      </w:r>
      <w:r>
        <w:rPr>
          <w:rFonts w:ascii="Arial" w:cs="Arial" w:eastAsia="Arial" w:hAnsi="Arial"/>
          <w:sz w:val="18"/>
          <w:szCs w:val="18"/>
          <w:color w:val="auto"/>
        </w:rPr>
        <w:t>”), then and in each such case, the then existing Series Preferred Conversion Price, as applicable, shall be reduced, as of the opening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on the date of such issue or sale, to a price determined by multiplying the applicable Series Preferred Conversion Price in effect immediately prior to such issuance or sale by a fraction:</w:t>
      </w:r>
    </w:p>
    <w:p>
      <w:pPr>
        <w:spacing w:after="0" w:line="191" w:lineRule="exact"/>
        <w:rPr>
          <w:rFonts w:ascii="Arial" w:cs="Arial" w:eastAsia="Arial" w:hAnsi="Arial"/>
          <w:sz w:val="18"/>
          <w:szCs w:val="18"/>
          <w:b w:val="1"/>
          <w:bCs w:val="1"/>
          <w:color w:val="auto"/>
        </w:rPr>
      </w:pPr>
    </w:p>
    <w:p>
      <w:pPr>
        <w:ind w:right="180" w:firstLine="2302"/>
        <w:spacing w:after="0" w:line="259" w:lineRule="auto"/>
        <w:tabs>
          <w:tab w:leader="none" w:pos="2741" w:val="left"/>
        </w:tabs>
        <w:numPr>
          <w:ilvl w:val="2"/>
          <w:numId w:val="136"/>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issue or sale, plus (B) the number of shares of Common Stock that the Aggregate Consideration (as defined below) received or deemed received by the Company for the total number of Additional Shares of Common Stock so issued would purchase at such then-existing applicable Series Preferred Conversion Price,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31" w:name="page232"/>
    <w:bookmarkEnd w:id="231"/>
    <w:p>
      <w:pPr>
        <w:ind w:left="10" w:right="300" w:firstLine="2302"/>
        <w:spacing w:after="0" w:line="277" w:lineRule="auto"/>
        <w:tabs>
          <w:tab w:leader="none" w:pos="2741"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46" w:lineRule="exact"/>
        <w:rPr>
          <w:sz w:val="20"/>
          <w:szCs w:val="20"/>
          <w:color w:val="auto"/>
        </w:rPr>
      </w:pPr>
    </w:p>
    <w:p>
      <w:pPr>
        <w:jc w:val="both"/>
        <w:ind w:left="10" w:right="220" w:hanging="10"/>
        <w:spacing w:after="0" w:line="253" w:lineRule="auto"/>
        <w:tabs>
          <w:tab w:leader="none" w:pos="3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number of shares of Common Stock outstanding, (B) the number of shares of Common Stock into which the then outstanding shares of Series Preferred could be converted if fully converted on the day immediately preceding the given date, and (C) the number of shares of Common Stock that are issuable upon the exercise or conversion of all other rights, options and convertible securities outstanding on the day immediately preceding the given date.</w:t>
      </w:r>
    </w:p>
    <w:p>
      <w:pPr>
        <w:spacing w:after="0" w:line="191" w:lineRule="exact"/>
        <w:rPr>
          <w:rFonts w:ascii="Arial" w:cs="Arial" w:eastAsia="Arial" w:hAnsi="Arial"/>
          <w:sz w:val="18"/>
          <w:szCs w:val="18"/>
          <w:color w:val="auto"/>
        </w:rPr>
      </w:pPr>
    </w:p>
    <w:p>
      <w:pPr>
        <w:ind w:left="10" w:firstLine="1862"/>
        <w:spacing w:after="0" w:line="256" w:lineRule="auto"/>
        <w:tabs>
          <w:tab w:leader="none" w:pos="2281" w:val="left"/>
        </w:tabs>
        <w:numPr>
          <w:ilvl w:val="1"/>
          <w:numId w:val="138"/>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the Series Preferred Conversion Price in an amount less than one percent (1%) of the applicable Series Preferred Conversion Price then in effect. Any adjustment otherwise required by this Section 4(h) that is not required to be made due to the first sentence of this subsection (ii) shall be included in any subsequent adjustment to the Series Preferred Conversion Price. Any adjustment required by this Section 4(h) shall be rounded to the third decimal for which such rounding represents less than one percent (1%) of the applicable Series Preferred Conversion Price in effect after such adjustment.</w:t>
      </w:r>
    </w:p>
    <w:p>
      <w:pPr>
        <w:spacing w:after="0" w:line="191" w:lineRule="exact"/>
        <w:rPr>
          <w:rFonts w:ascii="Arial" w:cs="Arial" w:eastAsia="Arial" w:hAnsi="Arial"/>
          <w:sz w:val="18"/>
          <w:szCs w:val="18"/>
          <w:b w:val="1"/>
          <w:bCs w:val="1"/>
          <w:color w:val="auto"/>
        </w:rPr>
      </w:pPr>
    </w:p>
    <w:p>
      <w:pPr>
        <w:ind w:left="10" w:right="40" w:firstLine="1862"/>
        <w:spacing w:after="0" w:line="270" w:lineRule="auto"/>
        <w:tabs>
          <w:tab w:leader="none" w:pos="2330" w:val="left"/>
        </w:tabs>
        <w:numPr>
          <w:ilvl w:val="1"/>
          <w:numId w:val="138"/>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required under this Section 4(h),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that covers both, the portion of the consideration so received that may be reasonably determined in good faith by the Board to be allocable to such Additional Shares of Common Stock, Convertible Securities or rights or options.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4" w:right="459" w:bottom="1440" w:gutter="0" w:footer="0" w:header="0"/>
        </w:sectPr>
      </w:pPr>
    </w:p>
    <w:bookmarkStart w:id="232" w:name="page233"/>
    <w:bookmarkEnd w:id="232"/>
    <w:p>
      <w:pPr>
        <w:ind w:firstLine="1862"/>
        <w:spacing w:after="0" w:line="271" w:lineRule="auto"/>
        <w:tabs>
          <w:tab w:leader="none" w:pos="2311"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the adjustment required under this Section 4(h),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or (y) rights or options for the purchase of Additional Shares of Common Stock or Convertible Securities and if the Effective Price of such Additional Shares of Common Stock is less than the applicable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76" w:lineRule="exact"/>
        <w:rPr>
          <w:rFonts w:ascii="Arial" w:cs="Arial" w:eastAsia="Arial" w:hAnsi="Arial"/>
          <w:sz w:val="17"/>
          <w:szCs w:val="17"/>
          <w:b w:val="1"/>
          <w:bCs w:val="1"/>
          <w:color w:val="auto"/>
        </w:rPr>
      </w:pPr>
    </w:p>
    <w:p>
      <w:pPr>
        <w:ind w:right="40" w:firstLine="2302"/>
        <w:spacing w:after="0" w:line="277" w:lineRule="auto"/>
        <w:tabs>
          <w:tab w:leader="none" w:pos="2741"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in the case of such rights or options, the minimum amounts of consideration, if any, payable to the Company upon the exercise of such rights or options; and</w:t>
      </w:r>
    </w:p>
    <w:p>
      <w:pPr>
        <w:spacing w:after="0" w:line="169" w:lineRule="exact"/>
        <w:rPr>
          <w:rFonts w:ascii="Arial" w:cs="Arial" w:eastAsia="Arial" w:hAnsi="Arial"/>
          <w:sz w:val="18"/>
          <w:szCs w:val="18"/>
          <w:b w:val="1"/>
          <w:bCs w:val="1"/>
          <w:color w:val="auto"/>
        </w:rPr>
      </w:pPr>
    </w:p>
    <w:p>
      <w:pPr>
        <w:ind w:firstLine="2302"/>
        <w:spacing w:after="0" w:line="259" w:lineRule="auto"/>
        <w:tabs>
          <w:tab w:leader="none" w:pos="2731"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85" w:lineRule="exact"/>
        <w:rPr>
          <w:rFonts w:ascii="Arial" w:cs="Arial" w:eastAsia="Arial" w:hAnsi="Arial"/>
          <w:sz w:val="18"/>
          <w:szCs w:val="18"/>
          <w:b w:val="1"/>
          <w:bCs w:val="1"/>
          <w:color w:val="auto"/>
        </w:rPr>
      </w:pPr>
    </w:p>
    <w:p>
      <w:pPr>
        <w:ind w:right="60" w:firstLine="2302"/>
        <w:spacing w:after="0" w:line="273" w:lineRule="auto"/>
        <w:tabs>
          <w:tab w:leader="none" w:pos="2741"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 xml:space="preserve">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76" w:lineRule="exact"/>
        <w:rPr>
          <w:rFonts w:ascii="Arial" w:cs="Arial" w:eastAsia="Arial" w:hAnsi="Arial"/>
          <w:sz w:val="17"/>
          <w:szCs w:val="17"/>
          <w:b w:val="1"/>
          <w:bCs w:val="1"/>
          <w:color w:val="auto"/>
        </w:rPr>
      </w:pPr>
    </w:p>
    <w:p>
      <w:pPr>
        <w:ind w:right="80" w:firstLine="2302"/>
        <w:spacing w:after="0" w:line="268" w:lineRule="auto"/>
        <w:tabs>
          <w:tab w:leader="none" w:pos="2741"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 xml:space="preserve">No further adjustment of the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Series Preferred Conversion Price as adjusted upon the issuance of such rights, options or Convertible Securities shall be readjusted to the Series Preferred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readjustment shall not apply to prior conversions of Series Preferred.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233" w:name="page234"/>
    <w:bookmarkEnd w:id="233"/>
    <w:p>
      <w:pPr>
        <w:ind w:right="340" w:firstLine="1862"/>
        <w:spacing w:after="0" w:line="286" w:lineRule="auto"/>
        <w:tabs>
          <w:tab w:leader="none" w:pos="2261"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making any adjustment to the Series Preferred Conversion Price required under this Section 4(h), “</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shall mean all shares of Common Stock issued by the Company or deemed to be issued pursuant to this Section 4(h) (including shares of Common Stock subsequently reacquired or retired by the Company), other than:</w:t>
      </w:r>
    </w:p>
    <w:p>
      <w:pPr>
        <w:spacing w:after="0" w:line="164" w:lineRule="exact"/>
        <w:rPr>
          <w:rFonts w:ascii="Arial" w:cs="Arial" w:eastAsia="Arial" w:hAnsi="Arial"/>
          <w:sz w:val="17"/>
          <w:szCs w:val="17"/>
          <w:b w:val="1"/>
          <w:bCs w:val="1"/>
          <w:color w:val="auto"/>
        </w:rPr>
      </w:pPr>
    </w:p>
    <w:p>
      <w:pPr>
        <w:ind w:left="2740" w:hanging="438"/>
        <w:spacing w:after="0"/>
        <w:tabs>
          <w:tab w:leader="none" w:pos="2740"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w:t>
      </w:r>
    </w:p>
    <w:p>
      <w:pPr>
        <w:spacing w:after="0" w:line="224" w:lineRule="exact"/>
        <w:rPr>
          <w:rFonts w:ascii="Arial" w:cs="Arial" w:eastAsia="Arial" w:hAnsi="Arial"/>
          <w:sz w:val="18"/>
          <w:szCs w:val="18"/>
          <w:b w:val="1"/>
          <w:bCs w:val="1"/>
          <w:color w:val="auto"/>
        </w:rPr>
      </w:pPr>
    </w:p>
    <w:p>
      <w:pPr>
        <w:ind w:firstLine="2302"/>
        <w:spacing w:after="0" w:line="263" w:lineRule="auto"/>
        <w:tabs>
          <w:tab w:leader="none" w:pos="2731"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Original Issue Date to employees, officers or directors of, or consultants or advisors to the Company or any subsidiary pursuant to stock purchase or stock option plans or other arrangements that are approved by the Board;</w:t>
      </w:r>
    </w:p>
    <w:p>
      <w:pPr>
        <w:spacing w:after="0" w:line="182" w:lineRule="exact"/>
        <w:rPr>
          <w:rFonts w:ascii="Arial" w:cs="Arial" w:eastAsia="Arial" w:hAnsi="Arial"/>
          <w:sz w:val="18"/>
          <w:szCs w:val="18"/>
          <w:b w:val="1"/>
          <w:bCs w:val="1"/>
          <w:color w:val="auto"/>
        </w:rPr>
      </w:pPr>
    </w:p>
    <w:p>
      <w:pPr>
        <w:ind w:left="2740" w:hanging="438"/>
        <w:spacing w:after="0"/>
        <w:tabs>
          <w:tab w:leader="none" w:pos="2740"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shares of Common Stock issued pursuant to the exercise or conversion of Convertible Securities outstanding as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Original Issue Date;</w:t>
      </w:r>
    </w:p>
    <w:p>
      <w:pPr>
        <w:spacing w:after="0" w:line="210" w:lineRule="exact"/>
        <w:rPr>
          <w:rFonts w:ascii="Arial" w:cs="Arial" w:eastAsia="Arial" w:hAnsi="Arial"/>
          <w:sz w:val="16"/>
          <w:szCs w:val="16"/>
          <w:b w:val="1"/>
          <w:bCs w:val="1"/>
          <w:color w:val="auto"/>
        </w:rPr>
      </w:pPr>
    </w:p>
    <w:p>
      <w:pPr>
        <w:ind w:right="100" w:firstLine="2302"/>
        <w:spacing w:after="0" w:line="277" w:lineRule="auto"/>
        <w:tabs>
          <w:tab w:leader="none" w:pos="2741"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or similar business combination approved by the Board;</w:t>
      </w:r>
    </w:p>
    <w:p>
      <w:pPr>
        <w:spacing w:after="0" w:line="169" w:lineRule="exact"/>
        <w:rPr>
          <w:rFonts w:ascii="Arial" w:cs="Arial" w:eastAsia="Arial" w:hAnsi="Arial"/>
          <w:sz w:val="18"/>
          <w:szCs w:val="18"/>
          <w:b w:val="1"/>
          <w:bCs w:val="1"/>
          <w:color w:val="auto"/>
        </w:rPr>
      </w:pPr>
    </w:p>
    <w:p>
      <w:pPr>
        <w:ind w:right="20" w:firstLine="2302"/>
        <w:spacing w:after="0" w:line="307" w:lineRule="auto"/>
        <w:tabs>
          <w:tab w:leader="none" w:pos="2731" w:val="left"/>
        </w:tabs>
        <w:numPr>
          <w:ilvl w:val="1"/>
          <w:numId w:val="140"/>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pursuant to any equipment loan or leasing arrangement, real property leasing arrangement or debt financing from a bank or similar financial or lending institution approved by the Board;</w:t>
      </w:r>
    </w:p>
    <w:p>
      <w:pPr>
        <w:spacing w:after="0" w:line="147" w:lineRule="exact"/>
        <w:rPr>
          <w:rFonts w:ascii="Arial" w:cs="Arial" w:eastAsia="Arial" w:hAnsi="Arial"/>
          <w:sz w:val="17"/>
          <w:szCs w:val="17"/>
          <w:b w:val="1"/>
          <w:bCs w:val="1"/>
          <w:color w:val="auto"/>
        </w:rPr>
      </w:pPr>
    </w:p>
    <w:p>
      <w:pPr>
        <w:ind w:right="260" w:firstLine="2302"/>
        <w:spacing w:after="0" w:line="277" w:lineRule="auto"/>
        <w:tabs>
          <w:tab w:leader="none" w:pos="2721"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to third-party service providers in exchange for or as partial consideration for services rendered to the Company as approved by the Board;</w:t>
      </w:r>
    </w:p>
    <w:p>
      <w:pPr>
        <w:spacing w:after="0" w:line="169" w:lineRule="exact"/>
        <w:rPr>
          <w:rFonts w:ascii="Arial" w:cs="Arial" w:eastAsia="Arial" w:hAnsi="Arial"/>
          <w:sz w:val="18"/>
          <w:szCs w:val="18"/>
          <w:b w:val="1"/>
          <w:bCs w:val="1"/>
          <w:color w:val="auto"/>
        </w:rPr>
      </w:pPr>
    </w:p>
    <w:p>
      <w:pPr>
        <w:ind w:right="100" w:firstLine="2302"/>
        <w:spacing w:after="0" w:line="263" w:lineRule="auto"/>
        <w:tabs>
          <w:tab w:leader="none" w:pos="2751"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in connection with strategic transactions involving the Company and other entities approved by the Board, including without limitation joint ventures, manufacturing, marketing, distribution, technology transfer or development arrangements; and</w:t>
      </w:r>
    </w:p>
    <w:p>
      <w:pPr>
        <w:spacing w:after="0" w:line="182" w:lineRule="exact"/>
        <w:rPr>
          <w:rFonts w:ascii="Arial" w:cs="Arial" w:eastAsia="Arial" w:hAnsi="Arial"/>
          <w:sz w:val="18"/>
          <w:szCs w:val="18"/>
          <w:b w:val="1"/>
          <w:bCs w:val="1"/>
          <w:color w:val="auto"/>
        </w:rPr>
      </w:pPr>
    </w:p>
    <w:p>
      <w:pPr>
        <w:ind w:right="380" w:firstLine="2302"/>
        <w:spacing w:after="0" w:line="341" w:lineRule="auto"/>
        <w:tabs>
          <w:tab w:leader="none" w:pos="2751"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shares of Common Stock or Convertible Securities that the holders of a majority of the outstanding shares of Series Preferred elect in writing to exclude from the definition of Additional Shares of Common Stock for purposes of this Section 4.</w:t>
      </w:r>
    </w:p>
    <w:p>
      <w:pPr>
        <w:spacing w:after="0" w:line="1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References to Common Stock in the subsections of this clause (v) above shall mean all shares of Common Stock issued by the Company or deemed to be issued pursuant to this Section 4(h). The “</w:t>
      </w:r>
      <w:r>
        <w:rPr>
          <w:rFonts w:ascii="Arial" w:cs="Arial" w:eastAsia="Arial" w:hAnsi="Arial"/>
          <w:sz w:val="16"/>
          <w:szCs w:val="16"/>
          <w:b w:val="1"/>
          <w:bCs w:val="1"/>
          <w:i w:val="1"/>
          <w:iCs w:val="1"/>
          <w:color w:val="auto"/>
        </w:rPr>
        <w:t>Effective Price</w:t>
      </w:r>
      <w:r>
        <w:rPr>
          <w:rFonts w:ascii="Arial" w:cs="Arial" w:eastAsia="Arial" w:hAnsi="Arial"/>
          <w:sz w:val="16"/>
          <w:szCs w:val="16"/>
          <w:color w:val="auto"/>
        </w:rPr>
        <w:t>” of Additional Shares of Common Stock shall mean the quotient determined by dividing the total number of Additional Shares of Common Stock issued or sold, or deemed to have been issued or sold by the Company under this Section 4(h), into the Aggregate Consideration received, or deemed to have been received by the Company for such issue under this Section 4(h),</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60" w:top="274" w:right="499" w:bottom="1440" w:gutter="0" w:footer="0" w:header="0"/>
        </w:sectPr>
      </w:pPr>
    </w:p>
    <w:bookmarkStart w:id="234" w:name="page235"/>
    <w:bookmarkEnd w:id="23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83" w:lineRule="exact"/>
        <w:rPr>
          <w:sz w:val="20"/>
          <w:szCs w:val="20"/>
          <w:color w:val="auto"/>
        </w:rPr>
      </w:pPr>
    </w:p>
    <w:p>
      <w:pPr>
        <w:ind w:firstLine="1862"/>
        <w:spacing w:after="0" w:line="293" w:lineRule="auto"/>
        <w:tabs>
          <w:tab w:leader="none" w:pos="2311" w:val="left"/>
        </w:tabs>
        <w:numPr>
          <w:ilvl w:val="1"/>
          <w:numId w:val="141"/>
        </w:numPr>
        <w:rPr>
          <w:rFonts w:ascii="Arial" w:cs="Arial" w:eastAsia="Arial" w:hAnsi="Arial"/>
          <w:sz w:val="16"/>
          <w:szCs w:val="16"/>
          <w:b w:val="1"/>
          <w:bCs w:val="1"/>
          <w:color w:val="auto"/>
        </w:rPr>
      </w:pPr>
      <w:r>
        <w:rPr>
          <w:rFonts w:ascii="Arial" w:cs="Arial" w:eastAsia="Arial" w:hAnsi="Arial"/>
          <w:sz w:val="16"/>
          <w:szCs w:val="16"/>
          <w:color w:val="auto"/>
        </w:rPr>
        <w:t>In the event that the Company issues or sells, or is deemed to have issued or sold, Additional Shares of Common Stock in a Qualifying Dilutive Issuance (the “</w:t>
      </w:r>
      <w:r>
        <w:rPr>
          <w:rFonts w:ascii="Arial" w:cs="Arial" w:eastAsia="Arial" w:hAnsi="Arial"/>
          <w:sz w:val="16"/>
          <w:szCs w:val="16"/>
          <w:b w:val="1"/>
          <w:bCs w:val="1"/>
          <w:i w:val="1"/>
          <w:iCs w:val="1"/>
          <w:color w:val="auto"/>
        </w:rPr>
        <w:t>First Dilutive Issuance</w:t>
      </w:r>
      <w:r>
        <w:rPr>
          <w:rFonts w:ascii="Arial" w:cs="Arial" w:eastAsia="Arial" w:hAnsi="Arial"/>
          <w:sz w:val="16"/>
          <w:szCs w:val="16"/>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6"/>
          <w:szCs w:val="16"/>
          <w:b w:val="1"/>
          <w:bCs w:val="1"/>
          <w:i w:val="1"/>
          <w:iCs w:val="1"/>
          <w:color w:val="auto"/>
        </w:rPr>
        <w:t>Subsequent Dilutive Issuance</w:t>
      </w:r>
      <w:r>
        <w:rPr>
          <w:rFonts w:ascii="Arial" w:cs="Arial" w:eastAsia="Arial" w:hAnsi="Arial"/>
          <w:sz w:val="16"/>
          <w:szCs w:val="16"/>
          <w:color w:val="auto"/>
        </w:rPr>
        <w:t>”), then and in each such case upon a Subsequent Dilutive Issuance the Series Preferred Conversion Price shall be reduced to the Series Preferred Conversion Price that would have been in effect had the First Dilutive Issuance and each Subsequent Dilutive Issuance all occurred on the closing date of the First Dilutive Issuance.</w:t>
      </w:r>
    </w:p>
    <w:p>
      <w:pPr>
        <w:spacing w:after="0" w:line="159" w:lineRule="exact"/>
        <w:rPr>
          <w:rFonts w:ascii="Arial" w:cs="Arial" w:eastAsia="Arial" w:hAnsi="Arial"/>
          <w:sz w:val="16"/>
          <w:szCs w:val="16"/>
          <w:b w:val="1"/>
          <w:bCs w:val="1"/>
          <w:color w:val="auto"/>
        </w:rPr>
      </w:pPr>
    </w:p>
    <w:p>
      <w:pPr>
        <w:ind w:right="40" w:firstLine="1421"/>
        <w:spacing w:after="0" w:line="270" w:lineRule="auto"/>
        <w:tabs>
          <w:tab w:leader="none" w:pos="178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Certificate of Adjustment. </w:t>
      </w:r>
      <w:r>
        <w:rPr>
          <w:rFonts w:ascii="Arial" w:cs="Arial" w:eastAsia="Arial" w:hAnsi="Arial"/>
          <w:sz w:val="17"/>
          <w:szCs w:val="17"/>
          <w:color w:val="auto"/>
        </w:rPr>
        <w:t>In each case of an adjustment or readjustment of the Series Preferred Conversion Price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Common Stock or other securities issuable upon conversion of the Series Preferred, if the Series Preferred is then convertible pursuant to this Section 4,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Series Preferred Conversion Price at the time in effect, (iii) the number of Additional Shares of Common Stock and (iv) the type and amount, if any, of other property that at the time would be received upon conversion of the Series Preferred. Failure to request or provide such notice shall have no effect on any such adjustment.</w:t>
      </w:r>
    </w:p>
    <w:p>
      <w:pPr>
        <w:spacing w:after="0" w:line="175" w:lineRule="exact"/>
        <w:rPr>
          <w:rFonts w:ascii="Arial" w:cs="Arial" w:eastAsia="Arial" w:hAnsi="Arial"/>
          <w:sz w:val="17"/>
          <w:szCs w:val="17"/>
          <w:b w:val="1"/>
          <w:bCs w:val="1"/>
          <w:color w:val="auto"/>
        </w:rPr>
      </w:pPr>
    </w:p>
    <w:p>
      <w:pPr>
        <w:ind w:firstLine="1421"/>
        <w:spacing w:after="0" w:line="269" w:lineRule="auto"/>
        <w:tabs>
          <w:tab w:leader="none" w:pos="179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of Record Date. </w:t>
      </w:r>
      <w:r>
        <w:rPr>
          <w:rFonts w:ascii="Arial" w:cs="Arial" w:eastAsia="Arial" w:hAnsi="Arial"/>
          <w:sz w:val="17"/>
          <w:szCs w:val="17"/>
          <w:color w:val="auto"/>
        </w:rPr>
        <w:t>Upon (i) any taking by the Company of a record of the holders of any class of securities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determining the holders thereof who are entitled to receive any dividend or other distribution, or (ii) any Acquisition (as defined in Section 3) or other capital reorganization of the Company, any reclassification or recapitalization of the capital stock of the Company, any merger or consolidation of the Company with or into any other corporation, or any Asset Transfer (as defined in Section 3), or any voluntary or involuntary dissolution, liquidation or winding up of the Company, the Company shall mail to each holder of Series Preferred at least ten (10) days prior to (x) the record date, if any, specified therein; or (y) if no record date is specified, the date upon which such action is to take effect (or, in either case, such shorter period as may be approved by the holders of a 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235" w:name="page236"/>
    <w:bookmarkEnd w:id="235"/>
    <w:p>
      <w:pPr>
        <w:ind w:left="1820" w:hanging="399"/>
        <w:spacing w:after="0"/>
        <w:tabs>
          <w:tab w:leader="none" w:pos="182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 Conversion.</w:t>
      </w:r>
    </w:p>
    <w:p>
      <w:pPr>
        <w:spacing w:after="0" w:line="228" w:lineRule="exact"/>
        <w:rPr>
          <w:rFonts w:ascii="Arial" w:cs="Arial" w:eastAsia="Arial" w:hAnsi="Arial"/>
          <w:sz w:val="18"/>
          <w:szCs w:val="18"/>
          <w:b w:val="1"/>
          <w:bCs w:val="1"/>
          <w:color w:val="auto"/>
        </w:rPr>
      </w:pPr>
    </w:p>
    <w:p>
      <w:pPr>
        <w:ind w:firstLine="1862"/>
        <w:spacing w:after="0" w:line="254" w:lineRule="auto"/>
        <w:tabs>
          <w:tab w:leader="none" w:pos="2221" w:val="left"/>
        </w:tabs>
        <w:numPr>
          <w:ilvl w:val="1"/>
          <w:numId w:val="143"/>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(A) at any time upon the affirmative election of the holders of a majority of the outstanding shares of the Series Preferred, provided, however, that the Series C Preferred shall not be converted pursuant to this clause (A) without the affirmative election of the holders of a majority of the then outstanding shares of Series C Preferred, or (B) immediately upon the closing of a firm-commitment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$30,000,000 (a “</w:t>
      </w:r>
      <w:r>
        <w:rPr>
          <w:rFonts w:ascii="Arial" w:cs="Arial" w:eastAsia="Arial" w:hAnsi="Arial"/>
          <w:sz w:val="18"/>
          <w:szCs w:val="18"/>
          <w:b w:val="1"/>
          <w:bCs w:val="1"/>
          <w:i w:val="1"/>
          <w:iCs w:val="1"/>
          <w:color w:val="auto"/>
        </w:rPr>
        <w:t>Qualified Public Offering</w:t>
      </w:r>
      <w:r>
        <w:rPr>
          <w:rFonts w:ascii="Arial" w:cs="Arial" w:eastAsia="Arial" w:hAnsi="Arial"/>
          <w:sz w:val="18"/>
          <w:szCs w:val="18"/>
          <w:color w:val="auto"/>
        </w:rPr>
        <w:t>”). Upon such automatic conversion, any declared and unpaid dividends shall be paid in accordance with the provisions of Section 4(d).</w:t>
      </w:r>
    </w:p>
    <w:p>
      <w:pPr>
        <w:spacing w:after="0" w:line="190" w:lineRule="exact"/>
        <w:rPr>
          <w:rFonts w:ascii="Arial" w:cs="Arial" w:eastAsia="Arial" w:hAnsi="Arial"/>
          <w:sz w:val="18"/>
          <w:szCs w:val="18"/>
          <w:b w:val="1"/>
          <w:bCs w:val="1"/>
          <w:color w:val="auto"/>
        </w:rPr>
      </w:pPr>
    </w:p>
    <w:p>
      <w:pPr>
        <w:ind w:right="80" w:firstLine="1862"/>
        <w:spacing w:after="0" w:line="287" w:lineRule="auto"/>
        <w:tabs>
          <w:tab w:leader="none" w:pos="2271" w:val="left"/>
        </w:tabs>
        <w:numPr>
          <w:ilvl w:val="1"/>
          <w:numId w:val="143"/>
        </w:numPr>
        <w:rPr>
          <w:rFonts w:ascii="Arial" w:cs="Arial" w:eastAsia="Arial" w:hAnsi="Arial"/>
          <w:sz w:val="16"/>
          <w:szCs w:val="16"/>
          <w:b w:val="1"/>
          <w:bCs w:val="1"/>
          <w:color w:val="auto"/>
        </w:rPr>
      </w:pPr>
      <w:r>
        <w:rPr>
          <w:rFonts w:ascii="Arial" w:cs="Arial" w:eastAsia="Arial" w:hAnsi="Arial"/>
          <w:sz w:val="16"/>
          <w:szCs w:val="16"/>
          <w:color w:val="auto"/>
        </w:rPr>
        <w:t xml:space="preserve">Upon the occurrence of either of the events specified in Section 4(k)(i) above, the outstanding shares of Series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4(d).</w:t>
      </w:r>
    </w:p>
    <w:p>
      <w:pPr>
        <w:spacing w:after="0" w:line="165" w:lineRule="exact"/>
        <w:rPr>
          <w:rFonts w:ascii="Arial" w:cs="Arial" w:eastAsia="Arial" w:hAnsi="Arial"/>
          <w:sz w:val="16"/>
          <w:szCs w:val="16"/>
          <w:b w:val="1"/>
          <w:bCs w:val="1"/>
          <w:color w:val="auto"/>
        </w:rPr>
      </w:pPr>
    </w:p>
    <w:p>
      <w:pPr>
        <w:ind w:right="20" w:firstLine="1421"/>
        <w:spacing w:after="0" w:line="297" w:lineRule="auto"/>
        <w:tabs>
          <w:tab w:leader="none" w:pos="178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of Common Stock shall be issued upon conversion of Series Preferred. All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in good faith by the Board) on the date of conversion.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0" w:right="439" w:bottom="1440" w:gutter="0" w:footer="0" w:header="0"/>
        </w:sectPr>
      </w:pPr>
    </w:p>
    <w:bookmarkStart w:id="236" w:name="page237"/>
    <w:bookmarkEnd w:id="236"/>
    <w:p>
      <w:pPr>
        <w:ind w:left="10" w:right="20" w:firstLine="1421"/>
        <w:spacing w:after="0" w:line="274" w:lineRule="auto"/>
        <w:tabs>
          <w:tab w:leader="none" w:pos="1890" w:val="left"/>
        </w:tabs>
        <w:numPr>
          <w:ilvl w:val="2"/>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Reservation of Stock Issuable Upon Conversion. </w:t>
      </w:r>
      <w:r>
        <w:rPr>
          <w:rFonts w:ascii="Arial" w:cs="Arial" w:eastAsia="Arial" w:hAnsi="Arial"/>
          <w:sz w:val="17"/>
          <w:szCs w:val="17"/>
          <w:color w:val="auto"/>
        </w:rPr>
        <w:t>The Company shall at all times reserve and keep available out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71" w:lineRule="exact"/>
        <w:rPr>
          <w:rFonts w:ascii="Arial" w:cs="Arial" w:eastAsia="Arial" w:hAnsi="Arial"/>
          <w:sz w:val="17"/>
          <w:szCs w:val="17"/>
          <w:b w:val="1"/>
          <w:bCs w:val="1"/>
          <w:color w:val="auto"/>
        </w:rPr>
      </w:pPr>
    </w:p>
    <w:p>
      <w:pPr>
        <w:ind w:left="1830" w:hanging="399"/>
        <w:spacing w:after="0"/>
        <w:tabs>
          <w:tab w:leader="none" w:pos="1830" w:val="left"/>
        </w:tabs>
        <w:numPr>
          <w:ilvl w:val="2"/>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required by the provisions of this Section 4 shall be in writing and shall be deemed effectively given:</w:t>
      </w:r>
    </w:p>
    <w:p>
      <w:pPr>
        <w:spacing w:after="0" w:line="38" w:lineRule="exact"/>
        <w:rPr>
          <w:rFonts w:ascii="Arial" w:cs="Arial" w:eastAsia="Arial" w:hAnsi="Arial"/>
          <w:sz w:val="17"/>
          <w:szCs w:val="17"/>
          <w:b w:val="1"/>
          <w:bCs w:val="1"/>
          <w:color w:val="auto"/>
        </w:rPr>
      </w:pPr>
    </w:p>
    <w:p>
      <w:pPr>
        <w:ind w:left="10" w:right="100" w:hanging="10"/>
        <w:spacing w:after="0" w:line="252" w:lineRule="auto"/>
        <w:tabs>
          <w:tab w:leader="none" w:pos="2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(ii) when sent by electronic transmission in compliance with the provisions of the DGCL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9" w:lineRule="exact"/>
        <w:rPr>
          <w:rFonts w:ascii="Arial" w:cs="Arial" w:eastAsia="Arial" w:hAnsi="Arial"/>
          <w:sz w:val="18"/>
          <w:szCs w:val="18"/>
          <w:color w:val="auto"/>
        </w:rPr>
      </w:pPr>
    </w:p>
    <w:p>
      <w:pPr>
        <w:ind w:left="10" w:firstLine="1421"/>
        <w:spacing w:after="0" w:line="260" w:lineRule="auto"/>
        <w:tabs>
          <w:tab w:leader="none" w:pos="1830" w:val="left"/>
        </w:tabs>
        <w:numPr>
          <w:ilvl w:val="2"/>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Taxes. </w:t>
      </w:r>
      <w:r>
        <w:rPr>
          <w:rFonts w:ascii="Arial" w:cs="Arial" w:eastAsia="Arial" w:hAnsi="Arial"/>
          <w:sz w:val="18"/>
          <w:szCs w:val="18"/>
          <w:color w:val="auto"/>
        </w:rPr>
        <w:t>The Company will pay all taxes (other than taxes based upon income) and other governmental charges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182" w:lineRule="exact"/>
        <w:rPr>
          <w:rFonts w:ascii="Arial" w:cs="Arial" w:eastAsia="Arial" w:hAnsi="Arial"/>
          <w:sz w:val="18"/>
          <w:szCs w:val="18"/>
          <w:b w:val="1"/>
          <w:bCs w:val="1"/>
          <w:color w:val="auto"/>
        </w:rPr>
      </w:pPr>
    </w:p>
    <w:p>
      <w:pPr>
        <w:ind w:left="1190" w:hanging="309"/>
        <w:spacing w:after="0"/>
        <w:tabs>
          <w:tab w:leader="none" w:pos="119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EISSUANCE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w:t>
      </w:r>
    </w:p>
    <w:p>
      <w:pPr>
        <w:spacing w:after="0" w:line="229" w:lineRule="exact"/>
        <w:rPr>
          <w:sz w:val="20"/>
          <w:szCs w:val="20"/>
          <w:color w:val="auto"/>
        </w:rPr>
      </w:pPr>
    </w:p>
    <w:p>
      <w:pPr>
        <w:ind w:left="10" w:right="140" w:firstLine="880"/>
        <w:spacing w:after="0" w:line="277" w:lineRule="auto"/>
        <w:rPr>
          <w:sz w:val="20"/>
          <w:szCs w:val="20"/>
          <w:color w:val="auto"/>
        </w:rPr>
      </w:pPr>
      <w:r>
        <w:rPr>
          <w:rFonts w:ascii="Arial" w:cs="Arial" w:eastAsia="Arial" w:hAnsi="Arial"/>
          <w:sz w:val="18"/>
          <w:szCs w:val="18"/>
          <w:color w:val="auto"/>
        </w:rPr>
        <w:t>Any shares or shares of Series Preferred redeemed, purchased, converted or exchanged by the Company shall be cancelled and retired and shall not be reissued or transferred.</w:t>
      </w:r>
    </w:p>
    <w:p>
      <w:pPr>
        <w:spacing w:after="0" w:line="166" w:lineRule="exact"/>
        <w:rPr>
          <w:sz w:val="20"/>
          <w:szCs w:val="20"/>
          <w:color w:val="auto"/>
        </w:rPr>
      </w:pPr>
    </w:p>
    <w:p>
      <w:pPr>
        <w:jc w:val="center"/>
        <w:ind w:right="-6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790" w:hanging="350"/>
        <w:spacing w:after="0"/>
        <w:tabs>
          <w:tab w:leader="none" w:pos="79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4" w:lineRule="exact"/>
        <w:rPr>
          <w:rFonts w:ascii="Arial" w:cs="Arial" w:eastAsia="Arial" w:hAnsi="Arial"/>
          <w:sz w:val="18"/>
          <w:szCs w:val="18"/>
          <w:b w:val="1"/>
          <w:bCs w:val="1"/>
          <w:color w:val="auto"/>
        </w:rPr>
      </w:pPr>
    </w:p>
    <w:p>
      <w:pPr>
        <w:ind w:left="10" w:right="20" w:firstLine="430"/>
        <w:spacing w:after="0" w:line="254" w:lineRule="auto"/>
        <w:tabs>
          <w:tab w:leader="none" w:pos="791"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CGCL.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12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50"/>
          </w:cols>
          <w:pgMar w:left="450" w:top="270" w:right="499" w:bottom="1440" w:gutter="0" w:footer="0" w:header="0"/>
        </w:sectPr>
      </w:pPr>
    </w:p>
    <w:bookmarkStart w:id="237" w:name="page238"/>
    <w:bookmarkEnd w:id="237"/>
    <w:p>
      <w:pPr>
        <w:ind w:right="140" w:firstLine="430"/>
        <w:spacing w:after="0" w:line="307" w:lineRule="auto"/>
        <w:tabs>
          <w:tab w:leader="none" w:pos="785"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20" w:firstLine="440"/>
        <w:spacing w:after="0" w:line="307"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47" w:lineRule="exact"/>
        <w:rPr>
          <w:sz w:val="20"/>
          <w:szCs w:val="20"/>
          <w:color w:val="auto"/>
        </w:rPr>
      </w:pPr>
    </w:p>
    <w:p>
      <w:pPr>
        <w:ind w:right="120" w:firstLine="430"/>
        <w:spacing w:after="0" w:line="263" w:lineRule="auto"/>
        <w:tabs>
          <w:tab w:leader="none" w:pos="791"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that shall constitute the whole Board shall be fixed by the Board in the manner provided in the Bylaws, subject to any restrictions which may be set forth in this Restated Certificate.</w:t>
      </w:r>
    </w:p>
    <w:p>
      <w:pPr>
        <w:spacing w:after="0" w:line="182" w:lineRule="exact"/>
        <w:rPr>
          <w:rFonts w:ascii="Arial" w:cs="Arial" w:eastAsia="Arial" w:hAnsi="Arial"/>
          <w:sz w:val="18"/>
          <w:szCs w:val="18"/>
          <w:b w:val="1"/>
          <w:bCs w:val="1"/>
          <w:color w:val="auto"/>
        </w:rPr>
      </w:pPr>
    </w:p>
    <w:p>
      <w:pPr>
        <w:ind w:right="120" w:firstLine="430"/>
        <w:spacing w:after="0" w:line="263" w:lineRule="auto"/>
        <w:tabs>
          <w:tab w:leader="none" w:pos="782"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The Board is expressly empowered to adopt, amend or repeal the Bylaws of the Company, subject to any restrictions that may be set forth in this Restated Certificate. The stockholders shall also have the power to adopt, amend or repeal the Bylaws of the Company, subject to any restrictions that may be set forth in this Restated Certificate.</w:t>
      </w:r>
    </w:p>
    <w:p>
      <w:pPr>
        <w:spacing w:after="0" w:line="182" w:lineRule="exact"/>
        <w:rPr>
          <w:rFonts w:ascii="Arial" w:cs="Arial" w:eastAsia="Arial" w:hAnsi="Arial"/>
          <w:sz w:val="18"/>
          <w:szCs w:val="18"/>
          <w:b w:val="1"/>
          <w:bCs w:val="1"/>
          <w:color w:val="auto"/>
        </w:rPr>
      </w:pPr>
    </w:p>
    <w:p>
      <w:pPr>
        <w:ind w:left="780" w:hanging="350"/>
        <w:spacing w:after="0"/>
        <w:tabs>
          <w:tab w:leader="none" w:pos="78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renounces, to the fullest extent permitted by law, any interest or expectancy of the Company in, or in being offered an opportunity to participate in, any Excluded Opportunity. An “</w:t>
      </w:r>
      <w:r>
        <w:rPr>
          <w:rFonts w:ascii="Arial" w:cs="Arial" w:eastAsia="Arial" w:hAnsi="Arial"/>
          <w:sz w:val="17"/>
          <w:szCs w:val="17"/>
          <w:b w:val="1"/>
          <w:bCs w:val="1"/>
          <w:i w:val="1"/>
          <w:i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Company who is not an employee of the Company or any of its subsidiaries, or (ii) any holder of Preferred Stock or any partner, member, director, stockholder, employee or agent of any such holder, other than someone who is an employee of the Company or any of its subsidiaries (collectively, “</w:t>
      </w:r>
      <w:r>
        <w:rPr>
          <w:rFonts w:ascii="Arial" w:cs="Arial" w:eastAsia="Arial" w:hAnsi="Arial"/>
          <w:sz w:val="17"/>
          <w:szCs w:val="17"/>
          <w:b w:val="1"/>
          <w:bCs w:val="1"/>
          <w:i w:val="1"/>
          <w:i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b w:val="1"/>
          <w:bCs w:val="1"/>
          <w:color w:val="auto"/>
        </w:rPr>
        <w:t>FOUR:</w:t>
      </w:r>
      <w:r>
        <w:rPr>
          <w:sz w:val="20"/>
          <w:szCs w:val="20"/>
          <w:color w:val="auto"/>
        </w:rPr>
        <w:tab/>
      </w:r>
      <w:r>
        <w:rPr>
          <w:rFonts w:ascii="Arial" w:cs="Arial" w:eastAsia="Arial" w:hAnsi="Arial"/>
          <w:sz w:val="16"/>
          <w:szCs w:val="16"/>
          <w:color w:val="auto"/>
        </w:rPr>
        <w:t>This Restated Certificate has been duly approved by the Board of the Company.</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Restated Certificate was approved by the holders of the requisite number of shares of said corporation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228 of the DGCL. This Restated Certificate has been duly adopted in accordance with the provisions of Sections 242 and 245 of the DGCL by the stockholders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38" w:name="page239"/>
    <w:bookmarkEnd w:id="238"/>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Personalis, Inc. has caused this Amended and Restated Certificate of Incorporation to be signed by its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this 15</w:t>
      </w:r>
      <w:r>
        <w:rPr>
          <w:rFonts w:ascii="Arial" w:cs="Arial" w:eastAsia="Arial" w:hAnsi="Arial"/>
          <w:sz w:val="15"/>
          <w:szCs w:val="15"/>
          <w:color w:val="auto"/>
        </w:rPr>
        <w:t>th</w:t>
      </w:r>
      <w:r>
        <w:rPr>
          <w:rFonts w:ascii="Arial" w:cs="Arial" w:eastAsia="Arial" w:hAnsi="Arial"/>
          <w:sz w:val="18"/>
          <w:szCs w:val="18"/>
          <w:color w:val="auto"/>
        </w:rPr>
        <w:t xml:space="preserve"> day of December, 2014.</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00"/>
        <w:spacing w:after="0"/>
        <w:tabs>
          <w:tab w:leader="none" w:pos="74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2612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John West, President and Chief Executive</w:t>
      </w:r>
    </w:p>
    <w:p>
      <w:pPr>
        <w:spacing w:after="0" w:line="4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640"/>
          </w:cols>
          <w:pgMar w:left="460" w:top="270" w:right="79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undersigned, John West, hereby certifies that:</w:t>
      </w:r>
    </w:p>
    <w:p>
      <w:pPr>
        <w:spacing w:after="0" w:line="225" w:lineRule="exact"/>
        <w:rPr>
          <w:sz w:val="20"/>
          <w:szCs w:val="20"/>
          <w:color w:val="auto"/>
        </w:rPr>
      </w:pPr>
    </w:p>
    <w:p>
      <w:pPr>
        <w:ind w:left="600" w:hanging="310"/>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He is the duly elected President and Chief Executive Officer of Personalis, Inc., a Delaware corporation.</w:t>
      </w:r>
    </w:p>
    <w:p>
      <w:pPr>
        <w:spacing w:after="0" w:line="224" w:lineRule="exact"/>
        <w:rPr>
          <w:rFonts w:ascii="Arial" w:cs="Arial" w:eastAsia="Arial" w:hAnsi="Arial"/>
          <w:sz w:val="18"/>
          <w:szCs w:val="18"/>
          <w:color w:val="auto"/>
        </w:rPr>
      </w:pPr>
    </w:p>
    <w:p>
      <w:pPr>
        <w:ind w:left="600" w:hanging="310"/>
        <w:spacing w:after="0"/>
        <w:tabs>
          <w:tab w:leader="none" w:pos="6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Certificate of Incorporation of this corporation was originally filed with the Secretary of State of Delaware on February 21, 2011.</w:t>
      </w:r>
    </w:p>
    <w:p>
      <w:pPr>
        <w:spacing w:after="0" w:line="236" w:lineRule="exact"/>
        <w:rPr>
          <w:rFonts w:ascii="Arial" w:cs="Arial" w:eastAsia="Arial" w:hAnsi="Arial"/>
          <w:sz w:val="17"/>
          <w:szCs w:val="17"/>
          <w:color w:val="auto"/>
        </w:rPr>
      </w:pPr>
    </w:p>
    <w:p>
      <w:pPr>
        <w:ind w:left="-140" w:right="40" w:firstLine="430"/>
        <w:spacing w:after="0" w:line="277" w:lineRule="auto"/>
        <w:tabs>
          <w:tab w:leader="none" w:pos="6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Pursuant to Section 242 of the General Corporation Law of the State of Delaware, this Certificate of Amendment of Amended and Restated Certificate of Incorporation amends this corporation’s Certificate of Incorporation as follows:</w:t>
      </w:r>
    </w:p>
    <w:p>
      <w:pPr>
        <w:spacing w:after="0" w:line="170" w:lineRule="exact"/>
        <w:rPr>
          <w:sz w:val="20"/>
          <w:szCs w:val="20"/>
          <w:color w:val="auto"/>
        </w:rPr>
      </w:pPr>
    </w:p>
    <w:p>
      <w:pPr>
        <w:ind w:left="1160" w:hanging="429"/>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Section 2(d)(i) of Article IV(D) is amended and restated to read in its entirety as follows:</w:t>
      </w:r>
    </w:p>
    <w:p>
      <w:pPr>
        <w:spacing w:after="0" w:line="225" w:lineRule="exact"/>
        <w:rPr>
          <w:sz w:val="20"/>
          <w:szCs w:val="20"/>
          <w:color w:val="auto"/>
        </w:rPr>
      </w:pPr>
    </w:p>
    <w:p>
      <w:pPr>
        <w:ind w:left="740"/>
        <w:spacing w:after="0"/>
        <w:tabs>
          <w:tab w:leader="none" w:pos="1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There shall initially be seven members of the Board.”</w:t>
      </w:r>
    </w:p>
    <w:p>
      <w:pPr>
        <w:spacing w:after="0" w:line="225" w:lineRule="exact"/>
        <w:rPr>
          <w:sz w:val="20"/>
          <w:szCs w:val="20"/>
          <w:color w:val="auto"/>
        </w:rPr>
      </w:pPr>
    </w:p>
    <w:p>
      <w:pPr>
        <w:jc w:val="both"/>
        <w:ind w:left="-140" w:firstLine="430"/>
        <w:spacing w:after="0" w:line="263" w:lineRule="auto"/>
        <w:tabs>
          <w:tab w:leader="none" w:pos="61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foregoing Certificate of Amendment of Amended and Restated Certificate of Incorporation has been duly adopted by this corporation’s Board of Directors and stockholders in accordance with the applicable provisions of Sections 228 and 242 of the General Corporation Law of the State of Delaware.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00"/>
          </w:cols>
          <w:pgMar w:left="600" w:top="270" w:right="59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at Menlo Park, California, on June 29, 2015.</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14605</wp:posOffset>
            </wp:positionV>
            <wp:extent cx="27927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John West, President and Chief Executive Officer</w:t>
      </w:r>
    </w:p>
    <w:p>
      <w:pPr>
        <w:sectPr>
          <w:pgSz w:w="11900" w:h="16838" w:orient="portrait"/>
          <w:cols w:equalWidth="0" w:num="1">
            <w:col w:w="9740"/>
          </w:cols>
          <w:pgMar w:left="900" w:top="274" w:right="1259"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CERTIFICATE OF AMENDMENT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PERSONALIS, INC.</w:t>
      </w:r>
    </w:p>
    <w:p>
      <w:pPr>
        <w:spacing w:after="0" w:line="206" w:lineRule="exact"/>
        <w:rPr>
          <w:sz w:val="20"/>
          <w:szCs w:val="20"/>
          <w:color w:val="auto"/>
        </w:rPr>
      </w:pPr>
    </w:p>
    <w:p>
      <w:pPr>
        <w:ind w:right="180" w:firstLine="440"/>
        <w:spacing w:after="0" w:line="281"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provisions of the Delaware General Corporation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such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hereby certifies that:</w:t>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 xml:space="preserve">The name of this corporation is </w:t>
      </w:r>
      <w:r>
        <w:rPr>
          <w:rFonts w:ascii="Arial" w:cs="Arial" w:eastAsia="Arial" w:hAnsi="Arial"/>
          <w:sz w:val="17"/>
          <w:szCs w:val="17"/>
          <w:b w:val="1"/>
          <w:bCs w:val="1"/>
          <w:color w:val="auto"/>
        </w:rPr>
        <w:t>P</w:t>
      </w:r>
      <w:r>
        <w:rPr>
          <w:rFonts w:ascii="Arial" w:cs="Arial" w:eastAsia="Arial" w:hAnsi="Arial"/>
          <w:sz w:val="13"/>
          <w:szCs w:val="13"/>
          <w:b w:val="1"/>
          <w:bCs w:val="1"/>
          <w:color w:val="auto"/>
        </w:rPr>
        <w:t>ERSONALIS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the Certificate of Incorporation of the Company was originally filed with the Secretary of State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was February 21, 2011.</w:t>
      </w:r>
    </w:p>
    <w:p>
      <w:pPr>
        <w:spacing w:after="0" w:line="163" w:lineRule="exact"/>
        <w:rPr>
          <w:sz w:val="20"/>
          <w:szCs w:val="20"/>
          <w:color w:val="auto"/>
        </w:rPr>
      </w:pPr>
    </w:p>
    <w:p>
      <w:pPr>
        <w:ind w:right="600"/>
        <w:spacing w:after="0" w:line="28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acting in accordance with Section 141 and Section 242 of the DGCL,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amending the Certificate of Incorporation of the Company as follows:</w:t>
      </w:r>
    </w:p>
    <w:p>
      <w:pPr>
        <w:spacing w:after="0" w:line="194" w:lineRule="exact"/>
        <w:rPr>
          <w:sz w:val="20"/>
          <w:szCs w:val="20"/>
          <w:color w:val="auto"/>
        </w:rPr>
      </w:pPr>
    </w:p>
    <w:p>
      <w:pPr>
        <w:ind w:left="860" w:hanging="438"/>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Paragraph A of Article IV shall be amended and restated to read in its entirety as follows:</w:t>
      </w:r>
    </w:p>
    <w:p>
      <w:pPr>
        <w:spacing w:after="0" w:line="224" w:lineRule="exact"/>
        <w:rPr>
          <w:rFonts w:ascii="Arial" w:cs="Arial" w:eastAsia="Arial" w:hAnsi="Arial"/>
          <w:sz w:val="18"/>
          <w:szCs w:val="18"/>
          <w:color w:val="auto"/>
        </w:rPr>
      </w:pPr>
    </w:p>
    <w:p>
      <w:pPr>
        <w:ind w:left="880"/>
        <w:spacing w:after="0" w:line="279" w:lineRule="auto"/>
        <w:rPr>
          <w:rFonts w:ascii="Arial" w:cs="Arial" w:eastAsia="Arial" w:hAnsi="Arial"/>
          <w:sz w:val="18"/>
          <w:szCs w:val="18"/>
          <w:color w:val="auto"/>
        </w:rPr>
      </w:pPr>
      <w:r>
        <w:rPr>
          <w:rFonts w:ascii="Arial" w:cs="Arial" w:eastAsia="Arial" w:hAnsi="Arial"/>
          <w:sz w:val="17"/>
          <w:szCs w:val="17"/>
          <w:color w:val="auto"/>
        </w:rPr>
        <w:t>“A. The Company is authorized to issue two classes of stock to be designated, respectively, Common Stock and Preferred Stock. The total number of shares that the Company is authorized to issue is 177,938,150 shares, 102,700,000 shares of which shall be Common Stock and 75,238,150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shall have a par value of $0.0001 per share and the Common Stock shall have a par value of $0.0001 per share.”</w:t>
      </w:r>
    </w:p>
    <w:p>
      <w:pPr>
        <w:spacing w:after="0" w:line="197" w:lineRule="exact"/>
        <w:rPr>
          <w:rFonts w:ascii="Arial" w:cs="Arial" w:eastAsia="Arial" w:hAnsi="Arial"/>
          <w:sz w:val="18"/>
          <w:szCs w:val="18"/>
          <w:color w:val="auto"/>
        </w:rPr>
      </w:pPr>
    </w:p>
    <w:p>
      <w:pPr>
        <w:ind w:left="860" w:hanging="438"/>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Paragraph C of Article IV shall be amended and restated to read in its entirety as follows:</w:t>
      </w:r>
    </w:p>
    <w:p>
      <w:pPr>
        <w:spacing w:after="0" w:line="224" w:lineRule="exact"/>
        <w:rPr>
          <w:rFonts w:ascii="Arial" w:cs="Arial" w:eastAsia="Arial" w:hAnsi="Arial"/>
          <w:sz w:val="18"/>
          <w:szCs w:val="18"/>
          <w:color w:val="auto"/>
        </w:rPr>
      </w:pPr>
    </w:p>
    <w:p>
      <w:pPr>
        <w:ind w:left="880" w:right="160"/>
        <w:spacing w:after="0" w:line="279" w:lineRule="auto"/>
        <w:rPr>
          <w:rFonts w:ascii="Arial" w:cs="Arial" w:eastAsia="Arial" w:hAnsi="Arial"/>
          <w:sz w:val="18"/>
          <w:szCs w:val="18"/>
          <w:color w:val="auto"/>
        </w:rPr>
      </w:pPr>
      <w:r>
        <w:rPr>
          <w:rFonts w:ascii="Arial" w:cs="Arial" w:eastAsia="Arial" w:hAnsi="Arial"/>
          <w:sz w:val="17"/>
          <w:szCs w:val="17"/>
          <w:color w:val="auto"/>
        </w:rPr>
        <w:t>“C. 31,250,000 of the authorized shares of Preferred Stock are hereby designated “Series A Convertible Preferred Stock” (the “</w:t>
      </w:r>
      <w:r>
        <w:rPr>
          <w:rFonts w:ascii="Arial" w:cs="Arial" w:eastAsia="Arial" w:hAnsi="Arial"/>
          <w:sz w:val="17"/>
          <w:szCs w:val="17"/>
          <w:b w:val="1"/>
          <w:bCs w:val="1"/>
          <w:i w:val="1"/>
          <w:i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w:t>
      </w:r>
      <w:r>
        <w:rPr>
          <w:rFonts w:ascii="Arial" w:cs="Arial" w:eastAsia="Arial" w:hAnsi="Arial"/>
          <w:sz w:val="17"/>
          <w:szCs w:val="17"/>
          <w:color w:val="auto"/>
        </w:rPr>
        <w:t>”), 19,288,150 of the authorized shares of Preferred Stock are hereby designated “Series B Convertible Preferred Stock”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and 24,700,000 shares are designated “Series C Convertible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together with the Series A Preferred and the Series B Preferred, the “Series Preferred”).</w:t>
      </w:r>
    </w:p>
    <w:p>
      <w:pPr>
        <w:spacing w:after="0" w:line="197" w:lineRule="exact"/>
        <w:rPr>
          <w:rFonts w:ascii="Arial" w:cs="Arial" w:eastAsia="Arial" w:hAnsi="Arial"/>
          <w:sz w:val="18"/>
          <w:szCs w:val="18"/>
          <w:color w:val="auto"/>
        </w:rPr>
      </w:pPr>
    </w:p>
    <w:p>
      <w:pPr>
        <w:ind w:left="860" w:hanging="438"/>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Section 2(c) of Paragraph D of Article IV shall be amended and restated to read in its entirety as follows:</w:t>
      </w:r>
    </w:p>
    <w:p>
      <w:pPr>
        <w:spacing w:after="0" w:line="220" w:lineRule="exact"/>
        <w:rPr>
          <w:rFonts w:ascii="Arial" w:cs="Arial" w:eastAsia="Arial" w:hAnsi="Arial"/>
          <w:sz w:val="18"/>
          <w:szCs w:val="18"/>
          <w:color w:val="auto"/>
        </w:rPr>
      </w:pPr>
    </w:p>
    <w:p>
      <w:pPr>
        <w:ind w:left="880" w:right="80"/>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“(c) </w:t>
      </w:r>
      <w:r>
        <w:rPr>
          <w:rFonts w:ascii="Arial" w:cs="Arial" w:eastAsia="Arial" w:hAnsi="Arial"/>
          <w:sz w:val="16"/>
          <w:szCs w:val="16"/>
          <w:b w:val="1"/>
          <w:bCs w:val="1"/>
          <w:color w:val="auto"/>
        </w:rPr>
        <w:t>Separate Vote of Series C Preferred</w:t>
      </w:r>
      <w:r>
        <w:rPr>
          <w:rFonts w:ascii="Arial" w:cs="Arial" w:eastAsia="Arial" w:hAnsi="Arial"/>
          <w:sz w:val="16"/>
          <w:szCs w:val="16"/>
          <w:color w:val="auto"/>
        </w:rPr>
        <w:t>. For so long as at least 1,000,000 shares of Series C Preferred (as adjusted for any stock dividends, combinations, splits, recapitalizations and the like with respect to such shares after the filing date hereof) remain outstanding, in addition to any other vote or consent required herein or by law, the vote or written consent of the holders of at least sixty percent (60%) of the outstanding Series C Preferred shall be necessary for effecting or validating (whether by merger, recapitalization or otherwise) (i) any amendment, alteration or repeal of any provision of the Certificate of Incorporation or Bylaws of the Company (including any filing of a Certificate of Designation) that alters or changes the voting or other powers, preferences or other special rights, privileges or restrictions of the Series C Preferred in a manner that adversely affects the interests or rights of the holders of Series C Preferred in a different and disproportionate manner than the other series of Preferred Stock or (ii) any amendment of Section D.4(k)(i)(A) of this Article IV.”</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60" w:top="270" w:right="499" w:bottom="1440" w:gutter="0" w:footer="0" w:header="0"/>
        </w:sectPr>
      </w:pPr>
    </w:p>
    <w:bookmarkStart w:id="242" w:name="page243"/>
    <w:bookmarkEnd w:id="242"/>
    <w:p>
      <w:pPr>
        <w:ind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3"/>
          <w:szCs w:val="13"/>
          <w:b w:val="1"/>
          <w:bCs w:val="1"/>
          <w:color w:val="auto"/>
        </w:rPr>
        <w:t>OURTH</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pursuant to a resolution of the Board, this Second Certificate of Amendment was submitted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their approval, and was duly adopted in accordance with Section 228 and Section 242 of the DGCL.</w:t>
      </w:r>
    </w:p>
    <w:p>
      <w:pPr>
        <w:spacing w:after="0" w:line="7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460" w:top="270" w:right="899" w:bottom="1440" w:gutter="0" w:footer="0" w:header="0"/>
        </w:sectPr>
      </w:pPr>
    </w:p>
    <w:bookmarkStart w:id="243" w:name="page244"/>
    <w:bookmarkEnd w:id="243"/>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Second Certificate of Amendment to be signed by its President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this 11</w:t>
      </w:r>
      <w:r>
        <w:rPr>
          <w:rFonts w:ascii="Arial" w:cs="Arial" w:eastAsia="Arial" w:hAnsi="Arial"/>
          <w:sz w:val="15"/>
          <w:szCs w:val="15"/>
          <w:color w:val="auto"/>
        </w:rPr>
        <w:t>th</w:t>
      </w:r>
      <w:r>
        <w:rPr>
          <w:rFonts w:ascii="Arial" w:cs="Arial" w:eastAsia="Arial" w:hAnsi="Arial"/>
          <w:sz w:val="18"/>
          <w:szCs w:val="18"/>
          <w:color w:val="auto"/>
        </w:rPr>
        <w:t xml:space="preserve"> day of September, 2018.</w:t>
      </w:r>
    </w:p>
    <w:p>
      <w:pPr>
        <w:spacing w:after="0" w:line="16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14605</wp:posOffset>
            </wp:positionV>
            <wp:extent cx="26123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20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480"/>
          </w:cols>
          <w:pgMar w:left="460" w:top="270" w:right="95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CERTIFICATE OF AMENDMENT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w:t>
      </w:r>
    </w:p>
    <w:p>
      <w:pPr>
        <w:spacing w:after="0" w:line="206" w:lineRule="exact"/>
        <w:rPr>
          <w:sz w:val="20"/>
          <w:szCs w:val="20"/>
          <w:color w:val="auto"/>
        </w:rPr>
      </w:pPr>
    </w:p>
    <w:p>
      <w:pPr>
        <w:ind w:right="220" w:firstLine="440"/>
        <w:spacing w:after="0" w:line="281"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provisions of the Delaware General Corporation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such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hereby certifies that:</w:t>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 xml:space="preserve">The name of this corporation is </w:t>
      </w:r>
      <w:r>
        <w:rPr>
          <w:rFonts w:ascii="Arial" w:cs="Arial" w:eastAsia="Arial" w:hAnsi="Arial"/>
          <w:sz w:val="17"/>
          <w:szCs w:val="17"/>
          <w:b w:val="1"/>
          <w:bCs w:val="1"/>
          <w:color w:val="auto"/>
        </w:rPr>
        <w:t>P</w:t>
      </w:r>
      <w:r>
        <w:rPr>
          <w:rFonts w:ascii="Arial" w:cs="Arial" w:eastAsia="Arial" w:hAnsi="Arial"/>
          <w:sz w:val="13"/>
          <w:szCs w:val="13"/>
          <w:b w:val="1"/>
          <w:bCs w:val="1"/>
          <w:color w:val="auto"/>
        </w:rPr>
        <w:t>ERSONALIS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p>
    <w:p>
      <w:pPr>
        <w:spacing w:after="0" w:line="22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the Certificate of Incorporation of the Company was originally filed with the Secretary of State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was February 21, 2011.</w:t>
      </w:r>
    </w:p>
    <w:p>
      <w:pPr>
        <w:spacing w:after="0" w:line="163"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acting in accordance with Section 141 and Section 242 of the DGCL,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amending the Certificate of Incorporation of the Company as follows:</w:t>
      </w:r>
    </w:p>
    <w:p>
      <w:pPr>
        <w:spacing w:after="0" w:line="194" w:lineRule="exact"/>
        <w:rPr>
          <w:sz w:val="20"/>
          <w:szCs w:val="20"/>
          <w:color w:val="auto"/>
        </w:rPr>
      </w:pPr>
    </w:p>
    <w:p>
      <w:pPr>
        <w:ind w:left="860" w:hanging="438"/>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Paragraph A of Article IV shall be amended and restated to read in its entirety as follows:</w:t>
      </w:r>
    </w:p>
    <w:p>
      <w:pPr>
        <w:spacing w:after="0" w:line="225"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“A. The Company is authorized to issue two classes of stock to be designated, respectively, Common Stock and Preferred Stock. The total number of shares that the Company is authorized to issue is 183,938,150 shares, 105,700,000 shares of which shall be Common Stock and 78,238,150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and the Common Stock shall have a par value of $0.0001 per share.”</w:t>
      </w:r>
    </w:p>
    <w:p>
      <w:pPr>
        <w:spacing w:after="0" w:line="18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pursuant to a resolution of the Board, this Third Certificate of Amendment was submitted to the stockholders of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approval, and was duly adopted in accordance with Section 228 and Section 242 of the DGCL.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270" w:right="459" w:bottom="1440" w:gutter="0" w:footer="0" w:header="0"/>
        </w:sectPr>
      </w:pPr>
    </w:p>
    <w:bookmarkStart w:id="245" w:name="page246"/>
    <w:bookmarkEnd w:id="245"/>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Third Certificate of Amendment to be signed by its President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this 31st day of December 2018.</w:t>
      </w:r>
    </w:p>
    <w:p>
      <w:pPr>
        <w:spacing w:after="0" w:line="16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14605</wp:posOffset>
            </wp:positionV>
            <wp:extent cx="26123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20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920"/>
          </w:cols>
          <w:pgMar w:left="460" w:top="270" w:right="519" w:bottom="1440" w:gutter="0" w:footer="0" w:header="0"/>
        </w:sectPr>
      </w:pPr>
    </w:p>
    <w:bookmarkStart w:id="246" w:name="page247"/>
    <w:bookmarkEnd w:id="24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CERTIFICATE OF AMENDMENT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CERTIFICATE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PERSONALIS,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w:t>
      </w:r>
    </w:p>
    <w:p>
      <w:pPr>
        <w:spacing w:after="0" w:line="206"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provisions of the Delaware General Corporation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such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hereby certifies that:</w:t>
      </w:r>
    </w:p>
    <w:p>
      <w:pPr>
        <w:spacing w:after="0" w:line="16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 xml:space="preserve">The name of this corporation is </w:t>
      </w:r>
      <w:r>
        <w:rPr>
          <w:rFonts w:ascii="Arial" w:cs="Arial" w:eastAsia="Arial" w:hAnsi="Arial"/>
          <w:sz w:val="17"/>
          <w:szCs w:val="17"/>
          <w:b w:val="1"/>
          <w:bCs w:val="1"/>
          <w:color w:val="auto"/>
        </w:rPr>
        <w:t>P</w:t>
      </w:r>
      <w:r>
        <w:rPr>
          <w:rFonts w:ascii="Arial" w:cs="Arial" w:eastAsia="Arial" w:hAnsi="Arial"/>
          <w:sz w:val="13"/>
          <w:szCs w:val="13"/>
          <w:b w:val="1"/>
          <w:bCs w:val="1"/>
          <w:color w:val="auto"/>
        </w:rPr>
        <w:t>ERSONALIS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color w:val="auto"/>
        </w:rPr>
        <w:t>.</w:t>
      </w:r>
    </w:p>
    <w:p>
      <w:pPr>
        <w:spacing w:after="0" w:line="225"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the Certificate of Incorporation of the Company was originally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was February 21, 2011.</w:t>
      </w:r>
    </w:p>
    <w:p>
      <w:pPr>
        <w:spacing w:after="0" w:line="163" w:lineRule="exact"/>
        <w:rPr>
          <w:sz w:val="20"/>
          <w:szCs w:val="20"/>
          <w:color w:val="auto"/>
        </w:rPr>
      </w:pPr>
    </w:p>
    <w:p>
      <w:pPr>
        <w:ind w:right="340" w:firstLine="440"/>
        <w:spacing w:after="0" w:line="28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acting in accordance with Section 141 and Section 242 of the DGCL,</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resolutions amending the Certificate of Incorporation of the Company as follows:</w:t>
      </w:r>
    </w:p>
    <w:p>
      <w:pPr>
        <w:spacing w:after="0" w:line="72" w:lineRule="exact"/>
        <w:rPr>
          <w:sz w:val="20"/>
          <w:szCs w:val="20"/>
          <w:color w:val="auto"/>
        </w:rPr>
      </w:pPr>
    </w:p>
    <w:p>
      <w:pPr>
        <w:ind w:left="860" w:hanging="438"/>
        <w:spacing w:after="0"/>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Paragraph A of Article IV is amended and restated to read in its entirety as follows:</w:t>
      </w:r>
    </w:p>
    <w:p>
      <w:pPr>
        <w:spacing w:after="0" w:line="116" w:lineRule="exact"/>
        <w:rPr>
          <w:rFonts w:ascii="Arial" w:cs="Arial" w:eastAsia="Arial" w:hAnsi="Arial"/>
          <w:sz w:val="18"/>
          <w:szCs w:val="18"/>
          <w:color w:val="auto"/>
        </w:rPr>
      </w:pPr>
    </w:p>
    <w:p>
      <w:pPr>
        <w:ind w:left="880" w:right="60"/>
        <w:spacing w:after="0" w:line="279" w:lineRule="auto"/>
        <w:rPr>
          <w:rFonts w:ascii="Arial" w:cs="Arial" w:eastAsia="Arial" w:hAnsi="Arial"/>
          <w:sz w:val="18"/>
          <w:szCs w:val="18"/>
          <w:color w:val="auto"/>
        </w:rPr>
      </w:pPr>
      <w:r>
        <w:rPr>
          <w:rFonts w:ascii="Arial" w:cs="Arial" w:eastAsia="Arial" w:hAnsi="Arial"/>
          <w:sz w:val="17"/>
          <w:szCs w:val="17"/>
          <w:color w:val="auto"/>
        </w:rPr>
        <w:t>“A. The Company is authorized to issue two classes of stock to be designated, respectively, Common Stock and Preferred Stock. The total number of shares that the Company is authorized to issue is 188,238,150 shares, 110,000,000 shares of which shall be Common Stock and 78,238,150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shall have a par value of $0.0001 per share and the Common Stock shall have a par value of $0.0001 per share.”</w:t>
      </w:r>
    </w:p>
    <w:p>
      <w:pPr>
        <w:spacing w:after="0" w:line="75" w:lineRule="exact"/>
        <w:rPr>
          <w:rFonts w:ascii="Arial" w:cs="Arial" w:eastAsia="Arial" w:hAnsi="Arial"/>
          <w:sz w:val="18"/>
          <w:szCs w:val="18"/>
          <w:color w:val="auto"/>
        </w:rPr>
      </w:pPr>
    </w:p>
    <w:p>
      <w:pPr>
        <w:ind w:left="860" w:hanging="438"/>
        <w:spacing w:after="0"/>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Section 2(b)(vii) of Article IV(D) is amended and restated to read in its entirety as follows:</w:t>
      </w:r>
    </w:p>
    <w:p>
      <w:pPr>
        <w:spacing w:after="0" w:line="11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6"/>
          <w:szCs w:val="16"/>
          <w:color w:val="auto"/>
        </w:rPr>
        <w:t>“(vii) Any increase in the authorized number of members of the Company’s Board that would set such authorized number higher than ten.”</w:t>
      </w:r>
    </w:p>
    <w:p>
      <w:pPr>
        <w:spacing w:after="0" w:line="153" w:lineRule="exact"/>
        <w:rPr>
          <w:rFonts w:ascii="Arial" w:cs="Arial" w:eastAsia="Arial" w:hAnsi="Arial"/>
          <w:sz w:val="18"/>
          <w:szCs w:val="18"/>
          <w:color w:val="auto"/>
        </w:rPr>
      </w:pPr>
    </w:p>
    <w:p>
      <w:pPr>
        <w:ind w:left="860" w:hanging="438"/>
        <w:spacing w:after="0"/>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Section 2(d)(i) of Article IV(D) is amended and restated to read in its entirety as follows:</w:t>
      </w:r>
    </w:p>
    <w:p>
      <w:pPr>
        <w:spacing w:after="0" w:line="116" w:lineRule="exact"/>
        <w:rPr>
          <w:rFonts w:ascii="Arial" w:cs="Arial" w:eastAsia="Arial" w:hAnsi="Arial"/>
          <w:sz w:val="18"/>
          <w:szCs w:val="18"/>
          <w:color w:val="auto"/>
        </w:rPr>
      </w:pPr>
    </w:p>
    <w:p>
      <w:pPr>
        <w:ind w:left="880" w:right="600"/>
        <w:spacing w:after="0" w:line="277" w:lineRule="auto"/>
        <w:rPr>
          <w:rFonts w:ascii="Arial" w:cs="Arial" w:eastAsia="Arial" w:hAnsi="Arial"/>
          <w:sz w:val="18"/>
          <w:szCs w:val="18"/>
          <w:color w:val="auto"/>
        </w:rPr>
      </w:pPr>
      <w:r>
        <w:rPr>
          <w:rFonts w:ascii="Arial" w:cs="Arial" w:eastAsia="Arial" w:hAnsi="Arial"/>
          <w:sz w:val="18"/>
          <w:szCs w:val="18"/>
          <w:color w:val="auto"/>
        </w:rPr>
        <w:t>“(i) The number of directors which shall constitute the Board shall be fixed exclusively by resolutions adopted by a majority of the authorized number of directors constituting the Board, but shall not exceed ten.”</w:t>
      </w:r>
    </w:p>
    <w:p>
      <w:pPr>
        <w:spacing w:after="0" w:line="166" w:lineRule="exact"/>
        <w:rPr>
          <w:sz w:val="20"/>
          <w:szCs w:val="20"/>
          <w:color w:val="auto"/>
        </w:rPr>
      </w:pPr>
    </w:p>
    <w:p>
      <w:pPr>
        <w:ind w:right="220" w:firstLine="440"/>
        <w:spacing w:after="0" w:line="281"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color w:val="auto"/>
        </w:rPr>
        <w:t>: Thereafter pursuant to a resolution of the Board, this Fourth Certificate of Amendment was submitted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their approval, and was duly adopted in accordance with Section 228 and Section 242 of the DGCL.</w:t>
      </w:r>
    </w:p>
    <w:p>
      <w:pPr>
        <w:sectPr>
          <w:pgSz w:w="11900" w:h="16838" w:orient="portrait"/>
          <w:cols w:equalWidth="0" w:num="1">
            <w:col w:w="10880"/>
          </w:cols>
          <w:pgMar w:left="460" w:top="270" w:right="559" w:bottom="1440" w:gutter="0" w:footer="0" w:header="0"/>
        </w:sectPr>
      </w:pPr>
    </w:p>
    <w:bookmarkStart w:id="247" w:name="page248"/>
    <w:bookmarkEnd w:id="247"/>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Fourth Certificate of Amendment to be signed by its President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 this </w:t>
      </w:r>
      <w:r>
        <w:rPr>
          <w:rFonts w:ascii="Arial" w:cs="Arial" w:eastAsia="Arial" w:hAnsi="Arial"/>
          <w:sz w:val="18"/>
          <w:szCs w:val="18"/>
          <w:u w:val="single" w:color="auto"/>
          <w:color w:val="auto"/>
        </w:rPr>
        <w:t>21st</w:t>
      </w:r>
      <w:r>
        <w:rPr>
          <w:rFonts w:ascii="Arial" w:cs="Arial" w:eastAsia="Arial" w:hAnsi="Arial"/>
          <w:sz w:val="18"/>
          <w:szCs w:val="18"/>
          <w:color w:val="auto"/>
        </w:rPr>
        <w:t xml:space="preserve"> day of May, 2019.</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14605</wp:posOffset>
            </wp:positionV>
            <wp:extent cx="24498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440"/>
          </w:cols>
          <w:pgMar w:left="460" w:top="270" w:right="99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PERSONALIS,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20"/>
                <w:szCs w:val="20"/>
                <w:color w:val="auto"/>
              </w:rPr>
            </w:pPr>
          </w:p>
        </w:tc>
      </w:tr>
      <w:tr>
        <w:trPr>
          <w:trHeight w:val="406"/>
        </w:trPr>
        <w:tc>
          <w:tcPr>
            <w:tcW w:w="13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4"/>
        </w:trPr>
        <w:tc>
          <w:tcPr>
            <w:tcW w:w="1340" w:type="dxa"/>
            <w:vAlign w:val="bottom"/>
          </w:tcPr>
          <w:p>
            <w:pPr>
              <w:spacing w:after="0"/>
              <w:rPr>
                <w:sz w:val="20"/>
                <w:szCs w:val="20"/>
                <w:color w:val="auto"/>
              </w:rPr>
            </w:pPr>
            <w:r>
              <w:rPr>
                <w:rFonts w:ascii="Arial" w:cs="Arial" w:eastAsia="Arial" w:hAnsi="Arial"/>
                <w:sz w:val="18"/>
                <w:szCs w:val="18"/>
                <w:color w:val="auto"/>
              </w:rPr>
              <w:t>ARTICLE I</w:t>
            </w:r>
          </w:p>
        </w:tc>
        <w:tc>
          <w:tcPr>
            <w:tcW w:w="7120" w:type="dxa"/>
            <w:vAlign w:val="bottom"/>
          </w:tcPr>
          <w:p>
            <w:pPr>
              <w:ind w:left="160"/>
              <w:spacing w:after="0"/>
              <w:rPr>
                <w:sz w:val="20"/>
                <w:szCs w:val="20"/>
                <w:color w:val="auto"/>
              </w:rPr>
            </w:pPr>
            <w:r>
              <w:rPr>
                <w:rFonts w:ascii="Arial" w:cs="Arial" w:eastAsia="Arial" w:hAnsi="Arial"/>
                <w:sz w:val="18"/>
                <w:szCs w:val="18"/>
                <w:color w:val="auto"/>
              </w:rPr>
              <w:t>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2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2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II</w:t>
            </w:r>
          </w:p>
        </w:tc>
        <w:tc>
          <w:tcPr>
            <w:tcW w:w="7120" w:type="dxa"/>
            <w:vAlign w:val="bottom"/>
          </w:tcPr>
          <w:p>
            <w:pPr>
              <w:ind w:left="16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20" w:type="dxa"/>
            <w:vAlign w:val="bottom"/>
          </w:tcPr>
          <w:p>
            <w:pPr>
              <w:ind w:left="16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III</w:t>
            </w:r>
          </w:p>
        </w:tc>
        <w:tc>
          <w:tcPr>
            <w:tcW w:w="7120" w:type="dxa"/>
            <w:vAlign w:val="bottom"/>
          </w:tcPr>
          <w:p>
            <w:pPr>
              <w:ind w:left="160"/>
              <w:spacing w:after="0"/>
              <w:rPr>
                <w:sz w:val="20"/>
                <w:szCs w:val="20"/>
                <w:color w:val="auto"/>
              </w:rPr>
            </w:pPr>
            <w:r>
              <w:rPr>
                <w:rFonts w:ascii="Arial" w:cs="Arial" w:eastAsia="Arial" w:hAnsi="Arial"/>
                <w:sz w:val="18"/>
                <w:szCs w:val="18"/>
                <w:color w:val="auto"/>
              </w:rPr>
              <w:t>STOCKHOLDERS’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12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120" w:type="dxa"/>
            <w:vAlign w:val="bottom"/>
          </w:tcPr>
          <w:p>
            <w:pPr>
              <w:ind w:left="160"/>
              <w:spacing w:after="0"/>
              <w:rPr>
                <w:sz w:val="20"/>
                <w:szCs w:val="20"/>
                <w:color w:val="auto"/>
              </w:rPr>
            </w:pPr>
            <w:r>
              <w:rPr>
                <w:rFonts w:ascii="Arial" w:cs="Arial" w:eastAsia="Arial" w:hAnsi="Arial"/>
                <w:sz w:val="18"/>
                <w:szCs w:val="18"/>
                <w:color w:val="auto"/>
              </w:rPr>
              <w:t>Annual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12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120" w:type="dxa"/>
            <w:vAlign w:val="bottom"/>
          </w:tcPr>
          <w:p>
            <w:pPr>
              <w:ind w:left="160"/>
              <w:spacing w:after="0"/>
              <w:rPr>
                <w:sz w:val="20"/>
                <w:szCs w:val="20"/>
                <w:color w:val="auto"/>
              </w:rPr>
            </w:pPr>
            <w:r>
              <w:rPr>
                <w:rFonts w:ascii="Arial" w:cs="Arial" w:eastAsia="Arial" w:hAnsi="Arial"/>
                <w:sz w:val="18"/>
                <w:szCs w:val="18"/>
                <w:color w:val="auto"/>
              </w:rPr>
              <w:t>Notice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120" w:type="dxa"/>
            <w:vAlign w:val="bottom"/>
          </w:tcPr>
          <w:p>
            <w:pPr>
              <w:ind w:left="160"/>
              <w:spacing w:after="0"/>
              <w:rPr>
                <w:sz w:val="20"/>
                <w:szCs w:val="20"/>
                <w:color w:val="auto"/>
              </w:rPr>
            </w:pPr>
            <w:r>
              <w:rPr>
                <w:rFonts w:ascii="Arial" w:cs="Arial" w:eastAsia="Arial" w:hAnsi="Arial"/>
                <w:sz w:val="18"/>
                <w:szCs w:val="18"/>
                <w:color w:val="auto"/>
              </w:rPr>
              <w:t>Quorum</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120" w:type="dxa"/>
            <w:vAlign w:val="bottom"/>
          </w:tcPr>
          <w:p>
            <w:pPr>
              <w:ind w:left="160"/>
              <w:spacing w:after="0"/>
              <w:rPr>
                <w:sz w:val="20"/>
                <w:szCs w:val="20"/>
                <w:color w:val="auto"/>
              </w:rPr>
            </w:pPr>
            <w:r>
              <w:rPr>
                <w:rFonts w:ascii="Arial" w:cs="Arial" w:eastAsia="Arial" w:hAnsi="Arial"/>
                <w:sz w:val="18"/>
                <w:szCs w:val="18"/>
                <w:color w:val="auto"/>
              </w:rPr>
              <w:t>Adjournment and Notice of Adjourned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120" w:type="dxa"/>
            <w:vAlign w:val="bottom"/>
          </w:tcPr>
          <w:p>
            <w:pPr>
              <w:ind w:left="160"/>
              <w:spacing w:after="0"/>
              <w:rPr>
                <w:sz w:val="20"/>
                <w:szCs w:val="20"/>
                <w:color w:val="auto"/>
              </w:rPr>
            </w:pPr>
            <w:r>
              <w:rPr>
                <w:rFonts w:ascii="Arial" w:cs="Arial" w:eastAsia="Arial" w:hAnsi="Arial"/>
                <w:sz w:val="18"/>
                <w:szCs w:val="18"/>
                <w:color w:val="auto"/>
              </w:rPr>
              <w:t>Voting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160"/>
              <w:spacing w:after="0"/>
              <w:rPr>
                <w:sz w:val="20"/>
                <w:szCs w:val="20"/>
                <w:color w:val="auto"/>
              </w:rPr>
            </w:pPr>
            <w:r>
              <w:rPr>
                <w:rFonts w:ascii="Arial" w:cs="Arial" w:eastAsia="Arial" w:hAnsi="Arial"/>
                <w:sz w:val="18"/>
                <w:szCs w:val="18"/>
                <w:color w:val="auto"/>
              </w:rPr>
              <w:t>Joint Owners of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120" w:type="dxa"/>
            <w:vAlign w:val="bottom"/>
          </w:tcPr>
          <w:p>
            <w:pPr>
              <w:ind w:left="160"/>
              <w:spacing w:after="0"/>
              <w:rPr>
                <w:sz w:val="20"/>
                <w:szCs w:val="20"/>
                <w:color w:val="auto"/>
              </w:rPr>
            </w:pPr>
            <w:r>
              <w:rPr>
                <w:rFonts w:ascii="Arial" w:cs="Arial" w:eastAsia="Arial" w:hAnsi="Arial"/>
                <w:sz w:val="18"/>
                <w:szCs w:val="18"/>
                <w:color w:val="auto"/>
              </w:rPr>
              <w:t>List of Stockholders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120" w:type="dxa"/>
            <w:vAlign w:val="bottom"/>
          </w:tcPr>
          <w:p>
            <w:pPr>
              <w:ind w:left="16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12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IV</w:t>
            </w:r>
          </w:p>
        </w:tc>
        <w:tc>
          <w:tcPr>
            <w:tcW w:w="7120" w:type="dxa"/>
            <w:vAlign w:val="bottom"/>
          </w:tcPr>
          <w:p>
            <w:pPr>
              <w:ind w:left="16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120" w:type="dxa"/>
            <w:vAlign w:val="bottom"/>
          </w:tcPr>
          <w:p>
            <w:pPr>
              <w:ind w:left="160"/>
              <w:spacing w:after="0"/>
              <w:rPr>
                <w:sz w:val="20"/>
                <w:szCs w:val="20"/>
                <w:color w:val="auto"/>
              </w:rPr>
            </w:pPr>
            <w:r>
              <w:rPr>
                <w:rFonts w:ascii="Arial" w:cs="Arial" w:eastAsia="Arial" w:hAnsi="Arial"/>
                <w:sz w:val="18"/>
                <w:szCs w:val="18"/>
                <w:color w:val="auto"/>
              </w:rPr>
              <w:t>Number and Term of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120" w:type="dxa"/>
            <w:vAlign w:val="bottom"/>
          </w:tcPr>
          <w:p>
            <w:pPr>
              <w:ind w:left="160"/>
              <w:spacing w:after="0"/>
              <w:rPr>
                <w:sz w:val="20"/>
                <w:szCs w:val="20"/>
                <w:color w:val="auto"/>
              </w:rPr>
            </w:pPr>
            <w:r>
              <w:rPr>
                <w:rFonts w:ascii="Arial" w:cs="Arial" w:eastAsia="Arial" w:hAnsi="Arial"/>
                <w:sz w:val="18"/>
                <w:szCs w:val="18"/>
                <w:color w:val="auto"/>
              </w:rPr>
              <w:t>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120" w:type="dxa"/>
            <w:vAlign w:val="bottom"/>
          </w:tcPr>
          <w:p>
            <w:pPr>
              <w:ind w:left="160"/>
              <w:spacing w:after="0"/>
              <w:rPr>
                <w:sz w:val="20"/>
                <w:szCs w:val="20"/>
                <w:color w:val="auto"/>
              </w:rPr>
            </w:pPr>
            <w:r>
              <w:rPr>
                <w:rFonts w:ascii="Arial" w:cs="Arial" w:eastAsia="Arial" w:hAnsi="Arial"/>
                <w:sz w:val="18"/>
                <w:szCs w:val="18"/>
                <w:color w:val="auto"/>
              </w:rPr>
              <w:t>Term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120" w:type="dxa"/>
            <w:vAlign w:val="bottom"/>
          </w:tcPr>
          <w:p>
            <w:pPr>
              <w:ind w:left="160"/>
              <w:spacing w:after="0"/>
              <w:rPr>
                <w:sz w:val="20"/>
                <w:szCs w:val="20"/>
                <w:color w:val="auto"/>
              </w:rPr>
            </w:pPr>
            <w:r>
              <w:rPr>
                <w:rFonts w:ascii="Arial" w:cs="Arial" w:eastAsia="Arial" w:hAnsi="Arial"/>
                <w:sz w:val="18"/>
                <w:szCs w:val="18"/>
                <w:color w:val="auto"/>
              </w:rPr>
              <w:t>Vacancies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120" w:type="dxa"/>
            <w:vAlign w:val="bottom"/>
          </w:tcPr>
          <w:p>
            <w:pPr>
              <w:ind w:left="160"/>
              <w:spacing w:after="0"/>
              <w:rPr>
                <w:sz w:val="20"/>
                <w:szCs w:val="20"/>
                <w:color w:val="auto"/>
              </w:rPr>
            </w:pPr>
            <w:r>
              <w:rPr>
                <w:rFonts w:ascii="Arial" w:cs="Arial" w:eastAsia="Arial" w:hAnsi="Arial"/>
                <w:sz w:val="18"/>
                <w:szCs w:val="18"/>
                <w:color w:val="auto"/>
              </w:rPr>
              <w:t>Resignation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20.</w:t>
            </w:r>
          </w:p>
        </w:tc>
        <w:tc>
          <w:tcPr>
            <w:tcW w:w="7120" w:type="dxa"/>
            <w:vAlign w:val="bottom"/>
          </w:tcPr>
          <w:p>
            <w:pPr>
              <w:ind w:left="160"/>
              <w:spacing w:after="0"/>
              <w:rPr>
                <w:sz w:val="20"/>
                <w:szCs w:val="20"/>
                <w:color w:val="auto"/>
              </w:rPr>
            </w:pPr>
            <w:r>
              <w:rPr>
                <w:rFonts w:ascii="Arial" w:cs="Arial" w:eastAsia="Arial" w:hAnsi="Arial"/>
                <w:sz w:val="18"/>
                <w:szCs w:val="18"/>
                <w:color w:val="auto"/>
              </w:rPr>
              <w:t>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120" w:type="dxa"/>
            <w:vAlign w:val="bottom"/>
          </w:tcPr>
          <w:p>
            <w:pPr>
              <w:ind w:left="160"/>
              <w:spacing w:after="0"/>
              <w:rPr>
                <w:sz w:val="20"/>
                <w:szCs w:val="20"/>
                <w:color w:val="auto"/>
              </w:rPr>
            </w:pPr>
            <w:r>
              <w:rPr>
                <w:rFonts w:ascii="Arial" w:cs="Arial" w:eastAsia="Arial" w:hAnsi="Arial"/>
                <w:sz w:val="18"/>
                <w:szCs w:val="18"/>
                <w:color w:val="auto"/>
              </w:rPr>
              <w:t>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120" w:type="dxa"/>
            <w:vAlign w:val="bottom"/>
          </w:tcPr>
          <w:p>
            <w:pPr>
              <w:ind w:left="160"/>
              <w:spacing w:after="0"/>
              <w:rPr>
                <w:sz w:val="20"/>
                <w:szCs w:val="20"/>
                <w:color w:val="auto"/>
              </w:rPr>
            </w:pPr>
            <w:r>
              <w:rPr>
                <w:rFonts w:ascii="Arial" w:cs="Arial" w:eastAsia="Arial" w:hAnsi="Arial"/>
                <w:sz w:val="18"/>
                <w:szCs w:val="18"/>
                <w:color w:val="auto"/>
              </w:rPr>
              <w:t>Quorum and Voting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120" w:type="dxa"/>
            <w:vAlign w:val="bottom"/>
          </w:tcPr>
          <w:p>
            <w:pPr>
              <w:ind w:left="16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120" w:type="dxa"/>
            <w:vAlign w:val="bottom"/>
          </w:tcPr>
          <w:p>
            <w:pPr>
              <w:ind w:left="160"/>
              <w:spacing w:after="0"/>
              <w:rPr>
                <w:sz w:val="20"/>
                <w:szCs w:val="20"/>
                <w:color w:val="auto"/>
              </w:rPr>
            </w:pPr>
            <w:r>
              <w:rPr>
                <w:rFonts w:ascii="Arial" w:cs="Arial" w:eastAsia="Arial" w:hAnsi="Arial"/>
                <w:sz w:val="18"/>
                <w:szCs w:val="18"/>
                <w:color w:val="auto"/>
              </w:rPr>
              <w:t>Fees and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1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12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V</w:t>
            </w:r>
          </w:p>
        </w:tc>
        <w:tc>
          <w:tcPr>
            <w:tcW w:w="7120" w:type="dxa"/>
            <w:vAlign w:val="bottom"/>
          </w:tcPr>
          <w:p>
            <w:pPr>
              <w:ind w:left="160"/>
              <w:spacing w:after="0"/>
              <w:rPr>
                <w:sz w:val="20"/>
                <w:szCs w:val="20"/>
                <w:color w:val="auto"/>
              </w:rPr>
            </w:pPr>
            <w:r>
              <w:rPr>
                <w:rFonts w:ascii="Arial" w:cs="Arial" w:eastAsia="Arial" w:hAnsi="Arial"/>
                <w:sz w:val="18"/>
                <w:szCs w:val="18"/>
                <w:color w:val="auto"/>
              </w:rPr>
              <w:t>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120" w:type="dxa"/>
            <w:vAlign w:val="bottom"/>
          </w:tcPr>
          <w:p>
            <w:pPr>
              <w:ind w:left="160"/>
              <w:spacing w:after="0"/>
              <w:rPr>
                <w:sz w:val="20"/>
                <w:szCs w:val="20"/>
                <w:color w:val="auto"/>
              </w:rPr>
            </w:pPr>
            <w:r>
              <w:rPr>
                <w:rFonts w:ascii="Arial" w:cs="Arial" w:eastAsia="Arial" w:hAnsi="Arial"/>
                <w:sz w:val="18"/>
                <w:szCs w:val="18"/>
                <w:color w:val="auto"/>
              </w:rPr>
              <w:t>Officers Designated</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120" w:type="dxa"/>
            <w:vAlign w:val="bottom"/>
          </w:tcPr>
          <w:p>
            <w:pPr>
              <w:ind w:left="160"/>
              <w:spacing w:after="0"/>
              <w:rPr>
                <w:sz w:val="20"/>
                <w:szCs w:val="20"/>
                <w:color w:val="auto"/>
              </w:rPr>
            </w:pPr>
            <w:r>
              <w:rPr>
                <w:rFonts w:ascii="Arial" w:cs="Arial" w:eastAsia="Arial" w:hAnsi="Arial"/>
                <w:sz w:val="18"/>
                <w:szCs w:val="18"/>
                <w:color w:val="auto"/>
              </w:rPr>
              <w:t>Tenure and Duties of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60" w:top="270" w:right="49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8520" w:type="dxa"/>
            <w:vAlign w:val="bottom"/>
          </w:tcPr>
          <w:p>
            <w:pPr>
              <w:jc w:val="center"/>
              <w:ind w:right="13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10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8520" w:type="dxa"/>
            <w:vAlign w:val="bottom"/>
          </w:tcPr>
          <w:p>
            <w:pPr>
              <w:jc w:val="center"/>
              <w:ind w:right="1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1080" w:type="dxa"/>
            <w:vAlign w:val="bottom"/>
          </w:tcPr>
          <w:p>
            <w:pPr>
              <w:spacing w:after="0"/>
              <w:rPr>
                <w:sz w:val="20"/>
                <w:szCs w:val="20"/>
                <w:color w:val="auto"/>
              </w:rPr>
            </w:pPr>
          </w:p>
        </w:tc>
      </w:tr>
      <w:tr>
        <w:trPr>
          <w:trHeight w:val="312"/>
        </w:trPr>
        <w:tc>
          <w:tcPr>
            <w:tcW w:w="13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4"/>
        </w:trPr>
        <w:tc>
          <w:tcPr>
            <w:tcW w:w="13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520" w:type="dxa"/>
            <w:vAlign w:val="bottom"/>
          </w:tcPr>
          <w:p>
            <w:pPr>
              <w:ind w:left="160"/>
              <w:spacing w:after="0"/>
              <w:rPr>
                <w:sz w:val="20"/>
                <w:szCs w:val="20"/>
                <w:color w:val="auto"/>
              </w:rPr>
            </w:pPr>
            <w:r>
              <w:rPr>
                <w:rFonts w:ascii="Arial" w:cs="Arial" w:eastAsia="Arial" w:hAnsi="Arial"/>
                <w:sz w:val="18"/>
                <w:szCs w:val="18"/>
                <w:color w:val="auto"/>
              </w:rPr>
              <w:t>Delegation of Authority</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30.</w:t>
            </w:r>
          </w:p>
        </w:tc>
        <w:tc>
          <w:tcPr>
            <w:tcW w:w="8520" w:type="dxa"/>
            <w:vAlign w:val="bottom"/>
          </w:tcPr>
          <w:p>
            <w:pPr>
              <w:ind w:left="160"/>
              <w:spacing w:after="0"/>
              <w:rPr>
                <w:sz w:val="20"/>
                <w:szCs w:val="20"/>
                <w:color w:val="auto"/>
              </w:rPr>
            </w:pPr>
            <w:r>
              <w:rPr>
                <w:rFonts w:ascii="Arial" w:cs="Arial" w:eastAsia="Arial" w:hAnsi="Arial"/>
                <w:sz w:val="18"/>
                <w:szCs w:val="18"/>
                <w:color w:val="auto"/>
              </w:rPr>
              <w:t>Resignations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20" w:type="dxa"/>
            <w:vAlign w:val="bottom"/>
          </w:tcPr>
          <w:p>
            <w:pPr>
              <w:ind w:left="160"/>
              <w:spacing w:after="0"/>
              <w:rPr>
                <w:sz w:val="20"/>
                <w:szCs w:val="20"/>
                <w:color w:val="auto"/>
              </w:rPr>
            </w:pPr>
            <w:r>
              <w:rPr>
                <w:rFonts w:ascii="Arial" w:cs="Arial" w:eastAsia="Arial" w:hAnsi="Arial"/>
                <w:sz w:val="18"/>
                <w:szCs w:val="18"/>
                <w:color w:val="auto"/>
              </w:rPr>
              <w:t>Removal</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VI</w:t>
            </w:r>
          </w:p>
        </w:tc>
        <w:tc>
          <w:tcPr>
            <w:tcW w:w="8520" w:type="dxa"/>
            <w:vAlign w:val="bottom"/>
          </w:tcPr>
          <w:p>
            <w:pPr>
              <w:ind w:left="160"/>
              <w:spacing w:after="0"/>
              <w:rPr>
                <w:sz w:val="20"/>
                <w:szCs w:val="20"/>
                <w:color w:val="auto"/>
              </w:rPr>
            </w:pPr>
            <w:r>
              <w:rPr>
                <w:rFonts w:ascii="Arial" w:cs="Arial" w:eastAsia="Arial" w:hAnsi="Arial"/>
                <w:sz w:val="18"/>
                <w:szCs w:val="18"/>
                <w:color w:val="auto"/>
              </w:rPr>
              <w:t>EXECUTION OF CORPORATE INSTRUMENTS AND VOTING OF SECURITIES OWNED BY THE</w:t>
            </w:r>
          </w:p>
        </w:tc>
        <w:tc>
          <w:tcPr>
            <w:tcW w:w="10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20" w:type="dxa"/>
            <w:vAlign w:val="bottom"/>
          </w:tcPr>
          <w:p>
            <w:pPr>
              <w:ind w:left="160"/>
              <w:spacing w:after="0"/>
              <w:rPr>
                <w:sz w:val="20"/>
                <w:szCs w:val="20"/>
                <w:color w:val="auto"/>
              </w:rPr>
            </w:pPr>
            <w:r>
              <w:rPr>
                <w:rFonts w:ascii="Arial" w:cs="Arial" w:eastAsia="Arial" w:hAnsi="Arial"/>
                <w:sz w:val="18"/>
                <w:szCs w:val="18"/>
                <w:color w:val="auto"/>
              </w:rPr>
              <w:t>Execution of Corporate Instruments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20" w:type="dxa"/>
            <w:vAlign w:val="bottom"/>
          </w:tcPr>
          <w:p>
            <w:pPr>
              <w:ind w:left="160"/>
              <w:spacing w:after="0"/>
              <w:rPr>
                <w:sz w:val="20"/>
                <w:szCs w:val="20"/>
                <w:color w:val="auto"/>
              </w:rPr>
            </w:pPr>
            <w:r>
              <w:rPr>
                <w:rFonts w:ascii="Arial" w:cs="Arial" w:eastAsia="Arial" w:hAnsi="Arial"/>
                <w:sz w:val="18"/>
                <w:szCs w:val="18"/>
                <w:color w:val="auto"/>
              </w:rPr>
              <w:t>Voting of Securities Owned by the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VII</w:t>
            </w:r>
          </w:p>
        </w:tc>
        <w:tc>
          <w:tcPr>
            <w:tcW w:w="8520" w:type="dxa"/>
            <w:vAlign w:val="bottom"/>
          </w:tcPr>
          <w:p>
            <w:pPr>
              <w:ind w:left="160"/>
              <w:spacing w:after="0"/>
              <w:rPr>
                <w:sz w:val="20"/>
                <w:szCs w:val="20"/>
                <w:color w:val="auto"/>
              </w:rPr>
            </w:pPr>
            <w:r>
              <w:rPr>
                <w:rFonts w:ascii="Arial" w:cs="Arial" w:eastAsia="Arial" w:hAnsi="Arial"/>
                <w:sz w:val="18"/>
                <w:szCs w:val="18"/>
                <w:color w:val="auto"/>
              </w:rPr>
              <w:t>SHARES OF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520" w:type="dxa"/>
            <w:vAlign w:val="bottom"/>
          </w:tcPr>
          <w:p>
            <w:pPr>
              <w:ind w:left="160"/>
              <w:spacing w:after="0"/>
              <w:rPr>
                <w:sz w:val="20"/>
                <w:szCs w:val="20"/>
                <w:color w:val="auto"/>
              </w:rPr>
            </w:pPr>
            <w:r>
              <w:rPr>
                <w:rFonts w:ascii="Arial" w:cs="Arial" w:eastAsia="Arial" w:hAnsi="Arial"/>
                <w:sz w:val="18"/>
                <w:szCs w:val="18"/>
                <w:color w:val="auto"/>
              </w:rPr>
              <w:t>Form and Execution of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52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52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520" w:type="dxa"/>
            <w:vAlign w:val="bottom"/>
          </w:tcPr>
          <w:p>
            <w:pPr>
              <w:ind w:left="160"/>
              <w:spacing w:after="0"/>
              <w:rPr>
                <w:sz w:val="20"/>
                <w:szCs w:val="20"/>
                <w:color w:val="auto"/>
              </w:rPr>
            </w:pPr>
            <w:r>
              <w:rPr>
                <w:rFonts w:ascii="Arial" w:cs="Arial" w:eastAsia="Arial" w:hAnsi="Arial"/>
                <w:sz w:val="18"/>
                <w:szCs w:val="18"/>
                <w:color w:val="auto"/>
              </w:rPr>
              <w:t>Fixing Record Dates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52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VIII</w:t>
            </w:r>
          </w:p>
        </w:tc>
        <w:tc>
          <w:tcPr>
            <w:tcW w:w="8520" w:type="dxa"/>
            <w:vAlign w:val="bottom"/>
          </w:tcPr>
          <w:p>
            <w:pPr>
              <w:ind w:left="160"/>
              <w:spacing w:after="0"/>
              <w:rPr>
                <w:sz w:val="20"/>
                <w:szCs w:val="20"/>
                <w:color w:val="auto"/>
              </w:rPr>
            </w:pPr>
            <w:r>
              <w:rPr>
                <w:rFonts w:ascii="Arial" w:cs="Arial" w:eastAsia="Arial" w:hAnsi="Arial"/>
                <w:sz w:val="18"/>
                <w:szCs w:val="18"/>
                <w:color w:val="auto"/>
              </w:rPr>
              <w:t>OTHER SECURITIES OF THE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520" w:type="dxa"/>
            <w:vAlign w:val="bottom"/>
          </w:tcPr>
          <w:p>
            <w:pPr>
              <w:ind w:left="160"/>
              <w:spacing w:after="0"/>
              <w:rPr>
                <w:sz w:val="20"/>
                <w:szCs w:val="20"/>
                <w:color w:val="auto"/>
              </w:rPr>
            </w:pPr>
            <w:r>
              <w:rPr>
                <w:rFonts w:ascii="Arial" w:cs="Arial" w:eastAsia="Arial" w:hAnsi="Arial"/>
                <w:sz w:val="18"/>
                <w:szCs w:val="18"/>
                <w:color w:val="auto"/>
              </w:rPr>
              <w:t>Execution of Other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IX</w:t>
            </w:r>
          </w:p>
        </w:tc>
        <w:tc>
          <w:tcPr>
            <w:tcW w:w="85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40.</w:t>
            </w:r>
          </w:p>
        </w:tc>
        <w:tc>
          <w:tcPr>
            <w:tcW w:w="8520" w:type="dxa"/>
            <w:vAlign w:val="bottom"/>
          </w:tcPr>
          <w:p>
            <w:pPr>
              <w:ind w:left="160"/>
              <w:spacing w:after="0"/>
              <w:rPr>
                <w:sz w:val="20"/>
                <w:szCs w:val="20"/>
                <w:color w:val="auto"/>
              </w:rPr>
            </w:pPr>
            <w:r>
              <w:rPr>
                <w:rFonts w:ascii="Arial" w:cs="Arial" w:eastAsia="Arial" w:hAnsi="Arial"/>
                <w:sz w:val="18"/>
                <w:szCs w:val="18"/>
                <w:color w:val="auto"/>
              </w:rPr>
              <w:t>Declaration of Dividends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520" w:type="dxa"/>
            <w:vAlign w:val="bottom"/>
          </w:tcPr>
          <w:p>
            <w:pPr>
              <w:ind w:left="160"/>
              <w:spacing w:after="0"/>
              <w:rPr>
                <w:sz w:val="20"/>
                <w:szCs w:val="20"/>
                <w:color w:val="auto"/>
              </w:rPr>
            </w:pPr>
            <w:r>
              <w:rPr>
                <w:rFonts w:ascii="Arial" w:cs="Arial" w:eastAsia="Arial" w:hAnsi="Arial"/>
                <w:sz w:val="18"/>
                <w:szCs w:val="18"/>
                <w:color w:val="auto"/>
              </w:rPr>
              <w:t>Dividend Reserve</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w:t>
            </w:r>
          </w:p>
        </w:tc>
        <w:tc>
          <w:tcPr>
            <w:tcW w:w="85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5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XI</w:t>
            </w:r>
          </w:p>
        </w:tc>
        <w:tc>
          <w:tcPr>
            <w:tcW w:w="85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520" w:type="dxa"/>
            <w:vAlign w:val="bottom"/>
          </w:tcPr>
          <w:p>
            <w:pPr>
              <w:ind w:left="160"/>
              <w:spacing w:after="0"/>
              <w:rPr>
                <w:sz w:val="20"/>
                <w:szCs w:val="20"/>
                <w:color w:val="auto"/>
              </w:rPr>
            </w:pPr>
            <w:r>
              <w:rPr>
                <w:rFonts w:ascii="Arial" w:cs="Arial" w:eastAsia="Arial" w:hAnsi="Arial"/>
                <w:sz w:val="18"/>
                <w:szCs w:val="18"/>
                <w:color w:val="auto"/>
              </w:rPr>
              <w:t>Indemnification of Directors, Executive Officers, Other Officers, Employees and Other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XII</w:t>
            </w:r>
          </w:p>
        </w:tc>
        <w:tc>
          <w:tcPr>
            <w:tcW w:w="85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5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XIII</w:t>
            </w:r>
          </w:p>
        </w:tc>
        <w:tc>
          <w:tcPr>
            <w:tcW w:w="85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5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XIV</w:t>
            </w:r>
          </w:p>
        </w:tc>
        <w:tc>
          <w:tcPr>
            <w:tcW w:w="8520" w:type="dxa"/>
            <w:vAlign w:val="bottom"/>
          </w:tcPr>
          <w:p>
            <w:pPr>
              <w:ind w:left="160"/>
              <w:spacing w:after="0"/>
              <w:rPr>
                <w:sz w:val="20"/>
                <w:szCs w:val="20"/>
                <w:color w:val="auto"/>
              </w:rPr>
            </w:pPr>
            <w:r>
              <w:rPr>
                <w:rFonts w:ascii="Arial" w:cs="Arial" w:eastAsia="Arial" w:hAnsi="Arial"/>
                <w:sz w:val="18"/>
                <w:szCs w:val="18"/>
                <w:color w:val="auto"/>
              </w:rPr>
              <w:t>LOANS TO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520" w:type="dxa"/>
            <w:vAlign w:val="bottom"/>
          </w:tcPr>
          <w:p>
            <w:pPr>
              <w:ind w:left="160"/>
              <w:spacing w:after="0"/>
              <w:rPr>
                <w:sz w:val="20"/>
                <w:szCs w:val="20"/>
                <w:color w:val="auto"/>
              </w:rPr>
            </w:pPr>
            <w:r>
              <w:rPr>
                <w:rFonts w:ascii="Arial" w:cs="Arial" w:eastAsia="Arial" w:hAnsi="Arial"/>
                <w:sz w:val="18"/>
                <w:szCs w:val="18"/>
                <w:color w:val="auto"/>
              </w:rPr>
              <w:t>Loans to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ARTICLE XV</w:t>
            </w:r>
          </w:p>
        </w:tc>
        <w:tc>
          <w:tcPr>
            <w:tcW w:w="85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520" w:type="dxa"/>
            <w:vAlign w:val="bottom"/>
          </w:tcPr>
          <w:p>
            <w:pPr>
              <w:ind w:left="160"/>
              <w:spacing w:after="0"/>
              <w:rPr>
                <w:sz w:val="20"/>
                <w:szCs w:val="20"/>
                <w:color w:val="auto"/>
              </w:rPr>
            </w:pPr>
            <w:r>
              <w:rPr>
                <w:rFonts w:ascii="Arial" w:cs="Arial" w:eastAsia="Arial" w:hAnsi="Arial"/>
                <w:sz w:val="18"/>
                <w:szCs w:val="18"/>
                <w:color w:val="auto"/>
              </w:rPr>
              <w:t>Annual Report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40" w:type="dxa"/>
            <w:vAlign w:val="bottom"/>
          </w:tcPr>
          <w:p>
            <w:pPr>
              <w:spacing w:after="0"/>
              <w:rPr>
                <w:sz w:val="20"/>
                <w:szCs w:val="20"/>
                <w:color w:val="auto"/>
              </w:rPr>
            </w:pPr>
          </w:p>
        </w:tc>
        <w:tc>
          <w:tcPr>
            <w:tcW w:w="8520" w:type="dxa"/>
            <w:vAlign w:val="bottom"/>
          </w:tcPr>
          <w:p>
            <w:pPr>
              <w:jc w:val="center"/>
              <w:ind w:right="130"/>
              <w:spacing w:after="0"/>
              <w:rPr>
                <w:sz w:val="20"/>
                <w:szCs w:val="20"/>
                <w:color w:val="auto"/>
              </w:rPr>
            </w:pPr>
            <w:r>
              <w:rPr>
                <w:rFonts w:ascii="Arial" w:cs="Arial" w:eastAsia="Arial" w:hAnsi="Arial"/>
                <w:sz w:val="18"/>
                <w:szCs w:val="18"/>
                <w:color w:val="auto"/>
              </w:rPr>
              <w:t>ii.</w:t>
            </w:r>
          </w:p>
        </w:tc>
        <w:tc>
          <w:tcPr>
            <w:tcW w:w="10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940"/>
          </w:cols>
          <w:pgMar w:left="46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1" w:name="page252"/>
    <w:bookmarkEnd w:id="2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DELAWARE CORPORATION)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200" w:firstLine="440"/>
        <w:spacing w:after="0" w:line="281"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in the City of Dover, County of Kent.</w:t>
      </w:r>
      <w:r>
        <w:rPr>
          <w:rFonts w:ascii="Arial" w:cs="Arial" w:eastAsia="Arial" w:hAnsi="Arial"/>
          <w:sz w:val="18"/>
          <w:szCs w:val="18"/>
          <w:b w:val="1"/>
          <w:bCs w:val="1"/>
          <w:color w:val="auto"/>
        </w:rPr>
        <w:t xml:space="preserve"> </w:t>
      </w:r>
      <w:r>
        <w:rPr>
          <w:rFonts w:ascii="Arial" w:cs="Arial" w:eastAsia="Arial" w:hAnsi="Arial"/>
          <w:sz w:val="18"/>
          <w:szCs w:val="18"/>
          <w:color w:val="auto"/>
        </w:rPr>
        <w:t>(Del. Code Ann., tit. 8, § 131)</w:t>
      </w:r>
    </w:p>
    <w:p>
      <w:pPr>
        <w:spacing w:after="0" w:line="16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 (Del. Code Ann., tit. 8, § 122(8))</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 (Del. Code Ann., tit. 8, § 122(3))</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60" w:firstLine="440"/>
        <w:spacing w:after="0" w:line="260"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 (Del. Code Ann., tit. 8, § 211(a))</w:t>
      </w:r>
    </w:p>
    <w:p>
      <w:pPr>
        <w:spacing w:after="0" w:line="182"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121" w:lineRule="exact"/>
        <w:rPr>
          <w:sz w:val="20"/>
          <w:szCs w:val="20"/>
          <w:color w:val="auto"/>
        </w:rPr>
      </w:pPr>
    </w:p>
    <w:p>
      <w:pPr>
        <w:jc w:val="both"/>
        <w:ind w:right="80" w:firstLine="871"/>
        <w:spacing w:after="0" w:line="263" w:lineRule="auto"/>
        <w:tabs>
          <w:tab w:leader="none" w:pos="1267"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60" w:top="270" w:right="519" w:bottom="1440" w:gutter="0" w:footer="0" w:header="0"/>
        </w:sectPr>
      </w:pPr>
    </w:p>
    <w:bookmarkStart w:id="252" w:name="page253"/>
    <w:bookmarkEnd w:id="25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 (Del. Code Ann., tit. 8, § 211(b)).</w:t>
      </w:r>
    </w:p>
    <w:p>
      <w:pPr>
        <w:spacing w:after="0" w:line="78" w:lineRule="exact"/>
        <w:rPr>
          <w:sz w:val="20"/>
          <w:szCs w:val="20"/>
          <w:color w:val="auto"/>
        </w:rPr>
      </w:pPr>
    </w:p>
    <w:p>
      <w:pPr>
        <w:ind w:firstLine="871"/>
        <w:spacing w:after="0" w:line="284" w:lineRule="auto"/>
        <w:tabs>
          <w:tab w:leader="none" w:pos="1270"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53" w:name="page254"/>
    <w:bookmarkEnd w:id="25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69" w:lineRule="exact"/>
        <w:rPr>
          <w:sz w:val="20"/>
          <w:szCs w:val="20"/>
          <w:color w:val="auto"/>
        </w:rPr>
      </w:pPr>
    </w:p>
    <w:p>
      <w:pPr>
        <w:ind w:right="60" w:firstLine="871"/>
        <w:spacing w:after="0" w:line="293" w:lineRule="auto"/>
        <w:tabs>
          <w:tab w:leader="none" w:pos="1260"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w:t>
      </w:r>
    </w:p>
    <w:p>
      <w:pPr>
        <w:spacing w:after="0" w:line="55" w:lineRule="exact"/>
        <w:rPr>
          <w:rFonts w:ascii="Arial" w:cs="Arial" w:eastAsia="Arial" w:hAnsi="Arial"/>
          <w:sz w:val="16"/>
          <w:szCs w:val="16"/>
          <w:b w:val="1"/>
          <w:bCs w:val="1"/>
          <w:color w:val="auto"/>
        </w:rPr>
      </w:pPr>
    </w:p>
    <w:p>
      <w:pPr>
        <w:ind w:right="80" w:firstLine="871"/>
        <w:spacing w:after="0" w:line="273" w:lineRule="auto"/>
        <w:tabs>
          <w:tab w:leader="none" w:pos="1280"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68" w:lineRule="exact"/>
        <w:rPr>
          <w:rFonts w:ascii="Arial" w:cs="Arial" w:eastAsia="Arial" w:hAnsi="Arial"/>
          <w:sz w:val="17"/>
          <w:szCs w:val="17"/>
          <w:b w:val="1"/>
          <w:bCs w:val="1"/>
          <w:color w:val="auto"/>
        </w:rPr>
      </w:pPr>
    </w:p>
    <w:p>
      <w:pPr>
        <w:ind w:right="120" w:firstLine="871"/>
        <w:spacing w:after="0" w:line="259" w:lineRule="auto"/>
        <w:tabs>
          <w:tab w:leader="none" w:pos="12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77" w:lineRule="exact"/>
        <w:rPr>
          <w:rFonts w:ascii="Arial" w:cs="Arial" w:eastAsia="Arial" w:hAnsi="Arial"/>
          <w:sz w:val="18"/>
          <w:szCs w:val="18"/>
          <w:b w:val="1"/>
          <w:bCs w:val="1"/>
          <w:color w:val="auto"/>
        </w:rPr>
      </w:pPr>
    </w:p>
    <w:p>
      <w:pPr>
        <w:ind w:right="380" w:firstLine="871"/>
        <w:spacing w:after="0" w:line="263" w:lineRule="auto"/>
        <w:tabs>
          <w:tab w:leader="none" w:pos="124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254" w:name="page255"/>
    <w:bookmarkEnd w:id="254"/>
    <w:p>
      <w:pPr>
        <w:ind w:left="450"/>
        <w:spacing w:after="0"/>
        <w:tabs>
          <w:tab w:leader="none" w:pos="1329"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121" w:lineRule="exact"/>
        <w:rPr>
          <w:sz w:val="20"/>
          <w:szCs w:val="20"/>
          <w:color w:val="auto"/>
        </w:rPr>
      </w:pPr>
    </w:p>
    <w:p>
      <w:pPr>
        <w:ind w:left="10" w:right="20" w:firstLine="871"/>
        <w:spacing w:after="0" w:line="256" w:lineRule="auto"/>
        <w:tabs>
          <w:tab w:leader="none" w:pos="128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w:t>
      </w:r>
    </w:p>
    <w:p>
      <w:pPr>
        <w:spacing w:after="0" w:line="191" w:lineRule="exact"/>
        <w:rPr>
          <w:sz w:val="20"/>
          <w:szCs w:val="20"/>
          <w:color w:val="auto"/>
        </w:rPr>
      </w:pPr>
    </w:p>
    <w:p>
      <w:pPr>
        <w:ind w:left="10" w:right="140"/>
        <w:spacing w:after="0" w:line="341" w:lineRule="auto"/>
        <w:rPr>
          <w:sz w:val="20"/>
          <w:szCs w:val="20"/>
          <w:color w:val="auto"/>
        </w:rPr>
      </w:pPr>
      <w:r>
        <w:rPr>
          <w:rFonts w:ascii="Arial" w:cs="Arial" w:eastAsia="Arial" w:hAnsi="Arial"/>
          <w:sz w:val="16"/>
          <w:szCs w:val="16"/>
          <w:color w:val="auto"/>
        </w:rPr>
        <w:t>At any time or times that the corporation is subject to Section 2115(b) of the California General Corporation Law (“CGCL”), stockholders holding five percent (5%) or more of the outstanding shares shall have the right to call a special meeting of stockholders as set forth in Section 18(b) herein.</w:t>
      </w:r>
    </w:p>
    <w:p>
      <w:pPr>
        <w:spacing w:after="0" w:line="17" w:lineRule="exact"/>
        <w:rPr>
          <w:sz w:val="20"/>
          <w:szCs w:val="20"/>
          <w:color w:val="auto"/>
        </w:rPr>
      </w:pPr>
    </w:p>
    <w:p>
      <w:pPr>
        <w:ind w:left="10" w:right="260" w:firstLine="871"/>
        <w:spacing w:after="0" w:line="285" w:lineRule="auto"/>
        <w:tabs>
          <w:tab w:leader="none" w:pos="129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w:t>
      </w:r>
    </w:p>
    <w:p>
      <w:pPr>
        <w:spacing w:after="0" w:line="1" w:lineRule="exact"/>
        <w:rPr>
          <w:rFonts w:ascii="Arial" w:cs="Arial" w:eastAsia="Arial" w:hAnsi="Arial"/>
          <w:sz w:val="16"/>
          <w:szCs w:val="16"/>
          <w:b w:val="1"/>
          <w:bCs w:val="1"/>
          <w:color w:val="auto"/>
        </w:rPr>
      </w:pPr>
    </w:p>
    <w:p>
      <w:pPr>
        <w:ind w:left="10" w:right="100" w:hanging="10"/>
        <w:spacing w:after="0" w:line="253" w:lineRule="auto"/>
        <w:tabs>
          <w:tab w:leader="none" w:pos="4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88" w:lineRule="exact"/>
        <w:rPr>
          <w:sz w:val="20"/>
          <w:szCs w:val="20"/>
          <w:color w:val="auto"/>
        </w:rPr>
      </w:pPr>
    </w:p>
    <w:p>
      <w:pPr>
        <w:ind w:left="10" w:firstLine="440"/>
        <w:spacing w:after="0" w:line="269"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(Del. Code Ann., tit. 8, §§ 222, 229, 232)</w:t>
      </w:r>
    </w:p>
    <w:p>
      <w:pPr>
        <w:spacing w:after="0" w:line="180" w:lineRule="exact"/>
        <w:rPr>
          <w:sz w:val="20"/>
          <w:szCs w:val="20"/>
          <w:color w:val="auto"/>
        </w:rPr>
      </w:pPr>
    </w:p>
    <w:p>
      <w:pPr>
        <w:ind w:left="10" w:right="280" w:firstLine="440"/>
        <w:spacing w:after="0" w:line="312" w:lineRule="auto"/>
        <w:rPr>
          <w:sz w:val="20"/>
          <w:szCs w:val="20"/>
          <w:color w:val="auto"/>
        </w:rPr>
      </w:pPr>
      <w:r>
        <w:rPr>
          <w:rFonts w:ascii="Arial" w:cs="Arial" w:eastAsia="Arial" w:hAnsi="Arial"/>
          <w:sz w:val="17"/>
          <w:szCs w:val="17"/>
          <w:b w:val="1"/>
          <w:bCs w:val="1"/>
          <w:color w:val="auto"/>
        </w:rPr>
        <w:t xml:space="preserve">Section 8. Quorum. </w:t>
      </w:r>
      <w:r>
        <w:rPr>
          <w:rFonts w:ascii="Arial" w:cs="Arial" w:eastAsia="Arial" w:hAnsi="Arial"/>
          <w:sz w:val="17"/>
          <w:szCs w:val="17"/>
          <w:color w:val="auto"/>
        </w:rPr>
        <w:t>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w:t>
      </w:r>
    </w:p>
    <w:p>
      <w:pPr>
        <w:spacing w:after="0" w:line="7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0" w:right="439" w:bottom="1440" w:gutter="0" w:footer="0" w:header="0"/>
        </w:sectPr>
      </w:pPr>
    </w:p>
    <w:bookmarkStart w:id="255" w:name="page256"/>
    <w:bookmarkEnd w:id="25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(Del. Code Ann., tit. 8, § 216)</w:t>
      </w:r>
    </w:p>
    <w:p>
      <w:pPr>
        <w:spacing w:after="0" w:line="17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(Del. Code Ann., tit. 8, § 222(c))</w:t>
      </w:r>
    </w:p>
    <w:p>
      <w:pPr>
        <w:spacing w:after="0" w:line="187" w:lineRule="exact"/>
        <w:rPr>
          <w:sz w:val="20"/>
          <w:szCs w:val="20"/>
          <w:color w:val="auto"/>
        </w:rPr>
      </w:pPr>
    </w:p>
    <w:p>
      <w:pPr>
        <w:ind w:right="180" w:firstLine="440"/>
        <w:spacing w:after="0" w:line="274" w:lineRule="auto"/>
        <w:rPr>
          <w:sz w:val="20"/>
          <w:szCs w:val="20"/>
          <w:color w:val="auto"/>
        </w:rPr>
      </w:pPr>
      <w:r>
        <w:rPr>
          <w:rFonts w:ascii="Arial" w:cs="Arial" w:eastAsia="Arial" w:hAnsi="Arial"/>
          <w:sz w:val="17"/>
          <w:szCs w:val="17"/>
          <w:b w:val="1"/>
          <w:bCs w:val="1"/>
          <w:color w:val="auto"/>
        </w:rPr>
        <w:t xml:space="preserve">Section 10. Voting Rights. </w:t>
      </w:r>
      <w:r>
        <w:rPr>
          <w:rFonts w:ascii="Arial" w:cs="Arial" w:eastAsia="Arial" w:hAnsi="Arial"/>
          <w:sz w:val="17"/>
          <w:szCs w:val="17"/>
          <w:color w:val="auto"/>
        </w:rPr>
        <w:t>For the purpose of determining those stockholders entitled to vote at any meeting of the stockholders,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(Del. Code Ann., tit. 8, §§ 211(e), 212(b))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256" w:name="page257"/>
    <w:bookmarkEnd w:id="256"/>
    <w:p>
      <w:pPr>
        <w:ind w:firstLine="440"/>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(Del. Code Ann., tit. 8, § 217(b))</w:t>
      </w:r>
    </w:p>
    <w:p>
      <w:pPr>
        <w:spacing w:after="0" w:line="164"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 (Del. Code Ann., tit. 8, § 219)</w:t>
      </w:r>
    </w:p>
    <w:p>
      <w:pPr>
        <w:spacing w:after="0" w:line="16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121" w:lineRule="exact"/>
        <w:rPr>
          <w:sz w:val="20"/>
          <w:szCs w:val="20"/>
          <w:color w:val="auto"/>
        </w:rPr>
      </w:pPr>
    </w:p>
    <w:p>
      <w:pPr>
        <w:ind w:right="120" w:firstLine="871"/>
        <w:spacing w:after="0" w:line="275" w:lineRule="auto"/>
        <w:tabs>
          <w:tab w:leader="none" w:pos="1270"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(Del. Code Ann., tit. 8, § 228)</w:t>
      </w:r>
    </w:p>
    <w:p>
      <w:pPr>
        <w:spacing w:after="0" w:line="67" w:lineRule="exact"/>
        <w:rPr>
          <w:rFonts w:ascii="Arial" w:cs="Arial" w:eastAsia="Arial" w:hAnsi="Arial"/>
          <w:sz w:val="17"/>
          <w:szCs w:val="17"/>
          <w:b w:val="1"/>
          <w:bCs w:val="1"/>
          <w:color w:val="auto"/>
        </w:rPr>
      </w:pPr>
    </w:p>
    <w:p>
      <w:pPr>
        <w:ind w:right="120" w:firstLine="871"/>
        <w:spacing w:after="0" w:line="293" w:lineRule="auto"/>
        <w:tabs>
          <w:tab w:leader="none" w:pos="1280"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(Del. Code Ann., tit. 8, § 228)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0" w:right="439" w:bottom="1440" w:gutter="0" w:footer="0" w:header="0"/>
        </w:sectPr>
      </w:pPr>
    </w:p>
    <w:bookmarkStart w:id="257" w:name="page258"/>
    <w:bookmarkEnd w:id="257"/>
    <w:p>
      <w:pPr>
        <w:ind w:right="20" w:firstLine="871"/>
        <w:spacing w:after="0" w:line="272" w:lineRule="auto"/>
        <w:tabs>
          <w:tab w:leader="none" w:pos="1260"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67" w:lineRule="exact"/>
        <w:rPr>
          <w:rFonts w:ascii="Arial" w:cs="Arial" w:eastAsia="Arial" w:hAnsi="Arial"/>
          <w:sz w:val="17"/>
          <w:szCs w:val="17"/>
          <w:b w:val="1"/>
          <w:bCs w:val="1"/>
          <w:color w:val="auto"/>
        </w:rPr>
      </w:pPr>
    </w:p>
    <w:p>
      <w:pPr>
        <w:ind w:right="80" w:firstLine="871"/>
        <w:spacing w:after="0" w:line="267" w:lineRule="auto"/>
        <w:tabs>
          <w:tab w:leader="none" w:pos="1270"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(Del. Code Ann., tit. 8 § 228(d))</w:t>
      </w:r>
    </w:p>
    <w:p>
      <w:pPr>
        <w:spacing w:after="0" w:line="186"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121" w:lineRule="exact"/>
        <w:rPr>
          <w:sz w:val="20"/>
          <w:szCs w:val="20"/>
          <w:color w:val="auto"/>
        </w:rPr>
      </w:pPr>
    </w:p>
    <w:p>
      <w:pPr>
        <w:ind w:firstLine="871"/>
        <w:spacing w:after="0" w:line="259" w:lineRule="auto"/>
        <w:tabs>
          <w:tab w:leader="none" w:pos="12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58" w:name="page259"/>
    <w:bookmarkEnd w:id="258"/>
    <w:p>
      <w:pPr>
        <w:ind w:right="20" w:firstLine="871"/>
        <w:spacing w:after="0" w:line="269" w:lineRule="auto"/>
        <w:tabs>
          <w:tab w:leader="none" w:pos="1277"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Number and Term of Office</w:t>
      </w:r>
      <w:r>
        <w:rPr>
          <w:rFonts w:ascii="Arial" w:cs="Arial" w:eastAsia="Arial" w:hAnsi="Arial"/>
          <w:sz w:val="16"/>
          <w:szCs w:val="16"/>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authorized number of directors of the corporation shall be fixed by the Board of Directors from time to time.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Directors need not be stockholders unless so required by the Certificate of Incorporation. If for any cause, the directors shall not have been elected at an annual meeting, they may be elected as soon thereafter as convenient. (Del. Code Ann., tit. 8, §§ 141(b), 211(b), (c))</w:t>
      </w:r>
    </w:p>
    <w:p>
      <w:pPr>
        <w:spacing w:after="0" w:line="166"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 (Del. Code Ann., tit. 8, § 141(a))</w:t>
      </w:r>
    </w:p>
    <w:p>
      <w:pPr>
        <w:spacing w:after="0" w:line="16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Term of Directors.</w:t>
      </w:r>
    </w:p>
    <w:p>
      <w:pPr>
        <w:spacing w:after="0" w:line="121" w:lineRule="exact"/>
        <w:rPr>
          <w:sz w:val="20"/>
          <w:szCs w:val="20"/>
          <w:color w:val="auto"/>
        </w:rPr>
      </w:pPr>
    </w:p>
    <w:p>
      <w:pPr>
        <w:ind w:firstLine="871"/>
        <w:spacing w:after="0" w:line="259" w:lineRule="auto"/>
        <w:tabs>
          <w:tab w:leader="none" w:pos="127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to serve until the next annual meeting of stockholders and his successor is duly elected and qualified or until his death, resignation or removal. No decrease in the number of directors constituting the Board of Directors shall shorten the term of any incumbent director.</w:t>
      </w:r>
    </w:p>
    <w:p>
      <w:pPr>
        <w:spacing w:after="0" w:line="77" w:lineRule="exact"/>
        <w:rPr>
          <w:rFonts w:ascii="Arial" w:cs="Arial" w:eastAsia="Arial" w:hAnsi="Arial"/>
          <w:sz w:val="18"/>
          <w:szCs w:val="18"/>
          <w:b w:val="1"/>
          <w:bCs w:val="1"/>
          <w:color w:val="auto"/>
        </w:rPr>
      </w:pPr>
    </w:p>
    <w:p>
      <w:pPr>
        <w:jc w:val="both"/>
        <w:ind w:right="180" w:firstLine="871"/>
        <w:spacing w:after="0" w:line="263" w:lineRule="auto"/>
        <w:tabs>
          <w:tab w:leader="none" w:pos="1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259" w:name="page260"/>
    <w:bookmarkEnd w:id="25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Vacancies.</w:t>
      </w:r>
    </w:p>
    <w:p>
      <w:pPr>
        <w:spacing w:after="0" w:line="121" w:lineRule="exact"/>
        <w:rPr>
          <w:sz w:val="20"/>
          <w:szCs w:val="20"/>
          <w:color w:val="auto"/>
        </w:rPr>
      </w:pPr>
    </w:p>
    <w:p>
      <w:pPr>
        <w:ind w:firstLine="871"/>
        <w:spacing w:after="0" w:line="268" w:lineRule="auto"/>
        <w:tabs>
          <w:tab w:leader="none" w:pos="1270"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 (Del. Code Ann., tit. 8, § 223(a), (b)).</w:t>
      </w:r>
    </w:p>
    <w:p>
      <w:pPr>
        <w:spacing w:after="0" w:line="78" w:lineRule="exact"/>
        <w:rPr>
          <w:rFonts w:ascii="Arial" w:cs="Arial" w:eastAsia="Arial" w:hAnsi="Arial"/>
          <w:sz w:val="17"/>
          <w:szCs w:val="17"/>
          <w:b w:val="1"/>
          <w:bCs w:val="1"/>
          <w:color w:val="auto"/>
        </w:rPr>
      </w:pPr>
    </w:p>
    <w:p>
      <w:pPr>
        <w:ind w:right="200" w:firstLine="871"/>
        <w:spacing w:after="0" w:line="277" w:lineRule="auto"/>
        <w:tabs>
          <w:tab w:leader="none" w:pos="127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61" w:lineRule="exact"/>
        <w:rPr>
          <w:rFonts w:ascii="Arial" w:cs="Arial" w:eastAsia="Arial" w:hAnsi="Arial"/>
          <w:sz w:val="18"/>
          <w:szCs w:val="18"/>
          <w:b w:val="1"/>
          <w:bCs w:val="1"/>
          <w:color w:val="auto"/>
        </w:rPr>
      </w:pPr>
    </w:p>
    <w:p>
      <w:pPr>
        <w:ind w:right="80" w:firstLine="1421"/>
        <w:spacing w:after="0" w:line="277" w:lineRule="auto"/>
        <w:tabs>
          <w:tab w:leader="none" w:pos="178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61" w:lineRule="exact"/>
        <w:rPr>
          <w:rFonts w:ascii="Arial" w:cs="Arial" w:eastAsia="Arial" w:hAnsi="Arial"/>
          <w:sz w:val="18"/>
          <w:szCs w:val="18"/>
          <w:b w:val="1"/>
          <w:bCs w:val="1"/>
          <w:color w:val="auto"/>
        </w:rPr>
      </w:pPr>
    </w:p>
    <w:p>
      <w:pPr>
        <w:ind w:right="80" w:firstLine="1421"/>
        <w:spacing w:after="0" w:line="263" w:lineRule="auto"/>
        <w:tabs>
          <w:tab w:leader="none" w:pos="183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 (CGCL §305(c).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60" w:name="page261"/>
    <w:bookmarkEnd w:id="260"/>
    <w:p>
      <w:pPr>
        <w:ind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 (Del. Code Ann., tit. 8, §§ 141(b), 223(d))</w:t>
      </w:r>
    </w:p>
    <w:p>
      <w:pPr>
        <w:spacing w:after="0" w:line="176"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Removal.</w:t>
      </w:r>
    </w:p>
    <w:p>
      <w:pPr>
        <w:spacing w:after="0" w:line="121" w:lineRule="exact"/>
        <w:rPr>
          <w:sz w:val="20"/>
          <w:szCs w:val="20"/>
          <w:color w:val="auto"/>
        </w:rPr>
      </w:pPr>
    </w:p>
    <w:p>
      <w:pPr>
        <w:ind w:right="60" w:firstLine="871"/>
        <w:spacing w:after="0" w:line="256" w:lineRule="auto"/>
        <w:tabs>
          <w:tab w:leader="none" w:pos="127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elect such director.</w:t>
      </w:r>
    </w:p>
    <w:p>
      <w:pPr>
        <w:spacing w:after="0" w:line="83" w:lineRule="exact"/>
        <w:rPr>
          <w:rFonts w:ascii="Arial" w:cs="Arial" w:eastAsia="Arial" w:hAnsi="Arial"/>
          <w:sz w:val="18"/>
          <w:szCs w:val="18"/>
          <w:b w:val="1"/>
          <w:bCs w:val="1"/>
          <w:color w:val="auto"/>
        </w:rPr>
      </w:pPr>
    </w:p>
    <w:p>
      <w:pPr>
        <w:ind w:right="20" w:firstLine="871"/>
        <w:spacing w:after="0" w:line="273" w:lineRule="auto"/>
        <w:tabs>
          <w:tab w:leader="none" w:pos="1280"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117" w:lineRule="exact"/>
        <w:rPr>
          <w:sz w:val="20"/>
          <w:szCs w:val="20"/>
          <w:color w:val="auto"/>
        </w:rPr>
      </w:pPr>
    </w:p>
    <w:p>
      <w:pPr>
        <w:ind w:right="120" w:firstLine="871"/>
        <w:spacing w:after="0" w:line="258" w:lineRule="auto"/>
        <w:tabs>
          <w:tab w:leader="none" w:pos="127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 (Del. Code Ann., tit. 8, § 141(g))</w:t>
      </w:r>
    </w:p>
    <w:p>
      <w:pPr>
        <w:spacing w:after="0" w:line="74" w:lineRule="exact"/>
        <w:rPr>
          <w:rFonts w:ascii="Arial" w:cs="Arial" w:eastAsia="Arial" w:hAnsi="Arial"/>
          <w:sz w:val="18"/>
          <w:szCs w:val="18"/>
          <w:b w:val="1"/>
          <w:bCs w:val="1"/>
          <w:color w:val="auto"/>
        </w:rPr>
      </w:pPr>
    </w:p>
    <w:p>
      <w:pPr>
        <w:ind w:right="180" w:firstLine="871"/>
        <w:spacing w:after="0" w:line="266" w:lineRule="auto"/>
        <w:tabs>
          <w:tab w:leader="none" w:pos="12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President or any two of the directors (Del. Code Ann., tit. 8, § 141(g))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261" w:name="page262"/>
    <w:bookmarkEnd w:id="261"/>
    <w:p>
      <w:pPr>
        <w:ind w:left="10" w:right="220" w:firstLine="871"/>
        <w:spacing w:after="0" w:line="289" w:lineRule="auto"/>
        <w:tabs>
          <w:tab w:leader="none" w:pos="1269" w:val="left"/>
        </w:tabs>
        <w:numPr>
          <w:ilvl w:val="1"/>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 (Del. Code Ann., tit. 8,</w:t>
      </w:r>
    </w:p>
    <w:p>
      <w:pPr>
        <w:spacing w:after="0" w:line="1" w:lineRule="exact"/>
        <w:rPr>
          <w:rFonts w:ascii="Arial" w:cs="Arial" w:eastAsia="Arial" w:hAnsi="Arial"/>
          <w:sz w:val="16"/>
          <w:szCs w:val="16"/>
          <w:b w:val="1"/>
          <w:bCs w:val="1"/>
          <w:color w:val="auto"/>
        </w:rPr>
      </w:pPr>
    </w:p>
    <w:p>
      <w:pPr>
        <w:ind w:left="130" w:hanging="130"/>
        <w:spacing w:after="0"/>
        <w:tabs>
          <w:tab w:leader="none" w:pos="13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141(i))</w:t>
      </w:r>
    </w:p>
    <w:p>
      <w:pPr>
        <w:spacing w:after="0" w:line="98" w:lineRule="exact"/>
        <w:rPr>
          <w:rFonts w:ascii="Arial" w:cs="Arial" w:eastAsia="Arial" w:hAnsi="Arial"/>
          <w:sz w:val="18"/>
          <w:szCs w:val="18"/>
          <w:color w:val="auto"/>
        </w:rPr>
      </w:pPr>
    </w:p>
    <w:p>
      <w:pPr>
        <w:ind w:left="10" w:firstLine="871"/>
        <w:spacing w:after="0" w:line="272" w:lineRule="auto"/>
        <w:tabs>
          <w:tab w:leader="none" w:pos="1290" w:val="left"/>
        </w:tabs>
        <w:numPr>
          <w:ilvl w:val="1"/>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(Del. Code Ann., tit. 8, § 229)</w:t>
      </w:r>
    </w:p>
    <w:p>
      <w:pPr>
        <w:spacing w:after="0" w:line="67" w:lineRule="exact"/>
        <w:rPr>
          <w:rFonts w:ascii="Arial" w:cs="Arial" w:eastAsia="Arial" w:hAnsi="Arial"/>
          <w:sz w:val="17"/>
          <w:szCs w:val="17"/>
          <w:b w:val="1"/>
          <w:bCs w:val="1"/>
          <w:color w:val="auto"/>
        </w:rPr>
      </w:pPr>
    </w:p>
    <w:p>
      <w:pPr>
        <w:ind w:left="10" w:right="120" w:firstLine="871"/>
        <w:spacing w:after="0" w:line="287" w:lineRule="auto"/>
        <w:tabs>
          <w:tab w:leader="none" w:pos="1269"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(Del. Code Ann., tit. 8,</w:t>
      </w:r>
    </w:p>
    <w:p>
      <w:pPr>
        <w:spacing w:after="0" w:line="1" w:lineRule="exact"/>
        <w:rPr>
          <w:rFonts w:ascii="Arial" w:cs="Arial" w:eastAsia="Arial" w:hAnsi="Arial"/>
          <w:sz w:val="16"/>
          <w:szCs w:val="16"/>
          <w:b w:val="1"/>
          <w:bCs w:val="1"/>
          <w:color w:val="auto"/>
        </w:rPr>
      </w:pPr>
    </w:p>
    <w:p>
      <w:pPr>
        <w:ind w:left="130" w:hanging="130"/>
        <w:spacing w:after="0"/>
        <w:tabs>
          <w:tab w:leader="none" w:pos="13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229)</w:t>
      </w:r>
    </w:p>
    <w:p>
      <w:pPr>
        <w:spacing w:after="0" w:line="206"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121" w:lineRule="exact"/>
        <w:rPr>
          <w:sz w:val="20"/>
          <w:szCs w:val="20"/>
          <w:color w:val="auto"/>
        </w:rPr>
      </w:pPr>
    </w:p>
    <w:p>
      <w:pPr>
        <w:ind w:left="10" w:right="80" w:firstLine="871"/>
        <w:spacing w:after="0" w:line="301" w:lineRule="auto"/>
        <w:tabs>
          <w:tab w:leader="none" w:pos="128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 (Del. Code Ann., tit. 8, § 141(b))</w:t>
      </w:r>
    </w:p>
    <w:p>
      <w:pPr>
        <w:spacing w:after="0" w:line="48" w:lineRule="exact"/>
        <w:rPr>
          <w:rFonts w:ascii="Arial" w:cs="Arial" w:eastAsia="Arial" w:hAnsi="Arial"/>
          <w:sz w:val="16"/>
          <w:szCs w:val="16"/>
          <w:b w:val="1"/>
          <w:bCs w:val="1"/>
          <w:color w:val="auto"/>
        </w:rPr>
      </w:pPr>
    </w:p>
    <w:p>
      <w:pPr>
        <w:ind w:left="10" w:right="140" w:firstLine="871"/>
        <w:spacing w:after="0" w:line="263" w:lineRule="auto"/>
        <w:tabs>
          <w:tab w:leader="none" w:pos="1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 (Del. Code Ann., tit. 8, § 141(b))</w:t>
      </w:r>
    </w:p>
    <w:p>
      <w:pPr>
        <w:spacing w:after="0" w:line="179" w:lineRule="exact"/>
        <w:rPr>
          <w:sz w:val="20"/>
          <w:szCs w:val="20"/>
          <w:color w:val="auto"/>
        </w:rPr>
      </w:pPr>
    </w:p>
    <w:p>
      <w:pPr>
        <w:ind w:left="10" w:right="40" w:firstLine="440"/>
        <w:spacing w:after="0" w:line="297" w:lineRule="auto"/>
        <w:rPr>
          <w:sz w:val="20"/>
          <w:szCs w:val="20"/>
          <w:color w:val="auto"/>
        </w:rPr>
      </w:pPr>
      <w:r>
        <w:rPr>
          <w:rFonts w:ascii="Arial" w:cs="Arial" w:eastAsia="Arial" w:hAnsi="Arial"/>
          <w:sz w:val="16"/>
          <w:szCs w:val="16"/>
          <w:b w:val="1"/>
          <w:bCs w:val="1"/>
          <w:color w:val="auto"/>
        </w:rPr>
        <w:t xml:space="preserve">Section 23. Action Without Meeting. </w:t>
      </w:r>
      <w:r>
        <w:rPr>
          <w:rFonts w:ascii="Arial" w:cs="Arial" w:eastAsia="Arial" w:hAnsi="Arial"/>
          <w:sz w:val="16"/>
          <w:szCs w:val="16"/>
          <w:color w:val="auto"/>
        </w:rPr>
        <w:t>Unless otherwise restricted by the Certificate of Incorporation or these Bylaws, any action required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(Del. Code Ann., tit. 8, § 141(f))</w:t>
      </w:r>
    </w:p>
    <w:p>
      <w:pPr>
        <w:spacing w:after="0" w:line="9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0"/>
          </w:cols>
          <w:pgMar w:left="450" w:top="270" w:right="459" w:bottom="1440" w:gutter="0" w:footer="0" w:header="0"/>
        </w:sectPr>
      </w:pPr>
    </w:p>
    <w:bookmarkStart w:id="262" w:name="page263"/>
    <w:bookmarkEnd w:id="262"/>
    <w:p>
      <w:pPr>
        <w:ind w:left="10" w:right="20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(Del. Code Ann., tit. 8, § 141(h))</w:t>
      </w:r>
    </w:p>
    <w:p>
      <w:pPr>
        <w:spacing w:after="0" w:line="182"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117" w:lineRule="exact"/>
        <w:rPr>
          <w:sz w:val="20"/>
          <w:szCs w:val="20"/>
          <w:color w:val="auto"/>
        </w:rPr>
      </w:pPr>
    </w:p>
    <w:p>
      <w:pPr>
        <w:jc w:val="both"/>
        <w:ind w:left="10" w:firstLine="871"/>
        <w:spacing w:after="0" w:line="287" w:lineRule="auto"/>
        <w:tabs>
          <w:tab w:leader="none" w:pos="1280" w:val="left"/>
        </w:tabs>
        <w:numPr>
          <w:ilvl w:val="1"/>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left="10" w:right="140" w:hanging="10"/>
        <w:spacing w:after="0" w:line="260" w:lineRule="auto"/>
        <w:tabs>
          <w:tab w:leader="none" w:pos="22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 (Del. Code Ann., tit. 8, § 141(c))</w:t>
      </w:r>
    </w:p>
    <w:p>
      <w:pPr>
        <w:spacing w:after="0" w:line="72" w:lineRule="exact"/>
        <w:rPr>
          <w:rFonts w:ascii="Arial" w:cs="Arial" w:eastAsia="Arial" w:hAnsi="Arial"/>
          <w:sz w:val="18"/>
          <w:szCs w:val="18"/>
          <w:color w:val="auto"/>
        </w:rPr>
      </w:pPr>
    </w:p>
    <w:p>
      <w:pPr>
        <w:ind w:left="10" w:right="20" w:firstLine="871"/>
        <w:spacing w:after="0" w:line="280" w:lineRule="auto"/>
        <w:tabs>
          <w:tab w:leader="none" w:pos="1290"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Committees. </w:t>
      </w:r>
      <w:r>
        <w:rPr>
          <w:rFonts w:ascii="Arial" w:cs="Arial" w:eastAsia="Arial" w:hAnsi="Arial"/>
          <w:sz w:val="17"/>
          <w:szCs w:val="17"/>
          <w:color w:val="auto"/>
        </w:rPr>
        <w:t>The Board of Directors may, from time to time, appoint such other committees as may be permitted by law.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(Del. Code Ann., tit. 8, § 141(c))</w:t>
      </w:r>
    </w:p>
    <w:p>
      <w:pPr>
        <w:spacing w:after="0" w:line="166" w:lineRule="exact"/>
        <w:rPr>
          <w:rFonts w:ascii="Arial" w:cs="Arial" w:eastAsia="Arial" w:hAnsi="Arial"/>
          <w:sz w:val="17"/>
          <w:szCs w:val="17"/>
          <w:b w:val="1"/>
          <w:bCs w:val="1"/>
          <w:color w:val="auto"/>
        </w:rPr>
      </w:pPr>
    </w:p>
    <w:p>
      <w:pPr>
        <w:ind w:left="10" w:right="20" w:firstLine="871"/>
        <w:spacing w:after="0" w:line="289" w:lineRule="auto"/>
        <w:tabs>
          <w:tab w:leader="none" w:pos="1269" w:val="left"/>
        </w:tabs>
        <w:numPr>
          <w:ilvl w:val="1"/>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(Del. Code Ann., tit. 8, §141(c))</w:t>
      </w:r>
    </w:p>
    <w:p>
      <w:pPr>
        <w:spacing w:after="0" w:line="101"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30"/>
          </w:cols>
          <w:pgMar w:left="450" w:top="270" w:right="519" w:bottom="1440" w:gutter="0" w:footer="0" w:header="0"/>
        </w:sectPr>
      </w:pPr>
    </w:p>
    <w:bookmarkStart w:id="263" w:name="page264"/>
    <w:bookmarkEnd w:id="263"/>
    <w:p>
      <w:pPr>
        <w:ind w:right="20" w:firstLine="871"/>
        <w:spacing w:after="0" w:line="269" w:lineRule="auto"/>
        <w:tabs>
          <w:tab w:leader="none" w:pos="128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Meetings. </w:t>
      </w:r>
      <w:r>
        <w:rPr>
          <w:rFonts w:ascii="Arial" w:cs="Arial" w:eastAsia="Arial" w:hAnsi="Arial"/>
          <w:sz w:val="17"/>
          <w:szCs w:val="17"/>
          <w:color w:val="auto"/>
        </w:rPr>
        <w:t>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(Del. Code Ann., tit. 8, §§ 141(c), 229)</w:t>
      </w:r>
    </w:p>
    <w:p>
      <w:pPr>
        <w:spacing w:after="0" w:line="177" w:lineRule="exact"/>
        <w:rPr>
          <w:sz w:val="20"/>
          <w:szCs w:val="20"/>
          <w:color w:val="auto"/>
        </w:rPr>
      </w:pPr>
    </w:p>
    <w:p>
      <w:pPr>
        <w:ind w:right="20" w:firstLine="440"/>
        <w:spacing w:after="0" w:line="260" w:lineRule="auto"/>
        <w:rPr>
          <w:sz w:val="20"/>
          <w:szCs w:val="20"/>
          <w:color w:val="auto"/>
        </w:rPr>
      </w:pPr>
      <w:r>
        <w:rPr>
          <w:rFonts w:ascii="Arial" w:cs="Arial" w:eastAsia="Arial" w:hAnsi="Arial"/>
          <w:sz w:val="18"/>
          <w:szCs w:val="18"/>
          <w:b w:val="1"/>
          <w:bCs w:val="1"/>
          <w:color w:val="auto"/>
        </w:rPr>
        <w:t xml:space="preserve">Section 26. Organization. </w:t>
      </w:r>
      <w:r>
        <w:rPr>
          <w:rFonts w:ascii="Arial" w:cs="Arial" w:eastAsia="Arial" w:hAnsi="Arial"/>
          <w:sz w:val="18"/>
          <w:szCs w:val="18"/>
          <w:color w:val="auto"/>
        </w:rPr>
        <w:t>At every meeting of the directors, the Chairman of the Board of Directors, or, if a Chairman has not been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is 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117"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Section 27. Officers Designated. </w:t>
      </w:r>
      <w:r>
        <w:rPr>
          <w:rFonts w:ascii="Arial" w:cs="Arial" w:eastAsia="Arial" w:hAnsi="Arial"/>
          <w:sz w:val="16"/>
          <w:szCs w:val="16"/>
          <w:color w:val="auto"/>
        </w:rPr>
        <w:t>The officers of the corporation shall include, if and when designated by the Board of Directors,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(Del. Code Ann., tit. 8, §§ 122(5), 142(a), (b))</w:t>
      </w:r>
    </w:p>
    <w:p>
      <w:pPr>
        <w:spacing w:after="0" w:line="16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117" w:lineRule="exact"/>
        <w:rPr>
          <w:sz w:val="20"/>
          <w:szCs w:val="20"/>
          <w:color w:val="auto"/>
        </w:rPr>
      </w:pPr>
    </w:p>
    <w:p>
      <w:pPr>
        <w:ind w:firstLine="871"/>
        <w:spacing w:after="0" w:line="314" w:lineRule="auto"/>
        <w:tabs>
          <w:tab w:leader="none" w:pos="127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All officers shall hold office at the pleasure of the Board of Directors and until their successors shall have been duly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(Del. Code Ann., tit. 8, § 141(b), (e))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0" w:right="439" w:bottom="1440" w:gutter="0" w:footer="0" w:header="0"/>
        </w:sectPr>
      </w:pPr>
    </w:p>
    <w:bookmarkStart w:id="264" w:name="page265"/>
    <w:bookmarkEnd w:id="264"/>
    <w:p>
      <w:pPr>
        <w:jc w:val="both"/>
        <w:ind w:firstLine="871"/>
        <w:spacing w:after="0" w:line="258" w:lineRule="auto"/>
        <w:tabs>
          <w:tab w:leader="none" w:pos="1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Duties of Chairman of the Board of Directors. </w:t>
      </w:r>
      <w:r>
        <w:rPr>
          <w:rFonts w:ascii="Arial" w:cs="Arial" w:eastAsia="Arial" w:hAnsi="Arial"/>
          <w:sz w:val="18"/>
          <w:szCs w:val="18"/>
          <w:color w:val="auto"/>
        </w:rPr>
        <w:t>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 (Del. Code Ann., tit. 8, § 142(a))</w:t>
      </w:r>
    </w:p>
    <w:p>
      <w:pPr>
        <w:spacing w:after="0" w:line="74" w:lineRule="exact"/>
        <w:rPr>
          <w:rFonts w:ascii="Arial" w:cs="Arial" w:eastAsia="Arial" w:hAnsi="Arial"/>
          <w:sz w:val="18"/>
          <w:szCs w:val="18"/>
          <w:b w:val="1"/>
          <w:bCs w:val="1"/>
          <w:color w:val="auto"/>
        </w:rPr>
      </w:pPr>
    </w:p>
    <w:p>
      <w:pPr>
        <w:ind w:right="80" w:firstLine="871"/>
        <w:spacing w:after="0" w:line="256" w:lineRule="auto"/>
        <w:tabs>
          <w:tab w:leader="none" w:pos="12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preside at all meetings of the stockholders and at all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 (Del. Code Ann., tit. 8, § 142(a))</w:t>
      </w:r>
    </w:p>
    <w:p>
      <w:pPr>
        <w:spacing w:after="0" w:line="78" w:lineRule="exact"/>
        <w:rPr>
          <w:rFonts w:ascii="Arial" w:cs="Arial" w:eastAsia="Arial" w:hAnsi="Arial"/>
          <w:sz w:val="18"/>
          <w:szCs w:val="18"/>
          <w:b w:val="1"/>
          <w:bCs w:val="1"/>
          <w:color w:val="auto"/>
        </w:rPr>
      </w:pPr>
    </w:p>
    <w:p>
      <w:pPr>
        <w:ind w:right="100" w:firstLine="871"/>
        <w:spacing w:after="0" w:line="260" w:lineRule="auto"/>
        <w:tabs>
          <w:tab w:leader="none" w:pos="1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The Vice Presidents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 (Del. Code Ann., tit. 8, § 142(a))</w:t>
      </w:r>
    </w:p>
    <w:p>
      <w:pPr>
        <w:spacing w:after="0" w:line="74" w:lineRule="exact"/>
        <w:rPr>
          <w:rFonts w:ascii="Arial" w:cs="Arial" w:eastAsia="Arial" w:hAnsi="Arial"/>
          <w:sz w:val="18"/>
          <w:szCs w:val="18"/>
          <w:b w:val="1"/>
          <w:bCs w:val="1"/>
          <w:color w:val="auto"/>
        </w:rPr>
      </w:pPr>
    </w:p>
    <w:p>
      <w:pPr>
        <w:ind w:right="20" w:firstLine="871"/>
        <w:spacing w:after="0" w:line="254" w:lineRule="auto"/>
        <w:tabs>
          <w:tab w:leader="none" w:pos="12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 (Del. Code Ann., tit. 8, § 142(a))</w:t>
      </w:r>
    </w:p>
    <w:p>
      <w:pPr>
        <w:spacing w:after="0" w:line="82" w:lineRule="exact"/>
        <w:rPr>
          <w:rFonts w:ascii="Arial" w:cs="Arial" w:eastAsia="Arial" w:hAnsi="Arial"/>
          <w:sz w:val="18"/>
          <w:szCs w:val="18"/>
          <w:b w:val="1"/>
          <w:bCs w:val="1"/>
          <w:color w:val="auto"/>
        </w:rPr>
      </w:pPr>
    </w:p>
    <w:p>
      <w:pPr>
        <w:ind w:firstLine="871"/>
        <w:spacing w:after="0" w:line="280" w:lineRule="auto"/>
        <w:tabs>
          <w:tab w:leader="none" w:pos="124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Financial Officer. </w:t>
      </w:r>
      <w:r>
        <w:rPr>
          <w:rFonts w:ascii="Arial" w:cs="Arial" w:eastAsia="Arial" w:hAnsi="Arial"/>
          <w:sz w:val="17"/>
          <w:szCs w:val="17"/>
          <w:color w:val="auto"/>
        </w:rPr>
        <w:t>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0" w:right="439" w:bottom="1440" w:gutter="0" w:footer="0" w:header="0"/>
        </w:sectPr>
      </w:pPr>
    </w:p>
    <w:bookmarkStart w:id="265" w:name="page266"/>
    <w:bookmarkEnd w:id="265"/>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 (Del. Code Ann., tit. 8, § 142(a))</w:t>
      </w:r>
    </w:p>
    <w:p>
      <w:pPr>
        <w:spacing w:after="0" w:line="171" w:lineRule="exact"/>
        <w:rPr>
          <w:sz w:val="20"/>
          <w:szCs w:val="20"/>
          <w:color w:val="auto"/>
        </w:rPr>
      </w:pPr>
    </w:p>
    <w:p>
      <w:pPr>
        <w:ind w:right="240" w:firstLine="440"/>
        <w:spacing w:after="0" w:line="281"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3" w:lineRule="exact"/>
        <w:rPr>
          <w:sz w:val="20"/>
          <w:szCs w:val="20"/>
          <w:color w:val="auto"/>
        </w:rPr>
      </w:pPr>
    </w:p>
    <w:p>
      <w:pPr>
        <w:ind w:right="20" w:firstLine="440"/>
        <w:spacing w:after="0" w:line="276" w:lineRule="auto"/>
        <w:rPr>
          <w:sz w:val="20"/>
          <w:szCs w:val="20"/>
          <w:color w:val="auto"/>
        </w:rPr>
      </w:pPr>
      <w:r>
        <w:rPr>
          <w:rFonts w:ascii="Arial" w:cs="Arial" w:eastAsia="Arial" w:hAnsi="Arial"/>
          <w:sz w:val="17"/>
          <w:szCs w:val="17"/>
          <w:b w:val="1"/>
          <w:bCs w:val="1"/>
          <w:color w:val="auto"/>
        </w:rPr>
        <w:t xml:space="preserve">Section 30. Resignations. </w:t>
      </w:r>
      <w:r>
        <w:rPr>
          <w:rFonts w:ascii="Arial" w:cs="Arial" w:eastAsia="Arial" w:hAnsi="Arial"/>
          <w:sz w:val="17"/>
          <w:szCs w:val="17"/>
          <w:color w:val="auto"/>
        </w:rPr>
        <w:t>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(Del. Code Ann., tit. 8, § 142(b))</w:t>
      </w:r>
    </w:p>
    <w:p>
      <w:pPr>
        <w:spacing w:after="0" w:line="17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31. Removal. </w:t>
      </w:r>
      <w:r>
        <w:rPr>
          <w:rFonts w:ascii="Arial" w:cs="Arial" w:eastAsia="Arial" w:hAnsi="Arial"/>
          <w:sz w:val="18"/>
          <w:szCs w:val="18"/>
          <w:color w:val="auto"/>
        </w:rPr>
        <w:t>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consent of the directors in office at the time, or by any committee or superior officers upon whom such power of removal may have been conferred by the Board of Directors.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6"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 xml:space="preserve">Section 32. Execution of Corporate Instruments. </w:t>
      </w:r>
      <w:r>
        <w:rPr>
          <w:rFonts w:ascii="Arial" w:cs="Arial" w:eastAsia="Arial" w:hAnsi="Arial"/>
          <w:sz w:val="16"/>
          <w:szCs w:val="16"/>
          <w:color w:val="auto"/>
        </w:rPr>
        <w:t>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(Del. Code Ann., tit. 8, §§ 103(a), 142(a), 158)</w:t>
      </w:r>
    </w:p>
    <w:p>
      <w:pPr>
        <w:spacing w:after="0" w:line="15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(Del. Code Ann., tit. 8, §§ 103(a), 142(a), 158).</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66" w:name="page267"/>
    <w:bookmarkEnd w:id="266"/>
    <w:p>
      <w:pPr>
        <w:ind w:right="40" w:firstLine="44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 (Del. Code Ann., tit. 8, § 123)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b w:val="1"/>
          <w:bCs w:val="1"/>
          <w:color w:val="auto"/>
        </w:rPr>
        <w:t xml:space="preserve">Section 34. Form and Execution of Certificates. </w:t>
      </w:r>
      <w:r>
        <w:rPr>
          <w:rFonts w:ascii="Arial" w:cs="Arial" w:eastAsia="Arial" w:hAnsi="Arial"/>
          <w:sz w:val="17"/>
          <w:szCs w:val="17"/>
          <w:color w:val="auto"/>
        </w:rPr>
        <w:t>The shares of the corporation shall be represented by certificates, or shall be uncertificated.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(Del. Code Ann., tit. 8, § 158)</w:t>
      </w:r>
    </w:p>
    <w:p>
      <w:pPr>
        <w:spacing w:after="0" w:line="177"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b w:val="1"/>
          <w:bCs w:val="1"/>
          <w:color w:val="auto"/>
        </w:rPr>
        <w:t xml:space="preserve">Section 35. Lost Certificates. </w:t>
      </w:r>
      <w:r>
        <w:rPr>
          <w:rFonts w:ascii="Arial" w:cs="Arial" w:eastAsia="Arial" w:hAnsi="Arial"/>
          <w:sz w:val="16"/>
          <w:szCs w:val="16"/>
          <w:color w:val="auto"/>
        </w:rPr>
        <w:t>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(Del. Code Ann., tit. 8, § 167)</w:t>
      </w:r>
    </w:p>
    <w:p>
      <w:pPr>
        <w:spacing w:after="0" w:line="15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121" w:lineRule="exact"/>
        <w:rPr>
          <w:sz w:val="20"/>
          <w:szCs w:val="20"/>
          <w:color w:val="auto"/>
        </w:rPr>
      </w:pPr>
    </w:p>
    <w:p>
      <w:pPr>
        <w:ind w:right="300" w:firstLine="871"/>
        <w:spacing w:after="0" w:line="263" w:lineRule="auto"/>
        <w:tabs>
          <w:tab w:leader="none" w:pos="1267"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(Del. Code Ann., tit. 8, § 201, tit. 6, § 8- 401(1))</w:t>
      </w:r>
    </w:p>
    <w:p>
      <w:pPr>
        <w:spacing w:after="0" w:line="74" w:lineRule="exact"/>
        <w:rPr>
          <w:rFonts w:ascii="Arial" w:cs="Arial" w:eastAsia="Arial" w:hAnsi="Arial"/>
          <w:sz w:val="18"/>
          <w:szCs w:val="18"/>
          <w:b w:val="1"/>
          <w:bCs w:val="1"/>
          <w:color w:val="auto"/>
        </w:rPr>
      </w:pPr>
    </w:p>
    <w:p>
      <w:pPr>
        <w:ind w:firstLine="871"/>
        <w:spacing w:after="0" w:line="263" w:lineRule="auto"/>
        <w:tabs>
          <w:tab w:leader="none" w:pos="1277"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(Del. Code Ann., tit. 8, § 160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0" w:right="439" w:bottom="1440" w:gutter="0" w:footer="0" w:header="0"/>
        </w:sectPr>
      </w:pPr>
    </w:p>
    <w:bookmarkStart w:id="267" w:name="page268"/>
    <w:bookmarkEnd w:id="267"/>
    <w:p>
      <w:pPr>
        <w:ind w:left="420"/>
        <w:spacing w:after="0"/>
        <w:tabs>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121" w:lineRule="exact"/>
        <w:rPr>
          <w:sz w:val="20"/>
          <w:szCs w:val="20"/>
          <w:color w:val="auto"/>
        </w:rPr>
      </w:pPr>
    </w:p>
    <w:p>
      <w:pPr>
        <w:ind w:left="-20" w:firstLine="871"/>
        <w:spacing w:after="0" w:line="271" w:lineRule="auto"/>
        <w:tabs>
          <w:tab w:leader="none" w:pos="1250"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68" w:lineRule="exact"/>
        <w:rPr>
          <w:rFonts w:ascii="Arial" w:cs="Arial" w:eastAsia="Arial" w:hAnsi="Arial"/>
          <w:sz w:val="17"/>
          <w:szCs w:val="17"/>
          <w:b w:val="1"/>
          <w:bCs w:val="1"/>
          <w:color w:val="auto"/>
        </w:rPr>
      </w:pPr>
    </w:p>
    <w:p>
      <w:pPr>
        <w:ind w:left="-20" w:right="40" w:firstLine="871"/>
        <w:spacing w:after="0" w:line="268" w:lineRule="auto"/>
        <w:tabs>
          <w:tab w:leader="none" w:pos="1260"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73" w:lineRule="exact"/>
        <w:rPr>
          <w:rFonts w:ascii="Arial" w:cs="Arial" w:eastAsia="Arial" w:hAnsi="Arial"/>
          <w:sz w:val="17"/>
          <w:szCs w:val="17"/>
          <w:b w:val="1"/>
          <w:bCs w:val="1"/>
          <w:color w:val="auto"/>
        </w:rPr>
      </w:pPr>
    </w:p>
    <w:p>
      <w:pPr>
        <w:ind w:left="-20" w:firstLine="871"/>
        <w:spacing w:after="0" w:line="279" w:lineRule="auto"/>
        <w:tabs>
          <w:tab w:leader="none" w:pos="1240"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80" w:top="270" w:right="459" w:bottom="1440" w:gutter="0" w:footer="0" w:header="0"/>
        </w:sectPr>
      </w:pPr>
    </w:p>
    <w:bookmarkStart w:id="268" w:name="page269"/>
    <w:bookmarkEnd w:id="268"/>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If no record date is fixed, the record date for determining stockholders for any such purpose shall be at the close of business on the day on which the Board of Directors adopts the resolution relating thereto. (Del. Code Ann., tit. 8, § 213)</w:t>
      </w:r>
    </w:p>
    <w:p>
      <w:pPr>
        <w:spacing w:after="0" w:line="166"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b w:val="1"/>
          <w:bCs w:val="1"/>
          <w:color w:val="auto"/>
        </w:rPr>
        <w:t xml:space="preserve">Section 38.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(Del. Code Ann., tit. 8, §§ 213(a), 219)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b w:val="1"/>
          <w:bCs w:val="1"/>
          <w:color w:val="auto"/>
        </w:rPr>
        <w:t xml:space="preserve">Section 39. Execution of Other Securities. </w:t>
      </w:r>
      <w:r>
        <w:rPr>
          <w:rFonts w:ascii="Arial" w:cs="Arial" w:eastAsia="Arial" w:hAnsi="Arial"/>
          <w:sz w:val="17"/>
          <w:szCs w:val="17"/>
          <w:color w:val="auto"/>
        </w:rPr>
        <w:t>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0" w:firstLine="440"/>
        <w:spacing w:after="0" w:line="260" w:lineRule="auto"/>
        <w:rPr>
          <w:sz w:val="20"/>
          <w:szCs w:val="20"/>
          <w:color w:val="auto"/>
        </w:rPr>
      </w:pPr>
      <w:r>
        <w:rPr>
          <w:rFonts w:ascii="Arial" w:cs="Arial" w:eastAsia="Arial" w:hAnsi="Arial"/>
          <w:sz w:val="18"/>
          <w:szCs w:val="18"/>
          <w:b w:val="1"/>
          <w:bCs w:val="1"/>
          <w:color w:val="auto"/>
        </w:rPr>
        <w:t xml:space="preserve">Section 40. Declaration of Dividends. </w:t>
      </w:r>
      <w:r>
        <w:rPr>
          <w:rFonts w:ascii="Arial" w:cs="Arial" w:eastAsia="Arial" w:hAnsi="Arial"/>
          <w:sz w:val="18"/>
          <w:szCs w:val="18"/>
          <w:color w:val="auto"/>
        </w:rPr>
        <w:t>Dividends upon the capital stock of the corporation, subject to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 (Del. Code Ann., tit. 8, §§ 170, 173)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4" w:right="439" w:bottom="1440" w:gutter="0" w:footer="0" w:header="0"/>
        </w:sectPr>
      </w:pPr>
    </w:p>
    <w:bookmarkStart w:id="269" w:name="page270"/>
    <w:bookmarkEnd w:id="269"/>
    <w:p>
      <w:pPr>
        <w:ind w:right="1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(Del. Code Ann., tit. 8, § 171)</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117" w:lineRule="exact"/>
        <w:rPr>
          <w:sz w:val="20"/>
          <w:szCs w:val="20"/>
          <w:color w:val="auto"/>
        </w:rPr>
      </w:pPr>
    </w:p>
    <w:p>
      <w:pPr>
        <w:ind w:firstLine="871"/>
        <w:spacing w:after="0" w:line="255" w:lineRule="auto"/>
        <w:tabs>
          <w:tab w:leader="none" w:pos="127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Officers. </w:t>
      </w:r>
      <w:r>
        <w:rPr>
          <w:rFonts w:ascii="Arial" w:cs="Arial" w:eastAsia="Arial" w:hAnsi="Arial"/>
          <w:sz w:val="18"/>
          <w:szCs w:val="18"/>
          <w:color w:val="auto"/>
        </w:rPr>
        <w:t>The corporation shall indemnify its directors and officers to the fullest extent not prohibited by the DGCL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79" w:lineRule="exact"/>
        <w:rPr>
          <w:rFonts w:ascii="Arial" w:cs="Arial" w:eastAsia="Arial" w:hAnsi="Arial"/>
          <w:sz w:val="18"/>
          <w:szCs w:val="18"/>
          <w:b w:val="1"/>
          <w:bCs w:val="1"/>
          <w:color w:val="auto"/>
        </w:rPr>
      </w:pPr>
    </w:p>
    <w:p>
      <w:pPr>
        <w:ind w:right="20" w:firstLine="871"/>
        <w:spacing w:after="0" w:line="292" w:lineRule="auto"/>
        <w:tabs>
          <w:tab w:leader="none" w:pos="128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60" w:top="270" w:right="499" w:bottom="1440" w:gutter="0" w:footer="0" w:header="0"/>
        </w:sectPr>
      </w:pPr>
    </w:p>
    <w:bookmarkStart w:id="270" w:name="page271"/>
    <w:bookmarkEnd w:id="270"/>
    <w:p>
      <w:pPr>
        <w:ind w:left="10" w:right="18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47" w:lineRule="exact"/>
        <w:rPr>
          <w:sz w:val="20"/>
          <w:szCs w:val="20"/>
          <w:color w:val="auto"/>
        </w:rPr>
      </w:pPr>
    </w:p>
    <w:p>
      <w:pPr>
        <w:ind w:left="10" w:right="60"/>
        <w:spacing w:after="0" w:line="287" w:lineRule="auto"/>
        <w:rPr>
          <w:sz w:val="20"/>
          <w:szCs w:val="20"/>
          <w:color w:val="auto"/>
        </w:rPr>
      </w:pPr>
      <w:r>
        <w:rPr>
          <w:rFonts w:ascii="Arial" w:cs="Arial" w:eastAsia="Arial" w:hAnsi="Arial"/>
          <w:sz w:val="16"/>
          <w:szCs w:val="16"/>
          <w:color w:val="auto"/>
        </w:rPr>
        <w:t>Notwithstanding the foregoing, unless otherwise determined pursuant to paragraph (e) of this Bylaw,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w:t>
      </w:r>
    </w:p>
    <w:p>
      <w:pPr>
        <w:spacing w:after="0" w:line="2" w:lineRule="exact"/>
        <w:rPr>
          <w:sz w:val="20"/>
          <w:szCs w:val="20"/>
          <w:color w:val="auto"/>
        </w:rPr>
      </w:pPr>
    </w:p>
    <w:p>
      <w:pPr>
        <w:ind w:left="10" w:right="40" w:hanging="10"/>
        <w:spacing w:after="0" w:line="252" w:lineRule="auto"/>
        <w:tabs>
          <w:tab w:leader="none" w:pos="2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82" w:lineRule="exact"/>
        <w:rPr>
          <w:rFonts w:ascii="Arial" w:cs="Arial" w:eastAsia="Arial" w:hAnsi="Arial"/>
          <w:sz w:val="18"/>
          <w:szCs w:val="18"/>
          <w:color w:val="auto"/>
        </w:rPr>
      </w:pPr>
    </w:p>
    <w:p>
      <w:pPr>
        <w:ind w:left="10" w:firstLine="871"/>
        <w:spacing w:after="0" w:line="285" w:lineRule="auto"/>
        <w:tabs>
          <w:tab w:leader="none" w:pos="1269" w:val="left"/>
        </w:tabs>
        <w:numPr>
          <w:ilvl w:val="1"/>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under this Bylaw shall be deemed to be contractual rights and be effective to the same extent and as if provided for in a contract between the corporation and the director or officer. Any right to indemnification or advances granted by this Bylaw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Article XI or otherwise shall be on the corporation.</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70"/>
          </w:cols>
          <w:pgMar w:left="450" w:top="274" w:right="479" w:bottom="1440" w:gutter="0" w:footer="0" w:header="0"/>
        </w:sectPr>
      </w:pPr>
    </w:p>
    <w:bookmarkStart w:id="271" w:name="page272"/>
    <w:bookmarkEnd w:id="271"/>
    <w:p>
      <w:pPr>
        <w:ind w:firstLine="871"/>
        <w:spacing w:after="0" w:line="276" w:lineRule="auto"/>
        <w:tabs>
          <w:tab w:leader="none" w:pos="128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63" w:lineRule="exact"/>
        <w:rPr>
          <w:rFonts w:ascii="Arial" w:cs="Arial" w:eastAsia="Arial" w:hAnsi="Arial"/>
          <w:sz w:val="17"/>
          <w:szCs w:val="17"/>
          <w:b w:val="1"/>
          <w:bCs w:val="1"/>
          <w:color w:val="auto"/>
        </w:rPr>
      </w:pPr>
    </w:p>
    <w:p>
      <w:pPr>
        <w:ind w:right="280" w:firstLine="871"/>
        <w:spacing w:after="0" w:line="312" w:lineRule="auto"/>
        <w:tabs>
          <w:tab w:leader="none" w:pos="12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Rights. </w:t>
      </w:r>
      <w:r>
        <w:rPr>
          <w:rFonts w:ascii="Arial" w:cs="Arial" w:eastAsia="Arial" w:hAnsi="Arial"/>
          <w:sz w:val="17"/>
          <w:szCs w:val="17"/>
          <w:color w:val="auto"/>
        </w:rPr>
        <w:t>The rights conferred on any person by this Bylaw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employee or other agent and shall inure to the benefit of the heirs, executors and administrators of such a person.</w:t>
      </w:r>
    </w:p>
    <w:p>
      <w:pPr>
        <w:spacing w:after="0" w:line="31" w:lineRule="exact"/>
        <w:rPr>
          <w:rFonts w:ascii="Arial" w:cs="Arial" w:eastAsia="Arial" w:hAnsi="Arial"/>
          <w:sz w:val="17"/>
          <w:szCs w:val="17"/>
          <w:b w:val="1"/>
          <w:bCs w:val="1"/>
          <w:color w:val="auto"/>
        </w:rPr>
      </w:pPr>
    </w:p>
    <w:p>
      <w:pPr>
        <w:ind w:right="200" w:firstLine="871"/>
        <w:spacing w:after="0" w:line="281" w:lineRule="auto"/>
        <w:tabs>
          <w:tab w:leader="none" w:pos="12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54" w:lineRule="exact"/>
        <w:rPr>
          <w:rFonts w:ascii="Arial" w:cs="Arial" w:eastAsia="Arial" w:hAnsi="Arial"/>
          <w:sz w:val="18"/>
          <w:szCs w:val="18"/>
          <w:b w:val="1"/>
          <w:bCs w:val="1"/>
          <w:color w:val="auto"/>
        </w:rPr>
      </w:pPr>
    </w:p>
    <w:p>
      <w:pPr>
        <w:ind w:right="220" w:firstLine="871"/>
        <w:spacing w:after="0" w:line="347" w:lineRule="auto"/>
        <w:tabs>
          <w:tab w:leader="none" w:pos="127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repeal or modification of this Bylaw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7" w:lineRule="exact"/>
        <w:rPr>
          <w:rFonts w:ascii="Arial" w:cs="Arial" w:eastAsia="Arial" w:hAnsi="Arial"/>
          <w:sz w:val="16"/>
          <w:szCs w:val="16"/>
          <w:b w:val="1"/>
          <w:bCs w:val="1"/>
          <w:color w:val="auto"/>
        </w:rPr>
      </w:pPr>
    </w:p>
    <w:p>
      <w:pPr>
        <w:jc w:val="both"/>
        <w:ind w:right="40" w:firstLine="871"/>
        <w:spacing w:after="0" w:line="280" w:lineRule="auto"/>
        <w:tabs>
          <w:tab w:leader="none" w:pos="128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officer to the full extent under applicable law.</w:t>
      </w:r>
    </w:p>
    <w:p>
      <w:pPr>
        <w:spacing w:after="0" w:line="59" w:lineRule="exact"/>
        <w:rPr>
          <w:rFonts w:ascii="Arial" w:cs="Arial" w:eastAsia="Arial" w:hAnsi="Arial"/>
          <w:sz w:val="17"/>
          <w:szCs w:val="17"/>
          <w:b w:val="1"/>
          <w:bCs w:val="1"/>
          <w:color w:val="auto"/>
        </w:rPr>
      </w:pPr>
    </w:p>
    <w:p>
      <w:pPr>
        <w:ind w:left="1220" w:hanging="349"/>
        <w:spacing w:after="0"/>
        <w:tabs>
          <w:tab w:leader="none" w:pos="122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120" w:lineRule="exact"/>
        <w:rPr>
          <w:rFonts w:ascii="Arial" w:cs="Arial" w:eastAsia="Arial" w:hAnsi="Arial"/>
          <w:sz w:val="18"/>
          <w:szCs w:val="18"/>
          <w:b w:val="1"/>
          <w:bCs w:val="1"/>
          <w:color w:val="auto"/>
        </w:rPr>
      </w:pPr>
    </w:p>
    <w:p>
      <w:pPr>
        <w:jc w:val="both"/>
        <w:ind w:right="700" w:firstLine="1421"/>
        <w:spacing w:after="0" w:line="263" w:lineRule="auto"/>
        <w:tabs>
          <w:tab w:leader="none" w:pos="1817"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4" w:lineRule="exact"/>
        <w:rPr>
          <w:rFonts w:ascii="Arial" w:cs="Arial" w:eastAsia="Arial" w:hAnsi="Arial"/>
          <w:sz w:val="18"/>
          <w:szCs w:val="18"/>
          <w:b w:val="1"/>
          <w:bCs w:val="1"/>
          <w:color w:val="auto"/>
        </w:rPr>
      </w:pPr>
    </w:p>
    <w:p>
      <w:pPr>
        <w:ind w:right="60" w:firstLine="1421"/>
        <w:spacing w:after="0" w:line="341" w:lineRule="auto"/>
        <w:tabs>
          <w:tab w:leader="none" w:pos="1817" w:val="left"/>
        </w:tabs>
        <w:numPr>
          <w:ilvl w:val="1"/>
          <w:numId w:val="181"/>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6" w:lineRule="exact"/>
        <w:rPr>
          <w:rFonts w:ascii="Arial" w:cs="Arial" w:eastAsia="Arial" w:hAnsi="Arial"/>
          <w:sz w:val="16"/>
          <w:szCs w:val="16"/>
          <w:b w:val="1"/>
          <w:bCs w:val="1"/>
          <w:color w:val="auto"/>
        </w:rPr>
      </w:pPr>
    </w:p>
    <w:p>
      <w:pPr>
        <w:ind w:right="20" w:firstLine="1421"/>
        <w:spacing w:after="0" w:line="263" w:lineRule="auto"/>
        <w:tabs>
          <w:tab w:leader="none" w:pos="1817"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272" w:name="page273"/>
    <w:bookmarkEnd w:id="272"/>
    <w:p>
      <w:pPr>
        <w:ind w:left="1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78" w:lineRule="exact"/>
        <w:rPr>
          <w:sz w:val="20"/>
          <w:szCs w:val="20"/>
          <w:color w:val="auto"/>
        </w:rPr>
      </w:pPr>
    </w:p>
    <w:p>
      <w:pPr>
        <w:ind w:left="10" w:right="80" w:firstLine="871"/>
        <w:spacing w:after="0" w:line="263" w:lineRule="auto"/>
        <w:tabs>
          <w:tab w:leader="none" w:pos="128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4" w:lineRule="exact"/>
        <w:rPr>
          <w:rFonts w:ascii="Arial" w:cs="Arial" w:eastAsia="Arial" w:hAnsi="Arial"/>
          <w:sz w:val="18"/>
          <w:szCs w:val="18"/>
          <w:b w:val="1"/>
          <w:bCs w:val="1"/>
          <w:color w:val="auto"/>
        </w:rPr>
      </w:pPr>
    </w:p>
    <w:p>
      <w:pPr>
        <w:ind w:left="10" w:right="20" w:firstLine="871"/>
        <w:spacing w:after="0" w:line="255" w:lineRule="auto"/>
        <w:tabs>
          <w:tab w:leader="none" w:pos="128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200" w:lineRule="exact"/>
        <w:rPr>
          <w:sz w:val="20"/>
          <w:szCs w:val="20"/>
          <w:color w:val="auto"/>
        </w:rPr>
      </w:pPr>
    </w:p>
    <w:p>
      <w:pPr>
        <w:spacing w:after="0" w:line="203"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117" w:lineRule="exact"/>
        <w:rPr>
          <w:sz w:val="20"/>
          <w:szCs w:val="20"/>
          <w:color w:val="auto"/>
        </w:rPr>
      </w:pPr>
    </w:p>
    <w:p>
      <w:pPr>
        <w:ind w:left="10" w:firstLine="871"/>
        <w:spacing w:after="0" w:line="287" w:lineRule="auto"/>
        <w:tabs>
          <w:tab w:leader="none" w:pos="1280" w:val="left"/>
        </w:tabs>
        <w:numPr>
          <w:ilvl w:val="1"/>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Stockholders. </w:t>
      </w:r>
      <w:r>
        <w:rPr>
          <w:rFonts w:ascii="Arial" w:cs="Arial" w:eastAsia="Arial" w:hAnsi="Arial"/>
          <w:sz w:val="16"/>
          <w:szCs w:val="16"/>
          <w:color w:val="auto"/>
        </w:rPr>
        <w:t>Written notice to stockholders of stockholder meetings shall be given as provided in Section 7 herein.</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 (Del. Code Ann., tit. 8,</w:t>
      </w:r>
    </w:p>
    <w:p>
      <w:pPr>
        <w:spacing w:after="0" w:line="1" w:lineRule="exact"/>
        <w:rPr>
          <w:rFonts w:ascii="Arial" w:cs="Arial" w:eastAsia="Arial" w:hAnsi="Arial"/>
          <w:sz w:val="16"/>
          <w:szCs w:val="16"/>
          <w:b w:val="1"/>
          <w:bCs w:val="1"/>
          <w:color w:val="auto"/>
        </w:rPr>
      </w:pPr>
    </w:p>
    <w:p>
      <w:pPr>
        <w:ind w:left="230" w:hanging="230"/>
        <w:spacing w:after="0"/>
        <w:tabs>
          <w:tab w:leader="none" w:pos="2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222, 232)</w:t>
      </w:r>
    </w:p>
    <w:p>
      <w:pPr>
        <w:spacing w:after="0" w:line="98" w:lineRule="exact"/>
        <w:rPr>
          <w:rFonts w:ascii="Arial" w:cs="Arial" w:eastAsia="Arial" w:hAnsi="Arial"/>
          <w:sz w:val="18"/>
          <w:szCs w:val="18"/>
          <w:color w:val="auto"/>
        </w:rPr>
      </w:pPr>
    </w:p>
    <w:p>
      <w:pPr>
        <w:ind w:left="10" w:right="120" w:firstLine="871"/>
        <w:spacing w:after="0" w:line="288" w:lineRule="auto"/>
        <w:tabs>
          <w:tab w:leader="none" w:pos="1290"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Directors. </w:t>
      </w:r>
      <w:r>
        <w:rPr>
          <w:rFonts w:ascii="Arial" w:cs="Arial" w:eastAsia="Arial" w:hAnsi="Arial"/>
          <w:sz w:val="17"/>
          <w:szCs w:val="17"/>
          <w:color w:val="auto"/>
        </w:rPr>
        <w:t>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51" w:lineRule="exact"/>
        <w:rPr>
          <w:rFonts w:ascii="Arial" w:cs="Arial" w:eastAsia="Arial" w:hAnsi="Arial"/>
          <w:sz w:val="17"/>
          <w:szCs w:val="17"/>
          <w:b w:val="1"/>
          <w:bCs w:val="1"/>
          <w:color w:val="auto"/>
        </w:rPr>
      </w:pPr>
    </w:p>
    <w:p>
      <w:pPr>
        <w:jc w:val="both"/>
        <w:ind w:left="10" w:firstLine="871"/>
        <w:spacing w:after="0" w:line="280" w:lineRule="auto"/>
        <w:tabs>
          <w:tab w:leader="none" w:pos="1269"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Affidavit of Mailing. </w:t>
      </w:r>
      <w:r>
        <w:rPr>
          <w:rFonts w:ascii="Arial" w:cs="Arial" w:eastAsia="Arial" w:hAnsi="Arial"/>
          <w:sz w:val="17"/>
          <w:szCs w:val="17"/>
          <w:color w:val="auto"/>
        </w:rPr>
        <w:t>An affidavit of mailing, executed by a duly authorized and competent employee of the corporation or its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(Del. Code Ann., tit. 8, § 222)</w:t>
      </w:r>
    </w:p>
    <w:p>
      <w:pPr>
        <w:spacing w:after="0" w:line="10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70"/>
          </w:cols>
          <w:pgMar w:left="450" w:top="274" w:right="479" w:bottom="1440" w:gutter="0" w:footer="0" w:header="0"/>
        </w:sectPr>
      </w:pPr>
    </w:p>
    <w:bookmarkStart w:id="273" w:name="page274"/>
    <w:bookmarkEnd w:id="273"/>
    <w:p>
      <w:pPr>
        <w:jc w:val="both"/>
        <w:ind w:right="80" w:firstLine="871"/>
        <w:spacing w:after="0" w:line="266" w:lineRule="auto"/>
        <w:tabs>
          <w:tab w:leader="none" w:pos="12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67" w:lineRule="exact"/>
        <w:rPr>
          <w:rFonts w:ascii="Arial" w:cs="Arial" w:eastAsia="Arial" w:hAnsi="Arial"/>
          <w:sz w:val="18"/>
          <w:szCs w:val="18"/>
          <w:b w:val="1"/>
          <w:bCs w:val="1"/>
          <w:color w:val="auto"/>
        </w:rPr>
      </w:pPr>
    </w:p>
    <w:p>
      <w:pPr>
        <w:ind w:firstLine="871"/>
        <w:spacing w:after="0" w:line="272" w:lineRule="auto"/>
        <w:tabs>
          <w:tab w:leader="none" w:pos="126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67" w:lineRule="exact"/>
        <w:rPr>
          <w:rFonts w:ascii="Arial" w:cs="Arial" w:eastAsia="Arial" w:hAnsi="Arial"/>
          <w:sz w:val="17"/>
          <w:szCs w:val="17"/>
          <w:b w:val="1"/>
          <w:bCs w:val="1"/>
          <w:color w:val="auto"/>
        </w:rPr>
      </w:pPr>
    </w:p>
    <w:p>
      <w:pPr>
        <w:ind w:right="40" w:firstLine="871"/>
        <w:spacing w:after="0" w:line="276" w:lineRule="auto"/>
        <w:tabs>
          <w:tab w:leader="none" w:pos="124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45. Amendments. </w:t>
      </w:r>
      <w:r>
        <w:rPr>
          <w:rFonts w:ascii="Arial" w:cs="Arial" w:eastAsia="Arial" w:hAnsi="Arial"/>
          <w:sz w:val="18"/>
          <w:szCs w:val="18"/>
          <w:color w:val="auto"/>
        </w:rPr>
        <w:t>The Board of Directors is expressly empowered to adopt, amend or repeal Bylaws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shall also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0" w:right="45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46. Loans to Officers. </w:t>
      </w:r>
      <w:r>
        <w:rPr>
          <w:rFonts w:ascii="Arial" w:cs="Arial" w:eastAsia="Arial" w:hAnsi="Arial"/>
          <w:sz w:val="18"/>
          <w:szCs w:val="18"/>
          <w:color w:val="auto"/>
        </w:rPr>
        <w:t>Except as otherwise prohibited under applicable law, the corporation may lend money to, or guarantee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(Del. Code Ann., tit. 8, §143)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color w:val="auto"/>
        </w:rPr>
        <w:t>Annual Report</w:t>
      </w:r>
      <w:r>
        <w:rPr>
          <w:rFonts w:ascii="Arial" w:cs="Arial" w:eastAsia="Arial" w:hAnsi="Arial"/>
          <w:sz w:val="16"/>
          <w:szCs w:val="16"/>
          <w:color w:val="auto"/>
        </w:rPr>
        <w:t>.</w:t>
      </w:r>
    </w:p>
    <w:p>
      <w:pPr>
        <w:spacing w:after="0" w:line="121" w:lineRule="exact"/>
        <w:rPr>
          <w:sz w:val="20"/>
          <w:szCs w:val="20"/>
          <w:color w:val="auto"/>
        </w:rPr>
      </w:pPr>
    </w:p>
    <w:p>
      <w:pPr>
        <w:ind w:right="100" w:firstLine="871"/>
        <w:spacing w:after="0" w:line="270" w:lineRule="auto"/>
        <w:tabs>
          <w:tab w:leader="none" w:pos="1270" w:val="left"/>
        </w:tabs>
        <w:numPr>
          <w:ilvl w:val="0"/>
          <w:numId w:val="186"/>
        </w:numPr>
        <w:rPr>
          <w:rFonts w:ascii="Arial" w:cs="Arial" w:eastAsia="Arial" w:hAnsi="Arial"/>
          <w:sz w:val="17"/>
          <w:szCs w:val="17"/>
          <w:b w:val="1"/>
          <w:bCs w:val="1"/>
          <w:color w:val="auto"/>
        </w:rPr>
      </w:pPr>
      <w:r>
        <w:rPr>
          <w:rFonts w:ascii="Arial" w:cs="Arial" w:eastAsia="Arial" w:hAnsi="Arial"/>
          <w:sz w:val="17"/>
          <w:szCs w:val="17"/>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71" w:lineRule="exact"/>
        <w:rPr>
          <w:rFonts w:ascii="Arial" w:cs="Arial" w:eastAsia="Arial" w:hAnsi="Arial"/>
          <w:sz w:val="17"/>
          <w:szCs w:val="17"/>
          <w:b w:val="1"/>
          <w:bCs w:val="1"/>
          <w:color w:val="auto"/>
        </w:rPr>
      </w:pPr>
    </w:p>
    <w:p>
      <w:pPr>
        <w:ind w:right="100" w:firstLine="871"/>
        <w:spacing w:after="0" w:line="277" w:lineRule="auto"/>
        <w:tabs>
          <w:tab w:leader="none" w:pos="128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0" w:right="4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the 16th day of December, 2014,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among </w:t>
      </w: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referred to hereinafter as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 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right="240" w:firstLine="440"/>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Investors are purchasing shares of the Company’s Series C Preferred Stock pursuant to that certain Series C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of even date herewith; (the “</w:t>
      </w:r>
      <w:r>
        <w:rPr>
          <w:rFonts w:ascii="Arial" w:cs="Arial" w:eastAsia="Arial" w:hAnsi="Arial"/>
          <w:sz w:val="18"/>
          <w:szCs w:val="18"/>
          <w:b w:val="1"/>
          <w:bCs w:val="1"/>
          <w:i w:val="1"/>
          <w:iCs w:val="1"/>
          <w:color w:val="auto"/>
        </w:rPr>
        <w:t>Financing</w:t>
      </w:r>
      <w:r>
        <w:rPr>
          <w:rFonts w:ascii="Arial" w:cs="Arial" w:eastAsia="Arial" w:hAnsi="Arial"/>
          <w:sz w:val="18"/>
          <w:szCs w:val="18"/>
          <w:color w:val="auto"/>
        </w:rPr>
        <w: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in the Purchase Agreement are conditioned upon the execution and delivery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the Investors (the “</w:t>
      </w:r>
      <w:r>
        <w:rPr>
          <w:rFonts w:ascii="Arial" w:cs="Arial" w:eastAsia="Arial" w:hAnsi="Arial"/>
          <w:sz w:val="16"/>
          <w:szCs w:val="16"/>
          <w:b w:val="1"/>
          <w:bCs w:val="1"/>
          <w:i w:val="1"/>
          <w:iCs w:val="1"/>
          <w:color w:val="auto"/>
        </w:rPr>
        <w:t>Prior Investors</w:t>
      </w:r>
      <w:r>
        <w:rPr>
          <w:rFonts w:ascii="Arial" w:cs="Arial" w:eastAsia="Arial" w:hAnsi="Arial"/>
          <w:sz w:val="16"/>
          <w:szCs w:val="16"/>
          <w:color w:val="auto"/>
        </w:rPr>
        <w:t>”) are holders of the Company’s Series A Preferred Stock and Series B Preferred Stock;</w:t>
      </w:r>
    </w:p>
    <w:p>
      <w:pPr>
        <w:spacing w:after="0" w:line="248" w:lineRule="exact"/>
        <w:rPr>
          <w:sz w:val="20"/>
          <w:szCs w:val="20"/>
          <w:color w:val="auto"/>
        </w:rPr>
      </w:pPr>
    </w:p>
    <w:p>
      <w:pPr>
        <w:ind w:right="140" w:firstLine="440"/>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Investors and the Company are parties to the Amended and Restated Investor Rights Agreement dated October 1, 2013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3"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the Prior Agreement desire to amend and restate the Prior Agreement and accept the rights and covenants hereof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rights and covenants under the Prior Agreement; and</w:t>
      </w:r>
    </w:p>
    <w:p>
      <w:pPr>
        <w:spacing w:after="0" w:line="163" w:lineRule="exact"/>
        <w:rPr>
          <w:sz w:val="20"/>
          <w:szCs w:val="20"/>
          <w:color w:val="auto"/>
        </w:rPr>
      </w:pPr>
    </w:p>
    <w:p>
      <w:pPr>
        <w:ind w:right="260" w:firstLine="440"/>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consummation of the Financing, the parties desire to enter into this Agreement in order to grant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rights and other rights to the Investors as set forth below.</w:t>
      </w:r>
    </w:p>
    <w:p>
      <w:pPr>
        <w:spacing w:after="0" w:line="163" w:lineRule="exact"/>
        <w:rPr>
          <w:sz w:val="20"/>
          <w:szCs w:val="20"/>
          <w:color w:val="auto"/>
        </w:rPr>
      </w:pPr>
    </w:p>
    <w:p>
      <w:pPr>
        <w:ind w:right="300" w:firstLine="440"/>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these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As used in this Agreement the following terms shall have the following respective meanings:</w:t>
      </w:r>
    </w:p>
    <w:p>
      <w:pPr>
        <w:spacing w:after="0" w:line="121" w:lineRule="exact"/>
        <w:rPr>
          <w:sz w:val="20"/>
          <w:szCs w:val="20"/>
          <w:color w:val="auto"/>
        </w:rPr>
      </w:pPr>
    </w:p>
    <w:p>
      <w:pPr>
        <w:ind w:left="1120" w:hanging="249"/>
        <w:spacing w:after="0"/>
        <w:tabs>
          <w:tab w:leader="none" w:pos="11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16" w:lineRule="exact"/>
        <w:rPr>
          <w:rFonts w:ascii="Arial" w:cs="Arial" w:eastAsia="Arial" w:hAnsi="Arial"/>
          <w:sz w:val="18"/>
          <w:szCs w:val="18"/>
          <w:b w:val="1"/>
          <w:bCs w:val="1"/>
          <w:color w:val="auto"/>
        </w:rPr>
      </w:pPr>
    </w:p>
    <w:p>
      <w:pPr>
        <w:jc w:val="both"/>
        <w:ind w:right="20" w:firstLine="871"/>
        <w:spacing w:after="0" w:line="263" w:lineRule="auto"/>
        <w:tabs>
          <w:tab w:leader="none" w:pos="1145"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 S-3” </w:t>
      </w:r>
      <w:r>
        <w:rPr>
          <w:rFonts w:ascii="Arial" w:cs="Arial" w:eastAsia="Arial" w:hAnsi="Arial"/>
          <w:sz w:val="18"/>
          <w:szCs w:val="18"/>
          <w:color w:val="auto"/>
        </w:rPr>
        <w:t>means such form under the Securities Act as in effect on the date hereof or any successor or similar registration form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Securities Act subsequently adopted by the SEC which permits inclusion or incorporation of substantial information by reference to other documents filed by the Company with the SEC.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60" w:top="121" w:right="439" w:bottom="1440" w:gutter="0" w:footer="0" w:header="0"/>
        </w:sectPr>
      </w:pPr>
    </w:p>
    <w:bookmarkStart w:id="276" w:name="page277"/>
    <w:bookmarkEnd w:id="276"/>
    <w:p>
      <w:pPr>
        <w:ind w:right="240" w:firstLine="871"/>
        <w:spacing w:after="0" w:line="277" w:lineRule="auto"/>
        <w:tabs>
          <w:tab w:leader="none" w:pos="1125"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 </w:t>
      </w:r>
      <w:r>
        <w:rPr>
          <w:rFonts w:ascii="Arial" w:cs="Arial" w:eastAsia="Arial" w:hAnsi="Arial"/>
          <w:sz w:val="18"/>
          <w:szCs w:val="18"/>
          <w:color w:val="auto"/>
        </w:rPr>
        <w:t>means any person owning of record Registrable Securities that have not been sold to the public or any assignee of record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Registrable Securities in accordance with Section 2.9 hereof.</w:t>
      </w:r>
    </w:p>
    <w:p>
      <w:pPr>
        <w:spacing w:after="0" w:line="61" w:lineRule="exact"/>
        <w:rPr>
          <w:rFonts w:ascii="Arial" w:cs="Arial" w:eastAsia="Arial" w:hAnsi="Arial"/>
          <w:sz w:val="18"/>
          <w:szCs w:val="18"/>
          <w:b w:val="1"/>
          <w:bCs w:val="1"/>
          <w:color w:val="auto"/>
        </w:rPr>
      </w:pPr>
    </w:p>
    <w:p>
      <w:pPr>
        <w:ind w:left="1140" w:hanging="269"/>
        <w:spacing w:after="0"/>
        <w:tabs>
          <w:tab w:leader="none" w:pos="114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“Initial Offering” </w:t>
      </w:r>
      <w:r>
        <w:rPr>
          <w:rFonts w:ascii="Arial" w:cs="Arial" w:eastAsia="Arial" w:hAnsi="Arial"/>
          <w:sz w:val="16"/>
          <w:szCs w:val="16"/>
          <w:color w:val="auto"/>
        </w:rPr>
        <w:t>means the Company’s first firm commitment underwritten public offering of its Common Stock registered under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Act.</w:t>
      </w:r>
    </w:p>
    <w:p>
      <w:pPr>
        <w:spacing w:after="0" w:line="102" w:lineRule="exact"/>
        <w:rPr>
          <w:rFonts w:ascii="Arial" w:cs="Arial" w:eastAsia="Arial" w:hAnsi="Arial"/>
          <w:sz w:val="16"/>
          <w:szCs w:val="16"/>
          <w:b w:val="1"/>
          <w:bCs w:val="1"/>
          <w:color w:val="auto"/>
        </w:rPr>
      </w:pPr>
    </w:p>
    <w:p>
      <w:pPr>
        <w:ind w:firstLine="871"/>
        <w:spacing w:after="0" w:line="277" w:lineRule="auto"/>
        <w:tabs>
          <w:tab w:leader="none" w:pos="1125"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“Register,” “registered,”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“registration” </w:t>
      </w:r>
      <w:r>
        <w:rPr>
          <w:rFonts w:ascii="Arial" w:cs="Arial" w:eastAsia="Arial" w:hAnsi="Arial"/>
          <w:sz w:val="18"/>
          <w:szCs w:val="18"/>
          <w:color w:val="auto"/>
        </w:rPr>
        <w:t>refer to a registration effected by preparing and filing a registration statement in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Securities Act, and the declaration or ordering of effectiveness of such registration statement or document.</w:t>
      </w:r>
    </w:p>
    <w:p>
      <w:pPr>
        <w:spacing w:after="0" w:line="61" w:lineRule="exact"/>
        <w:rPr>
          <w:rFonts w:ascii="Arial" w:cs="Arial" w:eastAsia="Arial" w:hAnsi="Arial"/>
          <w:sz w:val="18"/>
          <w:szCs w:val="18"/>
          <w:b w:val="1"/>
          <w:bCs w:val="1"/>
          <w:color w:val="auto"/>
        </w:rPr>
      </w:pPr>
    </w:p>
    <w:p>
      <w:pPr>
        <w:ind w:right="80" w:firstLine="871"/>
        <w:spacing w:after="0" w:line="293" w:lineRule="auto"/>
        <w:tabs>
          <w:tab w:leader="none" w:pos="1105"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“Registrable Securities” </w:t>
      </w:r>
      <w:r>
        <w:rPr>
          <w:rFonts w:ascii="Arial" w:cs="Arial" w:eastAsia="Arial" w:hAnsi="Arial"/>
          <w:sz w:val="16"/>
          <w:szCs w:val="16"/>
          <w:color w:val="auto"/>
        </w:rPr>
        <w:t>means (a) Common Stock of the Company issuable or issued upon conversion of the Shares, (b)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issuable upon exercise of that certain warrant to purchase Common Stock held by Abingworth Bioventures V LP dated as of August 4, 2011, and (c)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or (ii) sold in a private transaction in which the transferor’s rights under Section 2 of this Agreement are not assigned.</w:t>
      </w:r>
    </w:p>
    <w:p>
      <w:pPr>
        <w:spacing w:after="0" w:line="55" w:lineRule="exact"/>
        <w:rPr>
          <w:rFonts w:ascii="Arial" w:cs="Arial" w:eastAsia="Arial" w:hAnsi="Arial"/>
          <w:sz w:val="16"/>
          <w:szCs w:val="16"/>
          <w:b w:val="1"/>
          <w:bCs w:val="1"/>
          <w:color w:val="auto"/>
        </w:rPr>
      </w:pPr>
    </w:p>
    <w:p>
      <w:pPr>
        <w:ind w:right="680" w:firstLine="871"/>
        <w:spacing w:after="0" w:line="341" w:lineRule="auto"/>
        <w:tabs>
          <w:tab w:leader="none" w:pos="1135"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“Registrable Securities then outstanding” </w:t>
      </w:r>
      <w:r>
        <w:rPr>
          <w:rFonts w:ascii="Arial" w:cs="Arial" w:eastAsia="Arial" w:hAnsi="Arial"/>
          <w:sz w:val="16"/>
          <w:szCs w:val="16"/>
          <w:color w:val="auto"/>
        </w:rPr>
        <w:t>shall be the number of shares of the Company’s Common Stock that are Registrable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either (a) are then issued and outstanding or (b) are issuable pursuant to then exercisable or convertible securities.</w:t>
      </w:r>
    </w:p>
    <w:p>
      <w:pPr>
        <w:spacing w:after="0" w:line="16" w:lineRule="exact"/>
        <w:rPr>
          <w:rFonts w:ascii="Arial" w:cs="Arial" w:eastAsia="Arial" w:hAnsi="Arial"/>
          <w:sz w:val="16"/>
          <w:szCs w:val="16"/>
          <w:b w:val="1"/>
          <w:bCs w:val="1"/>
          <w:color w:val="auto"/>
        </w:rPr>
      </w:pPr>
    </w:p>
    <w:p>
      <w:pPr>
        <w:ind w:right="80" w:firstLine="871"/>
        <w:spacing w:after="0" w:line="256" w:lineRule="auto"/>
        <w:tabs>
          <w:tab w:leader="none" w:pos="1145"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“Registration Expenses” </w:t>
      </w:r>
      <w:r>
        <w:rPr>
          <w:rFonts w:ascii="Arial" w:cs="Arial" w:eastAsia="Arial" w:hAnsi="Arial"/>
          <w:sz w:val="18"/>
          <w:szCs w:val="18"/>
          <w:color w:val="auto"/>
        </w:rPr>
        <w:t>shall mean all expenses incurred by the Company in complying with Sections 2.2, 2.3 and 2.4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without limitation, all registration and filing fees, printing expenses, fees and disbursements of counsel for the Company, reasonable fees and disbursements not to exceed seventy-five thousand dollars ($75,000)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83" w:lineRule="exact"/>
        <w:rPr>
          <w:rFonts w:ascii="Arial" w:cs="Arial" w:eastAsia="Arial" w:hAnsi="Arial"/>
          <w:sz w:val="18"/>
          <w:szCs w:val="18"/>
          <w:b w:val="1"/>
          <w:bCs w:val="1"/>
          <w:color w:val="auto"/>
        </w:rPr>
      </w:pPr>
    </w:p>
    <w:p>
      <w:pPr>
        <w:ind w:left="1080" w:hanging="209"/>
        <w:spacing w:after="0"/>
        <w:tabs>
          <w:tab w:leader="none" w:pos="10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“Commission” </w:t>
      </w:r>
      <w:r>
        <w:rPr>
          <w:rFonts w:ascii="Arial" w:cs="Arial" w:eastAsia="Arial" w:hAnsi="Arial"/>
          <w:sz w:val="18"/>
          <w:szCs w:val="18"/>
          <w:color w:val="auto"/>
        </w:rPr>
        <w:t>means the Securities and Exchange Commission.</w:t>
      </w:r>
    </w:p>
    <w:p>
      <w:pPr>
        <w:spacing w:after="0" w:line="116" w:lineRule="exact"/>
        <w:rPr>
          <w:rFonts w:ascii="Arial" w:cs="Arial" w:eastAsia="Arial" w:hAnsi="Arial"/>
          <w:sz w:val="18"/>
          <w:szCs w:val="18"/>
          <w:b w:val="1"/>
          <w:bCs w:val="1"/>
          <w:color w:val="auto"/>
        </w:rPr>
      </w:pPr>
    </w:p>
    <w:p>
      <w:pPr>
        <w:ind w:left="1100" w:hanging="229"/>
        <w:spacing w:after="0"/>
        <w:tabs>
          <w:tab w:leader="none" w:pos="11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116" w:lineRule="exact"/>
        <w:rPr>
          <w:rFonts w:ascii="Arial" w:cs="Arial" w:eastAsia="Arial" w:hAnsi="Arial"/>
          <w:sz w:val="18"/>
          <w:szCs w:val="18"/>
          <w:b w:val="1"/>
          <w:bCs w:val="1"/>
          <w:color w:val="auto"/>
        </w:rPr>
      </w:pPr>
    </w:p>
    <w:p>
      <w:pPr>
        <w:ind w:left="1140" w:hanging="269"/>
        <w:spacing w:after="0"/>
        <w:tabs>
          <w:tab w:leader="none" w:pos="11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shall mean all underwriting discounts and selling commissions applicable to the sale.</w:t>
      </w:r>
    </w:p>
    <w:p>
      <w:pPr>
        <w:spacing w:after="0" w:line="116" w:lineRule="exact"/>
        <w:rPr>
          <w:rFonts w:ascii="Arial" w:cs="Arial" w:eastAsia="Arial" w:hAnsi="Arial"/>
          <w:sz w:val="18"/>
          <w:szCs w:val="18"/>
          <w:b w:val="1"/>
          <w:bCs w:val="1"/>
          <w:color w:val="auto"/>
        </w:rPr>
      </w:pPr>
    </w:p>
    <w:p>
      <w:pPr>
        <w:ind w:left="1080" w:hanging="209"/>
        <w:spacing w:after="0"/>
        <w:tabs>
          <w:tab w:leader="none" w:pos="10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shall mean the Company’s Series A Preferred Stock, par value $0.0001 per share.</w:t>
      </w:r>
    </w:p>
    <w:p>
      <w:pPr>
        <w:spacing w:after="0" w:line="116" w:lineRule="exact"/>
        <w:rPr>
          <w:rFonts w:ascii="Arial" w:cs="Arial" w:eastAsia="Arial" w:hAnsi="Arial"/>
          <w:sz w:val="18"/>
          <w:szCs w:val="18"/>
          <w:b w:val="1"/>
          <w:bCs w:val="1"/>
          <w:color w:val="auto"/>
        </w:rPr>
      </w:pPr>
    </w:p>
    <w:p>
      <w:pPr>
        <w:ind w:left="1180" w:hanging="309"/>
        <w:spacing w:after="0"/>
        <w:tabs>
          <w:tab w:leader="none" w:pos="1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B Preferred Stock” </w:t>
      </w:r>
      <w:r>
        <w:rPr>
          <w:rFonts w:ascii="Arial" w:cs="Arial" w:eastAsia="Arial" w:hAnsi="Arial"/>
          <w:sz w:val="18"/>
          <w:szCs w:val="18"/>
          <w:color w:val="auto"/>
        </w:rPr>
        <w:t>shall mean the Company’s Series B Preferred Stock, par value $0.0001 per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77" w:name="page278"/>
    <w:bookmarkEnd w:id="277"/>
    <w:p>
      <w:pPr>
        <w:ind w:left="1140" w:hanging="269"/>
        <w:spacing w:after="0"/>
        <w:tabs>
          <w:tab w:leader="none" w:pos="11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“Series C Preferred Stock” </w:t>
      </w:r>
      <w:r>
        <w:rPr>
          <w:rFonts w:ascii="Arial" w:cs="Arial" w:eastAsia="Arial" w:hAnsi="Arial"/>
          <w:sz w:val="18"/>
          <w:szCs w:val="18"/>
          <w:color w:val="auto"/>
        </w:rPr>
        <w:t>shall mean the Company’s Series C Preferred Stock, par value $0.0001 per share.</w:t>
      </w:r>
    </w:p>
    <w:p>
      <w:pPr>
        <w:spacing w:after="0" w:line="116" w:lineRule="exact"/>
        <w:rPr>
          <w:rFonts w:ascii="Arial" w:cs="Arial" w:eastAsia="Arial" w:hAnsi="Arial"/>
          <w:sz w:val="18"/>
          <w:szCs w:val="18"/>
          <w:b w:val="1"/>
          <w:bCs w:val="1"/>
          <w:color w:val="auto"/>
        </w:rPr>
      </w:pPr>
    </w:p>
    <w:p>
      <w:pPr>
        <w:ind w:right="380" w:firstLine="871"/>
        <w:spacing w:after="0" w:line="277" w:lineRule="auto"/>
        <w:tabs>
          <w:tab w:leader="none" w:pos="1135"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shall mean shares of the Company’s Series A Preferred Stock, Series B Preferred Stock and Series C Preferred Stock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time to time by the Investors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their permitted assigns.</w:t>
      </w:r>
    </w:p>
    <w:p>
      <w:pPr>
        <w:spacing w:after="0" w:line="61" w:lineRule="exact"/>
        <w:rPr>
          <w:rFonts w:ascii="Arial" w:cs="Arial" w:eastAsia="Arial" w:hAnsi="Arial"/>
          <w:sz w:val="18"/>
          <w:szCs w:val="18"/>
          <w:b w:val="1"/>
          <w:bCs w:val="1"/>
          <w:color w:val="auto"/>
        </w:rPr>
      </w:pPr>
    </w:p>
    <w:p>
      <w:pPr>
        <w:ind w:right="40" w:firstLine="871"/>
        <w:spacing w:after="0" w:line="286" w:lineRule="auto"/>
        <w:tabs>
          <w:tab w:leader="none" w:pos="1145"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“Special Registration Statement” </w:t>
      </w:r>
      <w:r>
        <w:rPr>
          <w:rFonts w:ascii="Arial" w:cs="Arial" w:eastAsia="Arial" w:hAnsi="Arial"/>
          <w:sz w:val="17"/>
          <w:szCs w:val="17"/>
          <w:color w:val="auto"/>
        </w:rPr>
        <w:t>shall mean (i) a registration statement relating to any employee benefit plan or (ii) with respect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REGISTRATION; RESTRICTIONS ON TRANSFER.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Restrictions on Transfer.</w:t>
      </w:r>
    </w:p>
    <w:p>
      <w:pPr>
        <w:spacing w:after="0" w:line="121" w:lineRule="exact"/>
        <w:rPr>
          <w:sz w:val="20"/>
          <w:szCs w:val="20"/>
          <w:color w:val="auto"/>
        </w:rPr>
      </w:pPr>
    </w:p>
    <w:p>
      <w:pPr>
        <w:ind w:left="1120" w:hanging="249"/>
        <w:spacing w:after="0"/>
        <w:tabs>
          <w:tab w:leader="none" w:pos="1120"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Each Holder agrees not to make any disposition of all or any portion of the Shares or Registrable Securities unless and until:</w:t>
      </w:r>
    </w:p>
    <w:p>
      <w:pPr>
        <w:spacing w:after="0" w:line="128" w:lineRule="exact"/>
        <w:rPr>
          <w:rFonts w:ascii="Arial" w:cs="Arial" w:eastAsia="Arial" w:hAnsi="Arial"/>
          <w:sz w:val="17"/>
          <w:szCs w:val="17"/>
          <w:b w:val="1"/>
          <w:bCs w:val="1"/>
          <w:color w:val="auto"/>
        </w:rPr>
      </w:pPr>
    </w:p>
    <w:p>
      <w:pPr>
        <w:ind w:right="60" w:firstLine="1421"/>
        <w:spacing w:after="0" w:line="277" w:lineRule="auto"/>
        <w:tabs>
          <w:tab w:leader="none" w:pos="1646"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61" w:lineRule="exact"/>
        <w:rPr>
          <w:rFonts w:ascii="Arial" w:cs="Arial" w:eastAsia="Arial" w:hAnsi="Arial"/>
          <w:sz w:val="18"/>
          <w:szCs w:val="18"/>
          <w:b w:val="1"/>
          <w:bCs w:val="1"/>
          <w:color w:val="auto"/>
        </w:rPr>
      </w:pPr>
    </w:p>
    <w:p>
      <w:pPr>
        <w:ind w:firstLine="1421"/>
        <w:spacing w:after="0" w:line="254" w:lineRule="auto"/>
        <w:tabs>
          <w:tab w:leader="none" w:pos="1696"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85" w:lineRule="exact"/>
        <w:rPr>
          <w:rFonts w:ascii="Arial" w:cs="Arial" w:eastAsia="Arial" w:hAnsi="Arial"/>
          <w:sz w:val="18"/>
          <w:szCs w:val="18"/>
          <w:b w:val="1"/>
          <w:bCs w:val="1"/>
          <w:color w:val="auto"/>
        </w:rPr>
      </w:pPr>
    </w:p>
    <w:p>
      <w:pPr>
        <w:ind w:right="80" w:firstLine="871"/>
        <w:spacing w:after="0" w:line="255" w:lineRule="auto"/>
        <w:tabs>
          <w:tab w:leader="none" w:pos="1145"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provisions of subsection (a) above, no such restriction shall apply to a transfer by a Holder that is (A) a partnership transferring to its partners or former partners in accordance with partnership interests, (B) a corporation transferring to a wholly-owned subsidiary or a parent corporation that owns all of the capital stock of the Holder, (C) a limited liability company transferring to its members or former members in accordance with their interest in the limited liability company, or (D) an individual transferring to the Holder’s family member or trust for the benefit of an individual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transferee will agree in writing to be subject to the terms of this Agreement to the same extent as if he were an original Holder hereunder.</w:t>
      </w:r>
    </w:p>
    <w:p>
      <w:pPr>
        <w:spacing w:after="0" w:line="83" w:lineRule="exact"/>
        <w:rPr>
          <w:rFonts w:ascii="Arial" w:cs="Arial" w:eastAsia="Arial" w:hAnsi="Arial"/>
          <w:sz w:val="18"/>
          <w:szCs w:val="18"/>
          <w:b w:val="1"/>
          <w:bCs w:val="1"/>
          <w:color w:val="auto"/>
        </w:rPr>
      </w:pPr>
    </w:p>
    <w:p>
      <w:pPr>
        <w:ind w:right="80" w:firstLine="871"/>
        <w:spacing w:after="0" w:line="277" w:lineRule="auto"/>
        <w:tabs>
          <w:tab w:leader="none" w:pos="1125"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78" w:name="page279"/>
    <w:bookmarkEnd w:id="278"/>
    <w:p>
      <w:pPr>
        <w:ind w:left="88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2" w:lineRule="exact"/>
        <w:rPr>
          <w:sz w:val="20"/>
          <w:szCs w:val="20"/>
          <w:color w:val="auto"/>
        </w:rPr>
      </w:pPr>
    </w:p>
    <w:p>
      <w:pPr>
        <w:ind w:left="880" w:right="200"/>
        <w:spacing w:after="0" w:line="259"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78" w:lineRule="exact"/>
        <w:rPr>
          <w:sz w:val="20"/>
          <w:szCs w:val="20"/>
          <w:color w:val="auto"/>
        </w:rPr>
      </w:pPr>
    </w:p>
    <w:p>
      <w:pPr>
        <w:jc w:val="both"/>
        <w:ind w:right="100" w:firstLine="871"/>
        <w:spacing w:after="0" w:line="256" w:lineRule="auto"/>
        <w:tabs>
          <w:tab w:leader="none" w:pos="1145"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second legend listed above shall be removed only at such time as the Holder of such certificate is no longer subject to any restrictions hereunder.</w:t>
      </w:r>
    </w:p>
    <w:p>
      <w:pPr>
        <w:spacing w:after="0" w:line="83" w:lineRule="exact"/>
        <w:rPr>
          <w:rFonts w:ascii="Arial" w:cs="Arial" w:eastAsia="Arial" w:hAnsi="Arial"/>
          <w:sz w:val="18"/>
          <w:szCs w:val="18"/>
          <w:b w:val="1"/>
          <w:bCs w:val="1"/>
          <w:color w:val="auto"/>
        </w:rPr>
      </w:pPr>
    </w:p>
    <w:p>
      <w:pPr>
        <w:ind w:right="100" w:firstLine="871"/>
        <w:spacing w:after="0" w:line="307" w:lineRule="auto"/>
        <w:tabs>
          <w:tab w:leader="none" w:pos="1125"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Demand Registration.</w:t>
      </w:r>
    </w:p>
    <w:p>
      <w:pPr>
        <w:spacing w:after="0" w:line="121" w:lineRule="exact"/>
        <w:rPr>
          <w:sz w:val="20"/>
          <w:szCs w:val="20"/>
          <w:color w:val="auto"/>
        </w:rPr>
      </w:pPr>
    </w:p>
    <w:p>
      <w:pPr>
        <w:ind w:firstLine="871"/>
        <w:spacing w:after="0" w:line="255" w:lineRule="auto"/>
        <w:tabs>
          <w:tab w:leader="none" w:pos="1135"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Subject to the conditions of this Section 2.2, if the Company shall receive a written request from the Holders of a majority of the Registrable Securities (the “</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that the Company file a registration statement under the Securities Act covering the registration of at least twenty percent (20%) of the Registrable Securities then outstanding (with an anticipated aggregate offering price, net of underwriting discounts and commissions, of at least $20,000,000),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83" w:lineRule="exact"/>
        <w:rPr>
          <w:rFonts w:ascii="Arial" w:cs="Arial" w:eastAsia="Arial" w:hAnsi="Arial"/>
          <w:sz w:val="18"/>
          <w:szCs w:val="18"/>
          <w:b w:val="1"/>
          <w:bCs w:val="1"/>
          <w:color w:val="auto"/>
        </w:rPr>
      </w:pPr>
    </w:p>
    <w:p>
      <w:pPr>
        <w:ind w:right="60" w:firstLine="871"/>
        <w:spacing w:after="0" w:line="263" w:lineRule="auto"/>
        <w:tabs>
          <w:tab w:leader="none" w:pos="1145"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79" w:name="page280"/>
    <w:bookmarkEnd w:id="27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w:t>
      </w:r>
      <w:r>
        <w:rPr>
          <w:rFonts w:ascii="Arial" w:cs="Arial" w:eastAsia="Arial" w:hAnsi="Arial"/>
          <w:sz w:val="17"/>
          <w:szCs w:val="17"/>
          <w:b w:val="1"/>
          <w:bCs w:val="1"/>
          <w:color w:val="auto"/>
        </w:rPr>
        <w:t>)</w:t>
      </w:r>
      <w:r>
        <w:rPr>
          <w:rFonts w:ascii="Arial" w:cs="Arial" w:eastAsia="Arial" w:hAnsi="Arial"/>
          <w:sz w:val="17"/>
          <w:szCs w:val="17"/>
          <w:color w:val="auto"/>
        </w:rPr>
        <w:t>. Any Registrable Securities excluded or withdrawn from such underwriting shall be withdrawn from the registration.</w:t>
      </w:r>
    </w:p>
    <w:p>
      <w:pPr>
        <w:spacing w:after="0" w:line="75" w:lineRule="exact"/>
        <w:rPr>
          <w:sz w:val="20"/>
          <w:szCs w:val="20"/>
          <w:color w:val="auto"/>
        </w:rPr>
      </w:pPr>
    </w:p>
    <w:p>
      <w:pPr>
        <w:ind w:left="1120" w:hanging="249"/>
        <w:spacing w:after="0"/>
        <w:tabs>
          <w:tab w:leader="none" w:pos="1120"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effect a registration pursuant to this Section 2.2:</w:t>
      </w:r>
    </w:p>
    <w:p>
      <w:pPr>
        <w:spacing w:after="0" w:line="116" w:lineRule="exact"/>
        <w:rPr>
          <w:rFonts w:ascii="Arial" w:cs="Arial" w:eastAsia="Arial" w:hAnsi="Arial"/>
          <w:sz w:val="18"/>
          <w:szCs w:val="18"/>
          <w:b w:val="1"/>
          <w:bCs w:val="1"/>
          <w:color w:val="auto"/>
        </w:rPr>
      </w:pPr>
    </w:p>
    <w:p>
      <w:pPr>
        <w:ind w:right="60" w:firstLine="1421"/>
        <w:spacing w:after="0" w:line="277" w:lineRule="auto"/>
        <w:tabs>
          <w:tab w:leader="none" w:pos="164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third anniversary of the date of this Agreement or (B) of the expiration of the restrictions on transfer set forth in Section 2.11 following the Initial Offering;</w:t>
      </w:r>
    </w:p>
    <w:p>
      <w:pPr>
        <w:spacing w:after="0" w:line="61" w:lineRule="exact"/>
        <w:rPr>
          <w:rFonts w:ascii="Arial" w:cs="Arial" w:eastAsia="Arial" w:hAnsi="Arial"/>
          <w:sz w:val="18"/>
          <w:szCs w:val="18"/>
          <w:b w:val="1"/>
          <w:bCs w:val="1"/>
          <w:color w:val="auto"/>
        </w:rPr>
      </w:pPr>
    </w:p>
    <w:p>
      <w:pPr>
        <w:ind w:left="1680" w:hanging="259"/>
        <w:spacing w:after="0"/>
        <w:tabs>
          <w:tab w:leader="none" w:pos="1680" w:val="left"/>
        </w:tabs>
        <w:numPr>
          <w:ilvl w:val="1"/>
          <w:numId w:val="193"/>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two (2) registrations pursuant to this Section 2.2, and such registrations have been declared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ordered effective;</w:t>
      </w:r>
    </w:p>
    <w:p>
      <w:pPr>
        <w:spacing w:after="0" w:line="102" w:lineRule="exact"/>
        <w:rPr>
          <w:rFonts w:ascii="Arial" w:cs="Arial" w:eastAsia="Arial" w:hAnsi="Arial"/>
          <w:sz w:val="16"/>
          <w:szCs w:val="16"/>
          <w:b w:val="1"/>
          <w:bCs w:val="1"/>
          <w:color w:val="auto"/>
        </w:rPr>
      </w:pPr>
    </w:p>
    <w:p>
      <w:pPr>
        <w:ind w:firstLine="1421"/>
        <w:spacing w:after="0" w:line="286" w:lineRule="auto"/>
        <w:tabs>
          <w:tab w:leader="none" w:pos="1745" w:val="left"/>
        </w:tabs>
        <w:numPr>
          <w:ilvl w:val="1"/>
          <w:numId w:val="193"/>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starting with the date of filing of,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makes reasonable good faith efforts to cause such registration statement to become effective;</w:t>
      </w:r>
    </w:p>
    <w:p>
      <w:pPr>
        <w:spacing w:after="0" w:line="56" w:lineRule="exact"/>
        <w:rPr>
          <w:rFonts w:ascii="Arial" w:cs="Arial" w:eastAsia="Arial" w:hAnsi="Arial"/>
          <w:sz w:val="17"/>
          <w:szCs w:val="17"/>
          <w:b w:val="1"/>
          <w:bCs w:val="1"/>
          <w:color w:val="auto"/>
        </w:rPr>
      </w:pPr>
    </w:p>
    <w:p>
      <w:pPr>
        <w:ind w:right="240" w:firstLine="1421"/>
        <w:spacing w:after="0" w:line="307" w:lineRule="auto"/>
        <w:tabs>
          <w:tab w:leader="none" w:pos="1735" w:val="left"/>
        </w:tabs>
        <w:numPr>
          <w:ilvl w:val="1"/>
          <w:numId w:val="193"/>
        </w:numPr>
        <w:rPr>
          <w:rFonts w:ascii="Arial" w:cs="Arial" w:eastAsia="Arial" w:hAnsi="Arial"/>
          <w:sz w:val="17"/>
          <w:szCs w:val="17"/>
          <w:b w:val="1"/>
          <w:bCs w:val="1"/>
          <w:color w:val="auto"/>
        </w:rPr>
      </w:pPr>
      <w:r>
        <w:rPr>
          <w:rFonts w:ascii="Arial" w:cs="Arial" w:eastAsia="Arial" w:hAnsi="Arial"/>
          <w:sz w:val="17"/>
          <w:szCs w:val="17"/>
          <w:color w:val="auto"/>
        </w:rPr>
        <w:t>if within thirty (30) days of receipt of a written request from Initiating Holders pursuant to Section 2.2(a), the Company gives notice to the Holders of the Company’s intention to file a registration statement for its Initial Offering within ninety (90) days;</w:t>
      </w:r>
    </w:p>
    <w:p>
      <w:pPr>
        <w:spacing w:after="0" w:line="39" w:lineRule="exact"/>
        <w:rPr>
          <w:rFonts w:ascii="Arial" w:cs="Arial" w:eastAsia="Arial" w:hAnsi="Arial"/>
          <w:sz w:val="17"/>
          <w:szCs w:val="17"/>
          <w:b w:val="1"/>
          <w:bCs w:val="1"/>
          <w:color w:val="auto"/>
        </w:rPr>
      </w:pPr>
    </w:p>
    <w:p>
      <w:pPr>
        <w:ind w:right="60" w:firstLine="1421"/>
        <w:spacing w:after="0" w:line="254" w:lineRule="auto"/>
        <w:tabs>
          <w:tab w:leader="none" w:pos="1685"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 to delay a request shall be exercised by the Company not more than once in any twelve (12) month period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Company shall not register any securities for the account of itself or any other stockholder during such one hundred twenty (120) day period (other than a registration relating solely to the sale of securities of participants in a Company stock plan, a registration relating to a corporate reorganization or transaction under Rule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280" w:name="page281"/>
    <w:bookmarkEnd w:id="280"/>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145 of the Securities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75" w:lineRule="exact"/>
        <w:rPr>
          <w:sz w:val="20"/>
          <w:szCs w:val="20"/>
          <w:color w:val="auto"/>
        </w:rPr>
      </w:pPr>
    </w:p>
    <w:p>
      <w:pPr>
        <w:ind w:right="160" w:firstLine="1421"/>
        <w:spacing w:after="0" w:line="277" w:lineRule="auto"/>
        <w:tabs>
          <w:tab w:leader="none" w:pos="1735"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61" w:lineRule="exact"/>
        <w:rPr>
          <w:rFonts w:ascii="Arial" w:cs="Arial" w:eastAsia="Arial" w:hAnsi="Arial"/>
          <w:sz w:val="18"/>
          <w:szCs w:val="18"/>
          <w:b w:val="1"/>
          <w:bCs w:val="1"/>
          <w:color w:val="auto"/>
        </w:rPr>
      </w:pPr>
    </w:p>
    <w:p>
      <w:pPr>
        <w:ind w:right="80" w:firstLine="1421"/>
        <w:spacing w:after="0" w:line="277" w:lineRule="auto"/>
        <w:tabs>
          <w:tab w:leader="none" w:pos="1785"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5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2.3 Piggyback Registrations. </w:t>
      </w:r>
      <w:r>
        <w:rPr>
          <w:rFonts w:ascii="Arial" w:cs="Arial" w:eastAsia="Arial" w:hAnsi="Arial"/>
          <w:sz w:val="16"/>
          <w:szCs w:val="16"/>
          <w:color w:val="auto"/>
        </w:rPr>
        <w:t>The Company shall notify all Holders of Registrable Securities in writing at least fifteen (15) days prior to the filing</w:t>
      </w:r>
      <w:r>
        <w:rPr>
          <w:rFonts w:ascii="Arial" w:cs="Arial" w:eastAsia="Arial" w:hAnsi="Arial"/>
          <w:sz w:val="16"/>
          <w:szCs w:val="16"/>
          <w:b w:val="1"/>
          <w:bCs w:val="1"/>
          <w:color w:val="auto"/>
        </w:rPr>
        <w:t xml:space="preserve"> </w:t>
      </w:r>
      <w:r>
        <w:rPr>
          <w:rFonts w:ascii="Arial" w:cs="Arial" w:eastAsia="Arial" w:hAnsi="Arial"/>
          <w:sz w:val="16"/>
          <w:szCs w:val="16"/>
          <w:color w:val="auto"/>
        </w:rPr>
        <w:t>of any 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56" w:lineRule="exact"/>
        <w:rPr>
          <w:sz w:val="20"/>
          <w:szCs w:val="20"/>
          <w:color w:val="auto"/>
        </w:rPr>
      </w:pPr>
    </w:p>
    <w:p>
      <w:pPr>
        <w:ind w:right="20" w:firstLine="871"/>
        <w:spacing w:after="0" w:line="287" w:lineRule="auto"/>
        <w:tabs>
          <w:tab w:leader="none" w:pos="1135"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Company determines in good faith, based on consultation with the underwriter,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reduction shall reduce the amount of Registrable Securities of the selling Holders included in the registration below twenty percent (20%)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In no event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281" w:name="page282"/>
    <w:bookmarkEnd w:id="281"/>
    <w:p>
      <w:pPr>
        <w:ind w:left="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will shares of any other selling stockholder be included in such registration that would reduce the number of shares which may be included by Holders without the written consent of Holders of not less than: (i) a majority of the Registrable Securities proposed to be sold in the offering, and (ii) the holders of a majority of Preferred Stock, voting as a separate class.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71" w:lineRule="exact"/>
        <w:rPr>
          <w:sz w:val="20"/>
          <w:szCs w:val="20"/>
          <w:color w:val="auto"/>
        </w:rPr>
      </w:pPr>
    </w:p>
    <w:p>
      <w:pPr>
        <w:ind w:left="10" w:right="120" w:firstLine="871"/>
        <w:spacing w:after="0" w:line="266" w:lineRule="auto"/>
        <w:tabs>
          <w:tab w:leader="none" w:pos="1155"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The Registration Expenses of such withdrawn registration shall be borne by the Company in accordance with Section 2.5 hereof.</w:t>
      </w:r>
    </w:p>
    <w:p>
      <w:pPr>
        <w:spacing w:after="0" w:line="67" w:lineRule="exact"/>
        <w:rPr>
          <w:sz w:val="20"/>
          <w:szCs w:val="20"/>
          <w:color w:val="auto"/>
        </w:rPr>
      </w:pPr>
    </w:p>
    <w:p>
      <w:pPr>
        <w:jc w:val="both"/>
        <w:ind w:left="10" w:right="320" w:firstLine="440"/>
        <w:spacing w:after="0" w:line="260" w:lineRule="auto"/>
        <w:rPr>
          <w:sz w:val="20"/>
          <w:szCs w:val="20"/>
          <w:color w:val="auto"/>
        </w:rPr>
      </w:pPr>
      <w:r>
        <w:rPr>
          <w:rFonts w:ascii="Arial" w:cs="Arial" w:eastAsia="Arial" w:hAnsi="Arial"/>
          <w:sz w:val="18"/>
          <w:szCs w:val="18"/>
          <w:b w:val="1"/>
          <w:bCs w:val="1"/>
          <w:color w:val="auto"/>
        </w:rPr>
        <w:t xml:space="preserve">2.4 Form S-3 Registration. </w:t>
      </w:r>
      <w:r>
        <w:rPr>
          <w:rFonts w:ascii="Arial" w:cs="Arial" w:eastAsia="Arial" w:hAnsi="Arial"/>
          <w:sz w:val="18"/>
          <w:szCs w:val="18"/>
          <w:color w:val="auto"/>
        </w:rPr>
        <w:t>In case the Company shall receive from at least twenty percent (20%) of the Holders of Registrable Securities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or requests that the Company effect a registration on Form S-3 (or any successor to Form S-3) or any similar short-form registration statement and any related qualification or compliance with respect to all or a part of the Registrable Securities owned by such Holders, the Company will:</w:t>
      </w:r>
    </w:p>
    <w:p>
      <w:pPr>
        <w:spacing w:after="0" w:line="78" w:lineRule="exact"/>
        <w:rPr>
          <w:sz w:val="20"/>
          <w:szCs w:val="20"/>
          <w:color w:val="auto"/>
        </w:rPr>
      </w:pPr>
    </w:p>
    <w:p>
      <w:pPr>
        <w:ind w:left="1130" w:hanging="249"/>
        <w:spacing w:after="0"/>
        <w:tabs>
          <w:tab w:leader="none" w:pos="1130"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promptly give written notice of the proposed registration, and any related qualification or compliance, to all other Holders of Registrable</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Securities; and</w:t>
      </w:r>
    </w:p>
    <w:p>
      <w:pPr>
        <w:spacing w:after="0" w:line="102" w:lineRule="exact"/>
        <w:rPr>
          <w:rFonts w:ascii="Arial" w:cs="Arial" w:eastAsia="Arial" w:hAnsi="Arial"/>
          <w:sz w:val="16"/>
          <w:szCs w:val="16"/>
          <w:b w:val="1"/>
          <w:bCs w:val="1"/>
          <w:color w:val="auto"/>
        </w:rPr>
      </w:pPr>
    </w:p>
    <w:p>
      <w:pPr>
        <w:ind w:left="10" w:right="60" w:firstLine="871"/>
        <w:spacing w:after="0" w:line="287" w:lineRule="auto"/>
        <w:tabs>
          <w:tab w:leader="none" w:pos="1155"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as soon as practicable, effect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 or Holders joining in such request as are specified in a written request given within fifteen</w:t>
      </w:r>
    </w:p>
    <w:p>
      <w:pPr>
        <w:spacing w:after="0" w:line="1" w:lineRule="exact"/>
        <w:rPr>
          <w:rFonts w:ascii="Arial" w:cs="Arial" w:eastAsia="Arial" w:hAnsi="Arial"/>
          <w:sz w:val="16"/>
          <w:szCs w:val="16"/>
          <w:b w:val="1"/>
          <w:bCs w:val="1"/>
          <w:color w:val="auto"/>
        </w:rPr>
      </w:pPr>
    </w:p>
    <w:p>
      <w:pPr>
        <w:ind w:left="10" w:right="720" w:hanging="10"/>
        <w:spacing w:after="0" w:line="260" w:lineRule="auto"/>
        <w:tabs>
          <w:tab w:leader="none" w:pos="35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days after receipt of such written notice from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76" w:lineRule="exact"/>
        <w:rPr>
          <w:rFonts w:ascii="Arial" w:cs="Arial" w:eastAsia="Arial" w:hAnsi="Arial"/>
          <w:sz w:val="18"/>
          <w:szCs w:val="18"/>
          <w:color w:val="auto"/>
        </w:rPr>
      </w:pPr>
    </w:p>
    <w:p>
      <w:pPr>
        <w:ind w:left="1650" w:hanging="219"/>
        <w:spacing w:after="0"/>
        <w:tabs>
          <w:tab w:leader="none" w:pos="1650" w:val="left"/>
        </w:tabs>
        <w:numPr>
          <w:ilvl w:val="2"/>
          <w:numId w:val="198"/>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w:t>
      </w:r>
    </w:p>
    <w:p>
      <w:pPr>
        <w:spacing w:after="0" w:line="116" w:lineRule="exact"/>
        <w:rPr>
          <w:rFonts w:ascii="Arial" w:cs="Arial" w:eastAsia="Arial" w:hAnsi="Arial"/>
          <w:sz w:val="18"/>
          <w:szCs w:val="18"/>
          <w:b w:val="1"/>
          <w:bCs w:val="1"/>
          <w:color w:val="auto"/>
        </w:rPr>
      </w:pPr>
    </w:p>
    <w:p>
      <w:pPr>
        <w:ind w:left="10" w:right="40" w:firstLine="1421"/>
        <w:spacing w:after="0" w:line="341" w:lineRule="auto"/>
        <w:tabs>
          <w:tab w:leader="none" w:pos="1705" w:val="left"/>
        </w:tabs>
        <w:numPr>
          <w:ilvl w:val="2"/>
          <w:numId w:val="198"/>
        </w:numPr>
        <w:rPr>
          <w:rFonts w:ascii="Arial" w:cs="Arial" w:eastAsia="Arial" w:hAnsi="Arial"/>
          <w:sz w:val="16"/>
          <w:szCs w:val="16"/>
          <w:b w:val="1"/>
          <w:bCs w:val="1"/>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one million dollars ($1,000,000);</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0"/>
          </w:cols>
          <w:pgMar w:left="450" w:top="274" w:right="439" w:bottom="1440" w:gutter="0" w:footer="0" w:header="0"/>
        </w:sectPr>
      </w:pPr>
    </w:p>
    <w:bookmarkStart w:id="282" w:name="page283"/>
    <w:bookmarkEnd w:id="282"/>
    <w:p>
      <w:pPr>
        <w:ind w:left="10" w:right="400" w:firstLine="1421"/>
        <w:spacing w:after="0" w:line="263" w:lineRule="auto"/>
        <w:tabs>
          <w:tab w:leader="none" w:pos="1755" w:val="left"/>
        </w:tabs>
        <w:numPr>
          <w:ilvl w:val="2"/>
          <w:numId w:val="19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within thirty (30) days of receipt of a written request from such Holders pursuant to this Section 2.4, the Company gives notice to such Holders of the Company’s intention to make a public offering within ninety (90) days, other than pursuant to a Special Registration Statement;</w:t>
      </w:r>
    </w:p>
    <w:p>
      <w:pPr>
        <w:spacing w:after="0" w:line="74" w:lineRule="exact"/>
        <w:rPr>
          <w:rFonts w:ascii="Arial" w:cs="Arial" w:eastAsia="Arial" w:hAnsi="Arial"/>
          <w:sz w:val="18"/>
          <w:szCs w:val="18"/>
          <w:b w:val="1"/>
          <w:bCs w:val="1"/>
          <w:color w:val="auto"/>
        </w:rPr>
      </w:pPr>
    </w:p>
    <w:p>
      <w:pPr>
        <w:ind w:left="10" w:firstLine="1421"/>
        <w:spacing w:after="0" w:line="288" w:lineRule="auto"/>
        <w:tabs>
          <w:tab w:leader="none" w:pos="1745" w:val="left"/>
        </w:tabs>
        <w:numPr>
          <w:ilvl w:val="2"/>
          <w:numId w:val="199"/>
        </w:numPr>
        <w:rPr>
          <w:rFonts w:ascii="Arial" w:cs="Arial" w:eastAsia="Arial" w:hAnsi="Arial"/>
          <w:sz w:val="16"/>
          <w:szCs w:val="16"/>
          <w:b w:val="1"/>
          <w:bCs w:val="1"/>
          <w:color w:val="auto"/>
        </w:rPr>
      </w:pPr>
      <w:r>
        <w:rPr>
          <w:rFonts w:ascii="Arial" w:cs="Arial" w:eastAsia="Arial" w:hAnsi="Arial"/>
          <w:sz w:val="16"/>
          <w:szCs w:val="16"/>
          <w:color w:val="auto"/>
        </w:rPr>
        <w:t xml:space="preserve">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one hundred twenty (120) days after receipt of the request of the Holders under this Section 2.4;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right to delay a request shall be exercised by the Company not more than once in any twelve (12) month period and</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Company shall not register any securities for the account of itself or any other stockholder during such one hundred twenty (120) day period (other than a registration relating solely to the sale of securities of participants in a Company stock plan, a registration relating to a corporate reorganization or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58" w:lineRule="exact"/>
        <w:rPr>
          <w:rFonts w:ascii="Arial" w:cs="Arial" w:eastAsia="Arial" w:hAnsi="Arial"/>
          <w:sz w:val="16"/>
          <w:szCs w:val="16"/>
          <w:b w:val="1"/>
          <w:bCs w:val="1"/>
          <w:color w:val="auto"/>
        </w:rPr>
      </w:pPr>
    </w:p>
    <w:p>
      <w:pPr>
        <w:ind w:left="1690" w:hanging="259"/>
        <w:spacing w:after="0"/>
        <w:tabs>
          <w:tab w:leader="none" w:pos="1690" w:val="left"/>
        </w:tabs>
        <w:numPr>
          <w:ilvl w:val="2"/>
          <w:numId w:val="199"/>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twelve (12) month period preceding the date of such request, already effected two</w:t>
      </w:r>
    </w:p>
    <w:p>
      <w:pPr>
        <w:spacing w:after="0" w:line="23" w:lineRule="exact"/>
        <w:rPr>
          <w:rFonts w:ascii="Arial" w:cs="Arial" w:eastAsia="Arial" w:hAnsi="Arial"/>
          <w:sz w:val="18"/>
          <w:szCs w:val="18"/>
          <w:b w:val="1"/>
          <w:bCs w:val="1"/>
          <w:color w:val="auto"/>
        </w:rPr>
      </w:pPr>
    </w:p>
    <w:p>
      <w:pPr>
        <w:ind w:left="250" w:hanging="250"/>
        <w:spacing w:after="0"/>
        <w:tabs>
          <w:tab w:leader="none" w:pos="25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registrations on Form S-3 for the Holders pursuant to this Section 2.4; or</w:t>
      </w:r>
    </w:p>
    <w:p>
      <w:pPr>
        <w:spacing w:after="0" w:line="102" w:lineRule="exact"/>
        <w:rPr>
          <w:rFonts w:ascii="Arial" w:cs="Arial" w:eastAsia="Arial" w:hAnsi="Arial"/>
          <w:sz w:val="18"/>
          <w:szCs w:val="18"/>
          <w:color w:val="auto"/>
        </w:rPr>
      </w:pPr>
    </w:p>
    <w:p>
      <w:pPr>
        <w:ind w:left="10" w:right="80" w:firstLine="1421"/>
        <w:spacing w:after="0" w:line="277" w:lineRule="auto"/>
        <w:tabs>
          <w:tab w:leader="none" w:pos="1745" w:val="left"/>
        </w:tabs>
        <w:numPr>
          <w:ilvl w:val="2"/>
          <w:numId w:val="200"/>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61" w:lineRule="exact"/>
        <w:rPr>
          <w:rFonts w:ascii="Arial" w:cs="Arial" w:eastAsia="Arial" w:hAnsi="Arial"/>
          <w:sz w:val="18"/>
          <w:szCs w:val="18"/>
          <w:b w:val="1"/>
          <w:bCs w:val="1"/>
          <w:color w:val="auto"/>
        </w:rPr>
      </w:pPr>
    </w:p>
    <w:p>
      <w:pPr>
        <w:jc w:val="both"/>
        <w:ind w:left="10" w:right="640" w:firstLine="871"/>
        <w:spacing w:after="0" w:line="286" w:lineRule="auto"/>
        <w:tabs>
          <w:tab w:leader="none" w:pos="1135" w:val="left"/>
        </w:tabs>
        <w:numPr>
          <w:ilvl w:val="1"/>
          <w:numId w:val="200"/>
        </w:numPr>
        <w:rPr>
          <w:rFonts w:ascii="Arial" w:cs="Arial" w:eastAsia="Arial" w:hAnsi="Arial"/>
          <w:sz w:val="17"/>
          <w:szCs w:val="17"/>
          <w:b w:val="1"/>
          <w:bCs w:val="1"/>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53" w:lineRule="exact"/>
        <w:rPr>
          <w:sz w:val="20"/>
          <w:szCs w:val="20"/>
          <w:color w:val="auto"/>
        </w:rPr>
      </w:pPr>
    </w:p>
    <w:p>
      <w:pPr>
        <w:ind w:left="10" w:right="100" w:firstLine="440"/>
        <w:spacing w:after="0" w:line="292" w:lineRule="auto"/>
        <w:rPr>
          <w:sz w:val="20"/>
          <w:szCs w:val="20"/>
          <w:color w:val="auto"/>
        </w:rPr>
      </w:pPr>
      <w:r>
        <w:rPr>
          <w:rFonts w:ascii="Arial" w:cs="Arial" w:eastAsia="Arial" w:hAnsi="Arial"/>
          <w:sz w:val="16"/>
          <w:szCs w:val="16"/>
          <w:b w:val="1"/>
          <w:bCs w:val="1"/>
          <w:color w:val="auto"/>
        </w:rPr>
        <w:t xml:space="preserve">2.5 Expenses of Registration. </w:t>
      </w:r>
      <w:r>
        <w:rPr>
          <w:rFonts w:ascii="Arial" w:cs="Arial" w:eastAsia="Arial" w:hAnsi="Arial"/>
          <w:sz w:val="16"/>
          <w:szCs w:val="16"/>
          <w:color w:val="auto"/>
        </w:rPr>
        <w:t>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w:t>
      </w:r>
    </w:p>
    <w:p>
      <w:pPr>
        <w:spacing w:after="0" w:line="96"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50"/>
          </w:cols>
          <w:pgMar w:left="450" w:top="274" w:right="499" w:bottom="1440" w:gutter="0" w:footer="0" w:header="0"/>
        </w:sectPr>
      </w:pPr>
    </w:p>
    <w:bookmarkStart w:id="283" w:name="page284"/>
    <w:bookmarkEnd w:id="28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Section 2.2(c) or 2.4(b)(v),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2.4(b)(v), as applicable, to undertake any subsequent registration.</w:t>
      </w:r>
    </w:p>
    <w:p>
      <w:pPr>
        <w:spacing w:after="0" w:line="79" w:lineRule="exact"/>
        <w:rPr>
          <w:sz w:val="20"/>
          <w:szCs w:val="20"/>
          <w:color w:val="auto"/>
        </w:rPr>
      </w:pPr>
    </w:p>
    <w:p>
      <w:pPr>
        <w:ind w:right="80" w:firstLine="440"/>
        <w:spacing w:after="0" w:line="281"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 expeditiously</w:t>
      </w:r>
      <w:r>
        <w:rPr>
          <w:rFonts w:ascii="Arial" w:cs="Arial" w:eastAsia="Arial" w:hAnsi="Arial"/>
          <w:sz w:val="18"/>
          <w:szCs w:val="18"/>
          <w:b w:val="1"/>
          <w:bCs w:val="1"/>
          <w:color w:val="auto"/>
        </w:rPr>
        <w:t xml:space="preserve"> </w:t>
      </w:r>
      <w:r>
        <w:rPr>
          <w:rFonts w:ascii="Arial" w:cs="Arial" w:eastAsia="Arial" w:hAnsi="Arial"/>
          <w:sz w:val="18"/>
          <w:szCs w:val="18"/>
          <w:color w:val="auto"/>
        </w:rPr>
        <w:t>as reasonably possible:</w:t>
      </w:r>
    </w:p>
    <w:p>
      <w:pPr>
        <w:spacing w:after="0" w:line="59" w:lineRule="exact"/>
        <w:rPr>
          <w:sz w:val="20"/>
          <w:szCs w:val="20"/>
          <w:color w:val="auto"/>
        </w:rPr>
      </w:pPr>
    </w:p>
    <w:p>
      <w:pPr>
        <w:ind w:firstLine="871"/>
        <w:spacing w:after="0" w:line="284" w:lineRule="auto"/>
        <w:tabs>
          <w:tab w:leader="none" w:pos="1135" w:val="left"/>
        </w:tabs>
        <w:numPr>
          <w:ilvl w:val="0"/>
          <w:numId w:val="201"/>
        </w:numPr>
        <w:rPr>
          <w:rFonts w:ascii="Arial" w:cs="Arial" w:eastAsia="Arial" w:hAnsi="Arial"/>
          <w:sz w:val="16"/>
          <w:szCs w:val="16"/>
          <w:b w:val="1"/>
          <w:bCs w:val="1"/>
          <w:color w:val="auto"/>
        </w:rPr>
      </w:pPr>
      <w:r>
        <w:rPr>
          <w:rFonts w:ascii="Arial" w:cs="Arial" w:eastAsia="Arial" w:hAnsi="Arial"/>
          <w:sz w:val="16"/>
          <w:szCs w:val="16"/>
          <w:color w:val="auto"/>
        </w:rPr>
        <w:t xml:space="preserve">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a majority of the Registrable Securities registered under the applicable registration statement, which consent shall not be unreasonably withheld. No more than two (2) such Suspension Periods shall occur in any twelve (12) month period.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72" w:lineRule="exact"/>
        <w:rPr>
          <w:rFonts w:ascii="Arial" w:cs="Arial" w:eastAsia="Arial" w:hAnsi="Arial"/>
          <w:sz w:val="16"/>
          <w:szCs w:val="16"/>
          <w:b w:val="1"/>
          <w:bCs w:val="1"/>
          <w:color w:val="auto"/>
        </w:rPr>
      </w:pPr>
    </w:p>
    <w:p>
      <w:pPr>
        <w:jc w:val="both"/>
        <w:ind w:right="140" w:firstLine="871"/>
        <w:spacing w:after="0" w:line="263" w:lineRule="auto"/>
        <w:tabs>
          <w:tab w:leader="none" w:pos="1145"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84" w:name="page285"/>
    <w:bookmarkEnd w:id="284"/>
    <w:p>
      <w:pPr>
        <w:ind w:left="10" w:firstLine="871"/>
        <w:spacing w:after="0" w:line="263" w:lineRule="auto"/>
        <w:tabs>
          <w:tab w:leader="none" w:pos="1135"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the Holders such number of copies of a prospectus, including a preliminary prospectus and final prospectus, in conformity with the requirements of the Securities Act, and such other documents as they may reasonably request in order to facilitate the disposition of Registrable Securities owned by them.</w:t>
      </w:r>
    </w:p>
    <w:p>
      <w:pPr>
        <w:spacing w:after="0" w:line="74" w:lineRule="exact"/>
        <w:rPr>
          <w:rFonts w:ascii="Arial" w:cs="Arial" w:eastAsia="Arial" w:hAnsi="Arial"/>
          <w:sz w:val="18"/>
          <w:szCs w:val="18"/>
          <w:b w:val="1"/>
          <w:bCs w:val="1"/>
          <w:color w:val="auto"/>
        </w:rPr>
      </w:pPr>
    </w:p>
    <w:p>
      <w:pPr>
        <w:jc w:val="both"/>
        <w:ind w:left="10" w:right="60" w:firstLine="871"/>
        <w:spacing w:after="0" w:line="311" w:lineRule="auto"/>
        <w:tabs>
          <w:tab w:leader="none" w:pos="1155" w:val="left"/>
        </w:tabs>
        <w:numPr>
          <w:ilvl w:val="1"/>
          <w:numId w:val="202"/>
        </w:numPr>
        <w:rPr>
          <w:rFonts w:ascii="Arial" w:cs="Arial" w:eastAsia="Arial" w:hAnsi="Arial"/>
          <w:sz w:val="16"/>
          <w:szCs w:val="16"/>
          <w:b w:val="1"/>
          <w:bCs w:val="1"/>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40" w:lineRule="exact"/>
        <w:rPr>
          <w:rFonts w:ascii="Arial" w:cs="Arial" w:eastAsia="Arial" w:hAnsi="Arial"/>
          <w:sz w:val="16"/>
          <w:szCs w:val="16"/>
          <w:b w:val="1"/>
          <w:bCs w:val="1"/>
          <w:color w:val="auto"/>
        </w:rPr>
      </w:pPr>
    </w:p>
    <w:p>
      <w:pPr>
        <w:ind w:left="10" w:right="60" w:firstLine="871"/>
        <w:spacing w:after="0" w:line="263" w:lineRule="auto"/>
        <w:tabs>
          <w:tab w:leader="none" w:pos="1135"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4" w:lineRule="exact"/>
        <w:rPr>
          <w:rFonts w:ascii="Arial" w:cs="Arial" w:eastAsia="Arial" w:hAnsi="Arial"/>
          <w:sz w:val="18"/>
          <w:szCs w:val="18"/>
          <w:b w:val="1"/>
          <w:bCs w:val="1"/>
          <w:color w:val="auto"/>
        </w:rPr>
      </w:pPr>
    </w:p>
    <w:p>
      <w:pPr>
        <w:ind w:left="10" w:right="200" w:firstLine="871"/>
        <w:spacing w:after="0" w:line="293" w:lineRule="auto"/>
        <w:tabs>
          <w:tab w:leader="none" w:pos="1115" w:val="left"/>
        </w:tabs>
        <w:numPr>
          <w:ilvl w:val="1"/>
          <w:numId w:val="202"/>
        </w:numPr>
        <w:rPr>
          <w:rFonts w:ascii="Arial" w:cs="Arial" w:eastAsia="Arial" w:hAnsi="Arial"/>
          <w:sz w:val="16"/>
          <w:szCs w:val="16"/>
          <w:b w:val="1"/>
          <w:bCs w:val="1"/>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55" w:lineRule="exact"/>
        <w:rPr>
          <w:rFonts w:ascii="Arial" w:cs="Arial" w:eastAsia="Arial" w:hAnsi="Arial"/>
          <w:sz w:val="16"/>
          <w:szCs w:val="16"/>
          <w:b w:val="1"/>
          <w:bCs w:val="1"/>
          <w:color w:val="auto"/>
        </w:rPr>
      </w:pPr>
    </w:p>
    <w:p>
      <w:pPr>
        <w:ind w:left="10" w:right="180" w:firstLine="871"/>
        <w:spacing w:after="0" w:line="277" w:lineRule="auto"/>
        <w:tabs>
          <w:tab w:leader="none" w:pos="1145"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61" w:lineRule="exact"/>
        <w:rPr>
          <w:rFonts w:ascii="Arial" w:cs="Arial" w:eastAsia="Arial" w:hAnsi="Arial"/>
          <w:sz w:val="18"/>
          <w:szCs w:val="18"/>
          <w:b w:val="1"/>
          <w:bCs w:val="1"/>
          <w:color w:val="auto"/>
        </w:rPr>
      </w:pPr>
    </w:p>
    <w:p>
      <w:pPr>
        <w:ind w:left="10" w:right="80" w:firstLine="871"/>
        <w:spacing w:after="0" w:line="277" w:lineRule="auto"/>
        <w:tabs>
          <w:tab w:leader="none" w:pos="1155"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Cause all such Registrable Securities registered hereunder to be listed on each securities exchange on which similar securities issued by the Company are then listed.</w:t>
      </w:r>
    </w:p>
    <w:p>
      <w:pPr>
        <w:spacing w:after="0" w:line="61" w:lineRule="exact"/>
        <w:rPr>
          <w:rFonts w:ascii="Arial" w:cs="Arial" w:eastAsia="Arial" w:hAnsi="Arial"/>
          <w:sz w:val="18"/>
          <w:szCs w:val="18"/>
          <w:b w:val="1"/>
          <w:bCs w:val="1"/>
          <w:color w:val="auto"/>
        </w:rPr>
      </w:pPr>
    </w:p>
    <w:p>
      <w:pPr>
        <w:ind w:left="10" w:right="500" w:firstLine="871"/>
        <w:spacing w:after="0" w:line="277" w:lineRule="auto"/>
        <w:tabs>
          <w:tab w:leader="none" w:pos="1105"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61" w:lineRule="exact"/>
        <w:rPr>
          <w:rFonts w:ascii="Arial" w:cs="Arial" w:eastAsia="Arial" w:hAnsi="Arial"/>
          <w:sz w:val="18"/>
          <w:szCs w:val="18"/>
          <w:b w:val="1"/>
          <w:bCs w:val="1"/>
          <w:color w:val="auto"/>
        </w:rPr>
      </w:pPr>
    </w:p>
    <w:p>
      <w:pPr>
        <w:ind w:left="10" w:right="120" w:firstLine="871"/>
        <w:spacing w:after="0" w:line="287" w:lineRule="auto"/>
        <w:tabs>
          <w:tab w:leader="none" w:pos="1115" w:val="left"/>
        </w:tabs>
        <w:numPr>
          <w:ilvl w:val="1"/>
          <w:numId w:val="202"/>
        </w:numPr>
        <w:rPr>
          <w:rFonts w:ascii="Arial" w:cs="Arial" w:eastAsia="Arial" w:hAnsi="Arial"/>
          <w:sz w:val="16"/>
          <w:szCs w:val="16"/>
          <w:b w:val="1"/>
          <w:bCs w:val="1"/>
          <w:color w:val="auto"/>
        </w:rPr>
      </w:pPr>
      <w:r>
        <w:rPr>
          <w:rFonts w:ascii="Arial" w:cs="Arial" w:eastAsia="Arial" w:hAnsi="Arial"/>
          <w:sz w:val="16"/>
          <w:szCs w:val="16"/>
          <w:color w:val="auto"/>
        </w:rPr>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w:t>
      </w:r>
    </w:p>
    <w:p>
      <w:pPr>
        <w:spacing w:after="0" w:line="1" w:lineRule="exact"/>
        <w:rPr>
          <w:rFonts w:ascii="Arial" w:cs="Arial" w:eastAsia="Arial" w:hAnsi="Arial"/>
          <w:sz w:val="16"/>
          <w:szCs w:val="16"/>
          <w:b w:val="1"/>
          <w:bCs w:val="1"/>
          <w:color w:val="auto"/>
        </w:rPr>
      </w:pPr>
    </w:p>
    <w:p>
      <w:pPr>
        <w:ind w:left="10" w:right="180" w:hanging="10"/>
        <w:spacing w:after="0" w:line="289" w:lineRule="auto"/>
        <w:tabs>
          <w:tab w:leader="none" w:pos="27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9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70"/>
          </w:cols>
          <w:pgMar w:left="450" w:top="274" w:right="479" w:bottom="1440" w:gutter="0" w:footer="0" w:header="0"/>
        </w:sectPr>
      </w:pPr>
    </w:p>
    <w:bookmarkStart w:id="285" w:name="page286"/>
    <w:bookmarkEnd w:id="285"/>
    <w:p>
      <w:pP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Delay of Registration; Furnishing Information.</w:t>
      </w:r>
    </w:p>
    <w:p>
      <w:pPr>
        <w:spacing w:after="0" w:line="121" w:lineRule="exact"/>
        <w:rPr>
          <w:sz w:val="20"/>
          <w:szCs w:val="20"/>
          <w:color w:val="auto"/>
        </w:rPr>
      </w:pPr>
    </w:p>
    <w:p>
      <w:pPr>
        <w:ind w:left="-40" w:firstLine="871"/>
        <w:spacing w:after="0" w:line="277" w:lineRule="auto"/>
        <w:tabs>
          <w:tab w:leader="none" w:pos="1095"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61" w:lineRule="exact"/>
        <w:rPr>
          <w:rFonts w:ascii="Arial" w:cs="Arial" w:eastAsia="Arial" w:hAnsi="Arial"/>
          <w:sz w:val="18"/>
          <w:szCs w:val="18"/>
          <w:b w:val="1"/>
          <w:bCs w:val="1"/>
          <w:color w:val="auto"/>
        </w:rPr>
      </w:pPr>
    </w:p>
    <w:p>
      <w:pPr>
        <w:ind w:left="-40" w:right="100" w:firstLine="871"/>
        <w:spacing w:after="0" w:line="263" w:lineRule="auto"/>
        <w:tabs>
          <w:tab w:leader="none" w:pos="1105"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74" w:lineRule="exact"/>
        <w:rPr>
          <w:rFonts w:ascii="Arial" w:cs="Arial" w:eastAsia="Arial" w:hAnsi="Arial"/>
          <w:sz w:val="18"/>
          <w:szCs w:val="18"/>
          <w:b w:val="1"/>
          <w:bCs w:val="1"/>
          <w:color w:val="auto"/>
        </w:rPr>
      </w:pPr>
    </w:p>
    <w:p>
      <w:pPr>
        <w:jc w:val="both"/>
        <w:ind w:left="-40" w:right="60" w:firstLine="871"/>
        <w:spacing w:after="0" w:line="259" w:lineRule="auto"/>
        <w:tabs>
          <w:tab w:leader="none" w:pos="1085"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2.8 Indemnification. </w:t>
      </w:r>
      <w:r>
        <w:rPr>
          <w:rFonts w:ascii="Arial" w:cs="Arial" w:eastAsia="Arial" w:hAnsi="Arial"/>
          <w:sz w:val="18"/>
          <w:szCs w:val="18"/>
          <w:color w:val="auto"/>
        </w:rPr>
        <w:t>In the event any Registrable Securities are included in a registration statement under Sections 2.2, 2.3 or 2.4:</w:t>
      </w:r>
    </w:p>
    <w:p>
      <w:pPr>
        <w:spacing w:after="0" w:line="121" w:lineRule="exact"/>
        <w:rPr>
          <w:sz w:val="20"/>
          <w:szCs w:val="20"/>
          <w:color w:val="auto"/>
        </w:rPr>
      </w:pPr>
    </w:p>
    <w:p>
      <w:pPr>
        <w:ind w:left="-40" w:firstLine="871"/>
        <w:spacing w:after="0" w:line="285" w:lineRule="auto"/>
        <w:tabs>
          <w:tab w:leader="none" w:pos="1095"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0" w:right="499" w:bottom="1440" w:gutter="0" w:footer="0" w:header="0"/>
        </w:sectPr>
      </w:pPr>
    </w:p>
    <w:bookmarkStart w:id="286" w:name="page287"/>
    <w:bookmarkEnd w:id="286"/>
    <w:p>
      <w:pPr>
        <w:ind w:left="-20" w:firstLine="871"/>
        <w:spacing w:after="0" w:line="285" w:lineRule="auto"/>
        <w:tabs>
          <w:tab w:leader="none" w:pos="1125"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6"/>
          <w:szCs w:val="16"/>
          <w:b w:val="1"/>
          <w:bCs w:val="1"/>
          <w:i w:val="1"/>
          <w:iCs w:val="1"/>
          <w:color w:val="auto"/>
        </w:rPr>
        <w:t>Holder Violation</w:t>
      </w:r>
      <w:r>
        <w:rPr>
          <w:rFonts w:ascii="Arial" w:cs="Arial" w:eastAsia="Arial" w:hAnsi="Arial"/>
          <w:sz w:val="16"/>
          <w:szCs w:val="16"/>
          <w:color w:val="auto"/>
        </w:rPr>
        <w:t xml:space="preserve">”), in each case to the extent (and only to the extent) that such Holder Violation occurs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or delayed;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any indemnity under this Section 2.8 exceed the net proceeds from the offering received by such Holder.</w:t>
      </w:r>
    </w:p>
    <w:p>
      <w:pPr>
        <w:spacing w:after="0" w:line="276" w:lineRule="exact"/>
        <w:rPr>
          <w:rFonts w:ascii="Arial" w:cs="Arial" w:eastAsia="Arial" w:hAnsi="Arial"/>
          <w:sz w:val="16"/>
          <w:szCs w:val="16"/>
          <w:b w:val="1"/>
          <w:bCs w:val="1"/>
          <w:color w:val="auto"/>
        </w:rPr>
      </w:pPr>
    </w:p>
    <w:p>
      <w:pPr>
        <w:ind w:left="-20" w:right="40" w:firstLine="871"/>
        <w:spacing w:after="0" w:line="269" w:lineRule="auto"/>
        <w:tabs>
          <w:tab w:leader="none" w:pos="1105"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274" w:right="479" w:bottom="1440" w:gutter="0" w:footer="0" w:header="0"/>
        </w:sectPr>
      </w:pPr>
    </w:p>
    <w:bookmarkStart w:id="287" w:name="page288"/>
    <w:bookmarkEnd w:id="287"/>
    <w:p>
      <w:pPr>
        <w:ind w:right="80" w:firstLine="871"/>
        <w:spacing w:after="0" w:line="269" w:lineRule="auto"/>
        <w:tabs>
          <w:tab w:leader="none" w:pos="1145"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contribution by a Holder hereunder exceed the net proceeds from the offering received by such Holder.</w:t>
      </w:r>
    </w:p>
    <w:p>
      <w:pPr>
        <w:spacing w:after="0" w:line="75" w:lineRule="exact"/>
        <w:rPr>
          <w:rFonts w:ascii="Arial" w:cs="Arial" w:eastAsia="Arial" w:hAnsi="Arial"/>
          <w:sz w:val="17"/>
          <w:szCs w:val="17"/>
          <w:b w:val="1"/>
          <w:bCs w:val="1"/>
          <w:color w:val="auto"/>
        </w:rPr>
      </w:pPr>
    </w:p>
    <w:p>
      <w:pPr>
        <w:ind w:firstLine="871"/>
        <w:spacing w:after="0" w:line="296" w:lineRule="auto"/>
        <w:tabs>
          <w:tab w:leader="none" w:pos="1125"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4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2.9 Assignment of Registration Rights. </w:t>
      </w:r>
      <w:r>
        <w:rPr>
          <w:rFonts w:ascii="Arial" w:cs="Arial" w:eastAsia="Arial" w:hAnsi="Arial"/>
          <w:sz w:val="18"/>
          <w:szCs w:val="18"/>
          <w:color w:val="auto"/>
        </w:rPr>
        <w:t>The rights to cause the Company to register Registrable Securities pursuant to this Section 2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assigned by a Holder to a transferee or assignee of Registrable Securities (for so long as such shares remain Registrable Securities) that (a) is a subsidiary, parent, general partner, limited partner, retired partner, member or retired member, or stockholder of a Holder that is a corporation, partnership or limited liability company, (b) is a Holder’s family member or trust for the benefit of an individual Holder, or (c) acquires at least five percent (5%) of the then outstanding shares of Registrable Securities (as adjusted for stock splits and combinations);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 the transferor shall, within ten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8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b w:val="1"/>
          <w:bCs w:val="1"/>
          <w:color w:val="auto"/>
        </w:rPr>
        <w:t xml:space="preserve">2.10 Limitation on Subsequent Registration Rights. </w:t>
      </w:r>
      <w:r>
        <w:rPr>
          <w:rFonts w:ascii="Arial" w:cs="Arial" w:eastAsia="Arial" w:hAnsi="Arial"/>
          <w:sz w:val="18"/>
          <w:szCs w:val="18"/>
          <w:color w:val="auto"/>
        </w:rPr>
        <w:t>Other than as provided in Section 5.10, after the date of this Agreement,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288" w:name="page289"/>
    <w:bookmarkEnd w:id="288"/>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“Market Stand-Off” Agreement. </w:t>
      </w:r>
      <w:r>
        <w:rPr>
          <w:rFonts w:ascii="Arial" w:cs="Arial" w:eastAsia="Arial" w:hAnsi="Arial"/>
          <w:sz w:val="17"/>
          <w:szCs w:val="17"/>
          <w:color w:val="auto"/>
        </w:rPr>
        <w:t>Each Holder hereby agrees that such Holder shall not sell, transfer, make any short sale of, grant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 for the purchase of, or enter into any hedging or similar transaction with the same economic effect as a sale, any Common Stock (or other securities) of the Company held by such Holder (other than those included in the registration) (i) during the 180-day period following the effective date of the Initial Offering (or such longer period, not to exceed 34 days after the expiration of the 180-day period, as the underwriters or the Company shall request in order to facilitate compliance with NASD Rule 2711 or NYSE Member Rule 472 or any successor or similar rule or regulation), and (ii) the 90-day period following the effective date of a registration statement of the Company filed under the Securities Act (or such longer period, not to exceed 34 days after the expiration of the 90-day period, as the underwriters or the Company shall request in order to facilitate compliance with NASD Rule 2711 or NYSE Member Rule 472 or any successor or similar rule or regulation);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(i) and (ii) above, all officers and directors of the Company and holders of at least one percent (1%) of the Company’s voting securities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6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2.12 Agreement to Furnish Information. </w:t>
      </w:r>
      <w:r>
        <w:rPr>
          <w:rFonts w:ascii="Arial" w:cs="Arial" w:eastAsia="Arial" w:hAnsi="Arial"/>
          <w:sz w:val="17"/>
          <w:szCs w:val="17"/>
          <w:color w:val="auto"/>
        </w:rPr>
        <w:t>Each Holder agrees to execute and deliver such other agreements as may be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67" w:lineRule="exact"/>
        <w:rPr>
          <w:sz w:val="20"/>
          <w:szCs w:val="20"/>
          <w:color w:val="auto"/>
        </w:rPr>
      </w:pPr>
    </w:p>
    <w:p>
      <w:pPr>
        <w:ind w:right="380" w:firstLine="440"/>
        <w:spacing w:after="0" w:line="312" w:lineRule="auto"/>
        <w:rPr>
          <w:sz w:val="20"/>
          <w:szCs w:val="20"/>
          <w:color w:val="auto"/>
        </w:rPr>
      </w:pPr>
      <w:r>
        <w:rPr>
          <w:rFonts w:ascii="Arial" w:cs="Arial" w:eastAsia="Arial" w:hAnsi="Arial"/>
          <w:sz w:val="17"/>
          <w:szCs w:val="17"/>
          <w:b w:val="1"/>
          <w:bCs w:val="1"/>
          <w:color w:val="auto"/>
        </w:rPr>
        <w:t xml:space="preserve">2.13 Rule 144 Reporting. </w:t>
      </w:r>
      <w:r>
        <w:rPr>
          <w:rFonts w:ascii="Arial" w:cs="Arial" w:eastAsia="Arial" w:hAnsi="Arial"/>
          <w:sz w:val="17"/>
          <w:szCs w:val="17"/>
          <w:color w:val="auto"/>
        </w:rPr>
        <w:t>With a view to making available to the Holders the benefits of certain rules and regulations of the SEC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the sale of the Registrable Securities to the public without registration, the Company agrees to use its best efforts to:</w:t>
      </w:r>
    </w:p>
    <w:p>
      <w:pPr>
        <w:spacing w:after="0" w:line="35" w:lineRule="exact"/>
        <w:rPr>
          <w:sz w:val="20"/>
          <w:szCs w:val="20"/>
          <w:color w:val="auto"/>
        </w:rPr>
      </w:pPr>
    </w:p>
    <w:p>
      <w:pPr>
        <w:ind w:right="300" w:firstLine="871"/>
        <w:spacing w:after="0" w:line="263" w:lineRule="auto"/>
        <w:tabs>
          <w:tab w:leader="none" w:pos="1135"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0" w:right="459" w:bottom="1440" w:gutter="0" w:footer="0" w:header="0"/>
        </w:sectPr>
      </w:pPr>
    </w:p>
    <w:bookmarkStart w:id="289" w:name="page290"/>
    <w:bookmarkEnd w:id="289"/>
    <w:p>
      <w:pPr>
        <w:ind w:right="120" w:firstLine="871"/>
        <w:spacing w:after="0" w:line="277" w:lineRule="auto"/>
        <w:tabs>
          <w:tab w:leader="none" w:pos="1145"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such action, including voluntary registration of its Common Stock under Section 12 of the Exchange Act, as is necessary to enable the Holders to utilize Form S-3 for the sale of their Registrable Securities;</w:t>
      </w:r>
    </w:p>
    <w:p>
      <w:pPr>
        <w:spacing w:after="0" w:line="61" w:lineRule="exact"/>
        <w:rPr>
          <w:rFonts w:ascii="Arial" w:cs="Arial" w:eastAsia="Arial" w:hAnsi="Arial"/>
          <w:sz w:val="18"/>
          <w:szCs w:val="18"/>
          <w:b w:val="1"/>
          <w:bCs w:val="1"/>
          <w:color w:val="auto"/>
        </w:rPr>
      </w:pPr>
    </w:p>
    <w:p>
      <w:pPr>
        <w:ind w:right="600" w:firstLine="871"/>
        <w:spacing w:after="0" w:line="277" w:lineRule="auto"/>
        <w:tabs>
          <w:tab w:leader="none" w:pos="1125"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File with the SEC, in a timely manner, all reports and other documents required of the Company under the Securities Act and the Exchange Act; and</w:t>
      </w:r>
    </w:p>
    <w:p>
      <w:pPr>
        <w:spacing w:after="0" w:line="61" w:lineRule="exact"/>
        <w:rPr>
          <w:rFonts w:ascii="Arial" w:cs="Arial" w:eastAsia="Arial" w:hAnsi="Arial"/>
          <w:sz w:val="18"/>
          <w:szCs w:val="18"/>
          <w:b w:val="1"/>
          <w:bCs w:val="1"/>
          <w:color w:val="auto"/>
        </w:rPr>
      </w:pPr>
    </w:p>
    <w:p>
      <w:pPr>
        <w:ind w:firstLine="871"/>
        <w:spacing w:after="0" w:line="256" w:lineRule="auto"/>
        <w:tabs>
          <w:tab w:leader="none" w:pos="1145"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7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b w:val="1"/>
          <w:bCs w:val="1"/>
          <w:color w:val="auto"/>
        </w:rPr>
        <w:t xml:space="preserve">2.14 Termination of Registration Rights. </w:t>
      </w:r>
      <w:r>
        <w:rPr>
          <w:rFonts w:ascii="Arial" w:cs="Arial" w:eastAsia="Arial" w:hAnsi="Arial"/>
          <w:sz w:val="16"/>
          <w:szCs w:val="16"/>
          <w:color w:val="auto"/>
        </w:rPr>
        <w:t>The right of any Holder to request registration or inclusion of Registrable Securities in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2.2, Section 2.3, or Section 2.4 hereof shall terminate upon the earlier of: (i) the date three (3) years following a Qualified Public Offering (as defined in the Amended and Restated Certificate of Incorporation of the Company, of even date herewith (the “</w:t>
      </w:r>
      <w:r>
        <w:rPr>
          <w:rFonts w:ascii="Arial" w:cs="Arial" w:eastAsia="Arial" w:hAnsi="Arial"/>
          <w:sz w:val="16"/>
          <w:szCs w:val="16"/>
          <w:b w:val="1"/>
          <w:bCs w:val="1"/>
          <w:i w:val="1"/>
          <w:iCs w:val="1"/>
          <w:color w:val="auto"/>
        </w:rPr>
        <w:t>Amended Charter</w:t>
      </w:r>
      <w:r>
        <w:rPr>
          <w:rFonts w:ascii="Arial" w:cs="Arial" w:eastAsia="Arial" w:hAnsi="Arial"/>
          <w:sz w:val="16"/>
          <w:szCs w:val="16"/>
          <w:color w:val="auto"/>
        </w:rPr>
        <w:t>”)) that results in the conversion of all outstanding shares of Preferred stock; (ii) such time as such Holder holds less than one percent (1%) of the Company’s outstanding Common Stock (treating all shares of Preferred Stock on an as converted basis), the Company has completed its Initial Offering and all Registrable Securities of the Company issuable or issued upon conversion of the Shares held by and issuable to such Holder (and its affiliates) may be sold pursuant to Rule 144 during any ninety (90) day period, or (iii) after consummation of a Liquidation Event (as defined in the Amended Charter). Upon such termination, such shares shall cease to be “Registrable Securities” hereunder for all purposes.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COVENANTS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Basic Financial Information and Reporting.</w:t>
      </w:r>
    </w:p>
    <w:p>
      <w:pPr>
        <w:spacing w:after="0" w:line="121" w:lineRule="exact"/>
        <w:rPr>
          <w:sz w:val="20"/>
          <w:szCs w:val="20"/>
          <w:color w:val="auto"/>
        </w:rPr>
      </w:pPr>
    </w:p>
    <w:p>
      <w:pPr>
        <w:ind w:right="60" w:firstLine="871"/>
        <w:spacing w:after="0" w:line="259" w:lineRule="auto"/>
        <w:tabs>
          <w:tab w:leader="none" w:pos="1135"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or as disclosed to the recipients thereof), and will set aside on its books all such proper accruals and reserves as shall be required under generally accepted accounting principles consistently applied.</w:t>
      </w:r>
    </w:p>
    <w:p>
      <w:pPr>
        <w:spacing w:after="0" w:line="77" w:lineRule="exact"/>
        <w:rPr>
          <w:rFonts w:ascii="Arial" w:cs="Arial" w:eastAsia="Arial" w:hAnsi="Arial"/>
          <w:sz w:val="18"/>
          <w:szCs w:val="18"/>
          <w:b w:val="1"/>
          <w:bCs w:val="1"/>
          <w:color w:val="auto"/>
        </w:rPr>
      </w:pPr>
    </w:p>
    <w:p>
      <w:pPr>
        <w:ind w:right="40" w:firstLine="871"/>
        <w:spacing w:after="0" w:line="293" w:lineRule="auto"/>
        <w:tabs>
          <w:tab w:leader="none" w:pos="1145"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To the extent requested by a Major Investor (as defined below), as soon as practicable after the end of each fiscal year of the Company, and in any event within one hundred twenty (120) days thereafter, the Company will furnish such Major Investor a balance sheet of the Company, as at the end of such fiscal year, and a statement of income and a statement of cash flows of the Company, for such year, all prepared in accordance with generally accepted accounting principles consistently applied (except as noted therein or as disclosed to the recipients thereof) and setting forth in each case in comparative form the figures for the previous fiscal year, all in reasonable detail. Such financial statements shall be accompanied by a report and opinion thereon by independent public accountants of national standing selected by the Company’s Board of Directors.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90" w:name="page291"/>
    <w:bookmarkEnd w:id="290"/>
    <w:p>
      <w:pPr>
        <w:ind w:right="20" w:firstLine="871"/>
        <w:spacing w:after="0" w:line="255" w:lineRule="auto"/>
        <w:tabs>
          <w:tab w:leader="none" w:pos="1125"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requested by a Major Investor (as defined below), the Company will furnish such Major Investor, as soon as practicable after the end of each quarterly accounting period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or as disclosed to the recipients thereof), with the exception that no notes need be attached to such statements and year-end audit adjustments may not have been made.</w:t>
      </w:r>
    </w:p>
    <w:p>
      <w:pPr>
        <w:spacing w:after="0" w:line="83" w:lineRule="exact"/>
        <w:rPr>
          <w:rFonts w:ascii="Arial" w:cs="Arial" w:eastAsia="Arial" w:hAnsi="Arial"/>
          <w:sz w:val="18"/>
          <w:szCs w:val="18"/>
          <w:b w:val="1"/>
          <w:bCs w:val="1"/>
          <w:color w:val="auto"/>
        </w:rPr>
      </w:pPr>
    </w:p>
    <w:p>
      <w:pPr>
        <w:ind w:right="20" w:firstLine="871"/>
        <w:spacing w:after="0" w:line="254" w:lineRule="auto"/>
        <w:tabs>
          <w:tab w:leader="none" w:pos="1145"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So long as an Investor (with its affiliates) shall own not less than five percent (5%) of the Preferred Stock of the Company (as adjusted for stock splits and combinations) (a “</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the Company will furnish each such Major Investor: (i) at least thirty (30) days prior to the beginning of each fiscal year an annual budget and operating plans for such fiscal year (and as soon as available, any subsequent written revisions thereto); and (ii) as soon as practicable after the end of each month, and in any event within twenty (20) days thereafter, a balance sheet of the Company as of the end of each such month, and a statement of income and a statement of cash flows of the Company for such month and for the current fiscal year to date, including a comparison to plan figures for such period, prepared in accordance with generally accepted accounting principles consistently applied (except as noted thereon), with the exception that no notes need be attached to such statements and year-end audit adjustments may not have been made.</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71" w:lineRule="exact"/>
        <w:rPr>
          <w:sz w:val="20"/>
          <w:szCs w:val="20"/>
          <w:color w:val="auto"/>
        </w:rPr>
      </w:pPr>
    </w:p>
    <w:p>
      <w:pPr>
        <w:ind w:right="80" w:firstLine="440"/>
        <w:spacing w:after="0" w:line="276" w:lineRule="auto"/>
        <w:rPr>
          <w:sz w:val="20"/>
          <w:szCs w:val="20"/>
          <w:color w:val="auto"/>
        </w:rPr>
      </w:pPr>
      <w:r>
        <w:rPr>
          <w:rFonts w:ascii="Arial" w:cs="Arial" w:eastAsia="Arial" w:hAnsi="Arial"/>
          <w:sz w:val="17"/>
          <w:szCs w:val="17"/>
          <w:b w:val="1"/>
          <w:bCs w:val="1"/>
          <w:color w:val="auto"/>
        </w:rPr>
        <w:t xml:space="preserve">3.2 Inspection Rights. </w:t>
      </w:r>
      <w:r>
        <w:rPr>
          <w:rFonts w:ascii="Arial" w:cs="Arial" w:eastAsia="Arial" w:hAnsi="Arial"/>
          <w:sz w:val="17"/>
          <w:szCs w:val="17"/>
          <w:color w:val="auto"/>
        </w:rPr>
        <w:t>Each Major Investor shall have the right to visit and inspect any of the properties of the Company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subsidiaries, 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under this Section 3.2 with respect to a competitor of the Company or with respect to information which the Board of Directors determines in good faith is confidential or attorney-client privileged and should not, therefore, be disclosed.</w:t>
      </w:r>
    </w:p>
    <w:p>
      <w:pPr>
        <w:spacing w:after="0" w:line="63" w:lineRule="exact"/>
        <w:rPr>
          <w:sz w:val="20"/>
          <w:szCs w:val="20"/>
          <w:color w:val="auto"/>
        </w:rPr>
      </w:pPr>
    </w:p>
    <w:p>
      <w:pPr>
        <w:ind w:right="80" w:firstLine="440"/>
        <w:spacing w:after="0" w:line="280" w:lineRule="auto"/>
        <w:rPr>
          <w:sz w:val="20"/>
          <w:szCs w:val="20"/>
          <w:color w:val="auto"/>
        </w:rPr>
      </w:pPr>
      <w:r>
        <w:rPr>
          <w:rFonts w:ascii="Arial" w:cs="Arial" w:eastAsia="Arial" w:hAnsi="Arial"/>
          <w:sz w:val="17"/>
          <w:szCs w:val="17"/>
          <w:b w:val="1"/>
          <w:bCs w:val="1"/>
          <w:color w:val="auto"/>
        </w:rPr>
        <w:t xml:space="preserve">3.3 Confidentiality of Records. </w:t>
      </w:r>
      <w:r>
        <w:rPr>
          <w:rFonts w:ascii="Arial" w:cs="Arial" w:eastAsia="Arial" w:hAnsi="Arial"/>
          <w:sz w:val="17"/>
          <w:szCs w:val="17"/>
          <w:color w:val="auto"/>
        </w:rPr>
        <w:t>Each Investor agrees to use the same degree of care as such Investor uses to protect its own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to keep confidential any information furnished to such Investor pursuant to Section 3.1 and 3.2 hereof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291" w:name="page292"/>
    <w:bookmarkEnd w:id="291"/>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(v) as required by applicable law or (vi) to any legal counsel or accountants of an Investor as long as such legal counsel or accountant is advised of and agrees to be bound by the confidentiality provisions of this Section 3.3 or comparable restrictions.</w:t>
      </w:r>
    </w:p>
    <w:p>
      <w:pPr>
        <w:spacing w:after="0" w:line="63" w:lineRule="exact"/>
        <w:rPr>
          <w:sz w:val="20"/>
          <w:szCs w:val="20"/>
          <w:color w:val="auto"/>
        </w:rPr>
      </w:pPr>
    </w:p>
    <w:p>
      <w:pPr>
        <w:ind w:right="680" w:firstLine="440"/>
        <w:spacing w:after="0" w:line="281"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Preferred Stock, all Common Stock issuable from time to time upon such conversion.</w:t>
      </w:r>
    </w:p>
    <w:p>
      <w:pPr>
        <w:spacing w:after="0" w:line="55"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b w:val="1"/>
          <w:bCs w:val="1"/>
          <w:color w:val="auto"/>
        </w:rPr>
        <w:t xml:space="preserve">3.5 Stock Vesting. </w:t>
      </w:r>
      <w:r>
        <w:rPr>
          <w:rFonts w:ascii="Arial" w:cs="Arial" w:eastAsia="Arial" w:hAnsi="Arial"/>
          <w:sz w:val="16"/>
          <w:szCs w:val="16"/>
          <w:color w:val="auto"/>
        </w:rPr>
        <w:t>Unless otherwise approved by the Board of Directors, all stock options and other stock equivalents issued after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employees, directors, consultants and other service providers shall be subject to vesting as follows: (a) twenty-five percent (25%) of such stock shall vest at the end of the first year following the earlier of the date of issuance or such person’s services commencement date with the Company, and (b) seventy-five percent (75%) of such stock shall vest over the remaining three (3) years. Unless otherwise approved by the Board of Directors, if an employee is terminated or resigns from the Company for any reason, all unvested options will expire immediately, and the employee will have ninety (90) days to exercise all vested options, after which time, all unexercised vested options will expire.</w:t>
      </w:r>
    </w:p>
    <w:p>
      <w:pPr>
        <w:spacing w:after="0" w:line="5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3.6 Protective Provision. </w:t>
      </w:r>
      <w:r>
        <w:rPr>
          <w:rFonts w:ascii="Arial" w:cs="Arial" w:eastAsia="Arial" w:hAnsi="Arial"/>
          <w:sz w:val="17"/>
          <w:szCs w:val="17"/>
          <w:color w:val="auto"/>
        </w:rPr>
        <w:t>So long as at least 1,000,000 shares of Preferred Stock remain outstanding (as adjusted for stock splits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combinations), in the aggregate, the Company will not, without approval of the Board of Directors, do any of the following: (i) make any capital expenditures (including expenditures under capitalized leases) that are more than ten (10%) in excess of the annual budget approved by the Board of Directors, (ii) incur any indebtedness of more than $1,000,000 in the aggregate, (iii) agree to any sale, transfer, disposition, or license of any intellectual property rights of the Company or other Company assets, except in the ordinary course of business; (iv) use any Company assets for the redemption, retirement, purchase or acquisition, directly or indirectly, of any of the Company’s stock, options or convertible debt, (v) enter into or be a party to any transaction with any director, officer or employee of the Company, except transactions made in the ordinary course of business and pursuant to reasonable requirements of the Company’s business and upon fair and reasonable terms; or (vi) change the principal business of the Company, enter new lines of business, or exit the current line of business.</w:t>
      </w:r>
    </w:p>
    <w:p>
      <w:pPr>
        <w:spacing w:after="0" w:line="71"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3.7 Director and Officer Insurance. </w:t>
      </w:r>
      <w:r>
        <w:rPr>
          <w:rFonts w:ascii="Arial" w:cs="Arial" w:eastAsia="Arial" w:hAnsi="Arial"/>
          <w:sz w:val="16"/>
          <w:szCs w:val="16"/>
          <w:color w:val="auto"/>
        </w:rPr>
        <w:t>The Company will use its best efforts to maintain (unless otherwise approved by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full force and effect director and officer liability insurance in the amount as determined by a majority of the Company’s Board of Directors.</w:t>
      </w:r>
    </w:p>
    <w:p>
      <w:pPr>
        <w:spacing w:after="0" w:line="8" w:lineRule="exact"/>
        <w:rPr>
          <w:sz w:val="20"/>
          <w:szCs w:val="20"/>
          <w:color w:val="auto"/>
        </w:rPr>
      </w:pPr>
    </w:p>
    <w:p>
      <w:pPr>
        <w:jc w:val="both"/>
        <w:ind w:right="540" w:firstLine="440"/>
        <w:spacing w:after="0" w:line="266" w:lineRule="auto"/>
        <w:rPr>
          <w:sz w:val="20"/>
          <w:szCs w:val="20"/>
          <w:color w:val="auto"/>
        </w:rPr>
      </w:pPr>
      <w:r>
        <w:rPr>
          <w:rFonts w:ascii="Arial" w:cs="Arial" w:eastAsia="Arial" w:hAnsi="Arial"/>
          <w:sz w:val="18"/>
          <w:szCs w:val="18"/>
          <w:b w:val="1"/>
          <w:bCs w:val="1"/>
          <w:color w:val="auto"/>
        </w:rPr>
        <w:t xml:space="preserve">3.8 Proprietary Information and Inventions Agreement. </w:t>
      </w:r>
      <w:r>
        <w:rPr>
          <w:rFonts w:ascii="Arial" w:cs="Arial" w:eastAsia="Arial" w:hAnsi="Arial"/>
          <w:sz w:val="18"/>
          <w:szCs w:val="18"/>
          <w:color w:val="auto"/>
        </w:rPr>
        <w:t>The Company shall require all employees to execute and deliver a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substantially in a form approved by the Company’s counsel or Board of Directors and shall obtain from all consultants a proprietary information and inventions assignment.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92" w:name="page293"/>
    <w:bookmarkEnd w:id="292"/>
    <w:p>
      <w:pPr>
        <w:ind w:left="10" w:right="20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3.9 Directors’ Liability and Indemnification. </w:t>
      </w:r>
      <w:r>
        <w:rPr>
          <w:rFonts w:ascii="Arial" w:cs="Arial" w:eastAsia="Arial" w:hAnsi="Arial"/>
          <w:sz w:val="18"/>
          <w:szCs w:val="18"/>
          <w:color w:val="auto"/>
        </w:rPr>
        <w:t>The Amended Charter and Bylaws shall provide (a) for elimination of the liability of director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extent permitted by law and (b) for indemnification of directors for acts on behalf of the Company to the maximum extent permitted by law. In addition, the Company shall enter into and use its best efforts to at all times maintain indemnification agreements, substantially in a form approved by the Company’s counsel or Board of Directors, with each of its directors to indemnify such directors to the maximum extent permissible under applicable law.</w:t>
      </w:r>
    </w:p>
    <w:p>
      <w:pPr>
        <w:spacing w:after="0" w:line="75" w:lineRule="exact"/>
        <w:rPr>
          <w:sz w:val="20"/>
          <w:szCs w:val="20"/>
          <w:color w:val="auto"/>
        </w:rPr>
      </w:pPr>
    </w:p>
    <w:p>
      <w:pPr>
        <w:ind w:left="10" w:right="140" w:firstLine="440"/>
        <w:spacing w:after="0" w:line="258" w:lineRule="auto"/>
        <w:rPr>
          <w:sz w:val="20"/>
          <w:szCs w:val="20"/>
          <w:color w:val="auto"/>
        </w:rPr>
      </w:pPr>
      <w:r>
        <w:rPr>
          <w:rFonts w:ascii="Arial" w:cs="Arial" w:eastAsia="Arial" w:hAnsi="Arial"/>
          <w:sz w:val="18"/>
          <w:szCs w:val="18"/>
          <w:b w:val="1"/>
          <w:bCs w:val="1"/>
          <w:color w:val="auto"/>
        </w:rPr>
        <w:t xml:space="preserve">3.10 Qualified Small Business. </w:t>
      </w:r>
      <w:r>
        <w:rPr>
          <w:rFonts w:ascii="Arial" w:cs="Arial" w:eastAsia="Arial" w:hAnsi="Arial"/>
          <w:sz w:val="18"/>
          <w:szCs w:val="18"/>
          <w:color w:val="auto"/>
        </w:rPr>
        <w:t>The Company will use reasonable efforts to comply with the reporting and recordkeeping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1202 of the Internal Revenue Code of 1986, as amended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any regulations promulgated thereunder and any similar state laws and regulations, and agrees not to repurchase any stock of the Company if such repurchase would cause the Shares not to so qualify as “Qualified Small Business Stock,” so long as the Company’s Board of Directors determines that it is in the best interests of and not unduly burdensome to the Company to comply with the provisions of Section 1202 of the Code.</w:t>
      </w:r>
    </w:p>
    <w:p>
      <w:pPr>
        <w:spacing w:after="0" w:line="75" w:lineRule="exact"/>
        <w:rPr>
          <w:sz w:val="20"/>
          <w:szCs w:val="20"/>
          <w:color w:val="auto"/>
        </w:rPr>
      </w:pPr>
    </w:p>
    <w:p>
      <w:pPr>
        <w:jc w:val="both"/>
        <w:ind w:left="10" w:right="160" w:firstLine="440"/>
        <w:spacing w:after="0" w:line="266" w:lineRule="auto"/>
        <w:rPr>
          <w:sz w:val="20"/>
          <w:szCs w:val="20"/>
          <w:color w:val="auto"/>
        </w:rPr>
      </w:pPr>
      <w:r>
        <w:rPr>
          <w:rFonts w:ascii="Arial" w:cs="Arial" w:eastAsia="Arial" w:hAnsi="Arial"/>
          <w:sz w:val="18"/>
          <w:szCs w:val="18"/>
          <w:b w:val="1"/>
          <w:bCs w:val="1"/>
          <w:color w:val="auto"/>
        </w:rPr>
        <w:t xml:space="preserve">3.11 Termination of Covenants. </w:t>
      </w:r>
      <w:r>
        <w:rPr>
          <w:rFonts w:ascii="Arial" w:cs="Arial" w:eastAsia="Arial" w:hAnsi="Arial"/>
          <w:sz w:val="18"/>
          <w:szCs w:val="18"/>
          <w:color w:val="auto"/>
        </w:rPr>
        <w:t>All covenants of the Company contained in Section 3 of this Agreement (other than the provisions of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3.3 and 3.7) shall expire and terminate as to each Investor upon the earlier of (i) the effective date of the registration statement pertaining to an Initial Offering or (ii) upon an “Acquisition” (as defined in the Amended Charter).</w:t>
      </w:r>
    </w:p>
    <w:p>
      <w:pPr>
        <w:spacing w:after="0" w:line="67" w:lineRule="exact"/>
        <w:rPr>
          <w:sz w:val="20"/>
          <w:szCs w:val="20"/>
          <w:color w:val="auto"/>
        </w:rPr>
      </w:pPr>
    </w:p>
    <w:p>
      <w:pPr>
        <w:ind w:left="10" w:right="640" w:firstLine="440"/>
        <w:spacing w:after="0" w:line="281" w:lineRule="auto"/>
        <w:rPr>
          <w:sz w:val="20"/>
          <w:szCs w:val="20"/>
          <w:color w:val="auto"/>
        </w:rPr>
      </w:pPr>
      <w:r>
        <w:rPr>
          <w:rFonts w:ascii="Arial" w:cs="Arial" w:eastAsia="Arial" w:hAnsi="Arial"/>
          <w:sz w:val="18"/>
          <w:szCs w:val="18"/>
          <w:b w:val="1"/>
          <w:bCs w:val="1"/>
          <w:color w:val="auto"/>
        </w:rPr>
        <w:t xml:space="preserve">3.12 Director’s Expenses. </w:t>
      </w:r>
      <w:r>
        <w:rPr>
          <w:rFonts w:ascii="Arial" w:cs="Arial" w:eastAsia="Arial" w:hAnsi="Arial"/>
          <w:sz w:val="18"/>
          <w:szCs w:val="18"/>
          <w:color w:val="auto"/>
        </w:rPr>
        <w:t>The Company shall reimburse non-employee directors for all reasonable travel and other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attending meetings of the Board of Directors.</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4. RIGHTS OF FIRST REFUSAL.</w:t>
      </w:r>
    </w:p>
    <w:p>
      <w:pPr>
        <w:spacing w:after="0" w:line="117" w:lineRule="exact"/>
        <w:rPr>
          <w:sz w:val="20"/>
          <w:szCs w:val="20"/>
          <w:color w:val="auto"/>
        </w:rPr>
      </w:pPr>
    </w:p>
    <w:p>
      <w:pPr>
        <w:ind w:left="10" w:firstLine="440"/>
        <w:spacing w:after="0" w:line="284" w:lineRule="auto"/>
        <w:rPr>
          <w:sz w:val="20"/>
          <w:szCs w:val="20"/>
          <w:color w:val="auto"/>
        </w:rPr>
      </w:pPr>
      <w:r>
        <w:rPr>
          <w:rFonts w:ascii="Arial" w:cs="Arial" w:eastAsia="Arial" w:hAnsi="Arial"/>
          <w:sz w:val="16"/>
          <w:szCs w:val="16"/>
          <w:b w:val="1"/>
          <w:bCs w:val="1"/>
          <w:color w:val="auto"/>
        </w:rPr>
        <w:t xml:space="preserve">4.1 Subsequent Offerings. </w:t>
      </w:r>
      <w:r>
        <w:rPr>
          <w:rFonts w:ascii="Arial" w:cs="Arial" w:eastAsia="Arial" w:hAnsi="Arial"/>
          <w:sz w:val="16"/>
          <w:szCs w:val="16"/>
          <w:color w:val="auto"/>
        </w:rPr>
        <w:t>Subject to applicable securities laws, each Major Investor shall have a right of first refusal to purchase its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 of all Equity Securities, as defined below, that the Company may, from time to time, propose to sell and issue after the date of this Agreement, other than the Equity Securities excluded by Section 4.6 hereof. Each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shares of the Company’s Common Stock (including all shares of Common Stock issuable or issued upon conversion of the Shares or upon the exercise of outstanding warrants or options) of which such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w:t>
      </w:r>
    </w:p>
    <w:p>
      <w:pPr>
        <w:spacing w:after="0" w:line="1" w:lineRule="exact"/>
        <w:rPr>
          <w:sz w:val="20"/>
          <w:szCs w:val="20"/>
          <w:color w:val="auto"/>
        </w:rPr>
      </w:pPr>
    </w:p>
    <w:p>
      <w:pPr>
        <w:ind w:left="10" w:hanging="10"/>
        <w:spacing w:after="0" w:line="260" w:lineRule="auto"/>
        <w:tabs>
          <w:tab w:leader="none" w:pos="3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security carrying any warrant or right to subscribe to or purchase any Common Stock, Preferred Stock or other security or (iv) any such warrant or right.</w:t>
      </w:r>
    </w:p>
    <w:p>
      <w:pPr>
        <w:spacing w:after="0" w:line="73" w:lineRule="exact"/>
        <w:rPr>
          <w:sz w:val="20"/>
          <w:szCs w:val="20"/>
          <w:color w:val="auto"/>
        </w:rPr>
      </w:pPr>
    </w:p>
    <w:p>
      <w:pPr>
        <w:ind w:left="10" w:right="40" w:firstLine="440"/>
        <w:spacing w:after="0" w:line="266" w:lineRule="auto"/>
        <w:rPr>
          <w:sz w:val="20"/>
          <w:szCs w:val="20"/>
          <w:color w:val="auto"/>
        </w:rPr>
      </w:pPr>
      <w:r>
        <w:rPr>
          <w:rFonts w:ascii="Arial" w:cs="Arial" w:eastAsia="Arial" w:hAnsi="Arial"/>
          <w:sz w:val="18"/>
          <w:szCs w:val="18"/>
          <w:b w:val="1"/>
          <w:bCs w:val="1"/>
          <w:color w:val="auto"/>
        </w:rPr>
        <w:t xml:space="preserve">4.2 Exercise of Rights. </w:t>
      </w:r>
      <w:r>
        <w:rPr>
          <w:rFonts w:ascii="Arial" w:cs="Arial" w:eastAsia="Arial" w:hAnsi="Arial"/>
          <w:sz w:val="18"/>
          <w:szCs w:val="18"/>
          <w:color w:val="auto"/>
        </w:rPr>
        <w:t>If the Company proposes to issue any Equity Securities, it shall give each Major Investor written notice of its intention,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the Equity Securities, the price and the terms and conditions upon which the Company proposes to issue the same. Each Major Investor shall have fifteen (15) days from the giving of such notice to agree to purchase up</w:t>
      </w:r>
    </w:p>
    <w:p>
      <w:pPr>
        <w:spacing w:after="0" w:line="112"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70"/>
          </w:cols>
          <w:pgMar w:left="450" w:top="270" w:right="479" w:bottom="1440" w:gutter="0" w:footer="0" w:header="0"/>
        </w:sectPr>
      </w:pPr>
    </w:p>
    <w:bookmarkStart w:id="293" w:name="page294"/>
    <w:bookmarkEnd w:id="293"/>
    <w:p>
      <w:pPr>
        <w:ind w:left="1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74" w:lineRule="exact"/>
        <w:rPr>
          <w:sz w:val="20"/>
          <w:szCs w:val="20"/>
          <w:color w:val="auto"/>
        </w:rPr>
      </w:pPr>
    </w:p>
    <w:p>
      <w:pPr>
        <w:ind w:left="10" w:right="100" w:firstLine="440"/>
        <w:spacing w:after="0" w:line="289" w:lineRule="auto"/>
        <w:rPr>
          <w:sz w:val="20"/>
          <w:szCs w:val="20"/>
          <w:color w:val="auto"/>
        </w:rPr>
      </w:pPr>
      <w:r>
        <w:rPr>
          <w:rFonts w:ascii="Arial" w:cs="Arial" w:eastAsia="Arial" w:hAnsi="Arial"/>
          <w:sz w:val="16"/>
          <w:szCs w:val="16"/>
          <w:b w:val="1"/>
          <w:bCs w:val="1"/>
          <w:color w:val="auto"/>
        </w:rPr>
        <w:t>4.3 Issuance of Equity Securities to Other Persons</w:t>
      </w:r>
      <w:r>
        <w:rPr>
          <w:rFonts w:ascii="Arial" w:cs="Arial" w:eastAsia="Arial" w:hAnsi="Arial"/>
          <w:sz w:val="16"/>
          <w:szCs w:val="16"/>
          <w:color w:val="auto"/>
        </w:rPr>
        <w:t>. If not all of the Major Investors elect to purchase their entire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then the Company shall promptly notify in writing the Major Investors who do so elect (each, a “</w:t>
      </w:r>
      <w:r>
        <w:rPr>
          <w:rFonts w:ascii="Arial" w:cs="Arial" w:eastAsia="Arial" w:hAnsi="Arial"/>
          <w:sz w:val="16"/>
          <w:szCs w:val="16"/>
          <w:b w:val="1"/>
          <w:bCs w:val="1"/>
          <w:i w:val="1"/>
          <w:iCs w:val="1"/>
          <w:color w:val="auto"/>
        </w:rPr>
        <w:t>Fully Exercising Investor</w:t>
      </w:r>
      <w:r>
        <w:rPr>
          <w:rFonts w:ascii="Arial" w:cs="Arial" w:eastAsia="Arial" w:hAnsi="Arial"/>
          <w:sz w:val="16"/>
          <w:szCs w:val="16"/>
          <w:color w:val="auto"/>
        </w:rPr>
        <w:t xml:space="preserve">”) and shall offer each such Fully Exercising Investor the right to acquire such unsubscribed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Each Fully Exercising Investor shall have five</w:t>
      </w:r>
    </w:p>
    <w:p>
      <w:pPr>
        <w:spacing w:after="0" w:line="1" w:lineRule="exact"/>
        <w:rPr>
          <w:sz w:val="20"/>
          <w:szCs w:val="20"/>
          <w:color w:val="auto"/>
        </w:rPr>
      </w:pPr>
    </w:p>
    <w:p>
      <w:pPr>
        <w:ind w:left="10" w:right="100" w:hanging="10"/>
        <w:spacing w:after="0" w:line="252" w:lineRule="auto"/>
        <w:tabs>
          <w:tab w:leader="none" w:pos="26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days after receipt of such notice to notify the Company of its election to purchase all or a portion thereof of the unsubscribed shares. The Company shall have ninety (90) days thereafter to sell the Equity Securities in respect of which the Major Investor’s or Fully Exercising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reoffering such securities to the Major Investors in the manner provided above.</w:t>
      </w:r>
    </w:p>
    <w:p>
      <w:pPr>
        <w:spacing w:after="0" w:line="81" w:lineRule="exact"/>
        <w:rPr>
          <w:sz w:val="20"/>
          <w:szCs w:val="20"/>
          <w:color w:val="auto"/>
        </w:rPr>
      </w:pPr>
    </w:p>
    <w:p>
      <w:pPr>
        <w:ind w:left="10" w:right="20" w:firstLine="440"/>
        <w:spacing w:after="0" w:line="258" w:lineRule="auto"/>
        <w:rPr>
          <w:sz w:val="20"/>
          <w:szCs w:val="20"/>
          <w:color w:val="auto"/>
        </w:rPr>
      </w:pPr>
      <w:r>
        <w:rPr>
          <w:rFonts w:ascii="Arial" w:cs="Arial" w:eastAsia="Arial" w:hAnsi="Arial"/>
          <w:sz w:val="18"/>
          <w:szCs w:val="18"/>
          <w:b w:val="1"/>
          <w:bCs w:val="1"/>
          <w:color w:val="auto"/>
        </w:rPr>
        <w:t xml:space="preserve">4.4 Termination and Waiver of Rights of First Refusal. </w:t>
      </w:r>
      <w:r>
        <w:rPr>
          <w:rFonts w:ascii="Arial" w:cs="Arial" w:eastAsia="Arial" w:hAnsi="Arial"/>
          <w:sz w:val="18"/>
          <w:szCs w:val="18"/>
          <w:color w:val="auto"/>
        </w:rPr>
        <w:t>The rights of first refusal established by this Section 4 shall not apply to,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upon the earlier of (i) the effective date of the registration statement pertaining to the Company’s Initial Offering or (ii) an Acquisition.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w:t>
      </w:r>
    </w:p>
    <w:p>
      <w:pPr>
        <w:spacing w:after="0" w:line="75" w:lineRule="exact"/>
        <w:rPr>
          <w:sz w:val="20"/>
          <w:szCs w:val="20"/>
          <w:color w:val="auto"/>
        </w:rPr>
      </w:pPr>
    </w:p>
    <w:p>
      <w:pPr>
        <w:ind w:left="10" w:right="260" w:firstLine="440"/>
        <w:spacing w:after="0" w:line="281" w:lineRule="auto"/>
        <w:rPr>
          <w:sz w:val="20"/>
          <w:szCs w:val="20"/>
          <w:color w:val="auto"/>
        </w:rPr>
      </w:pPr>
      <w:r>
        <w:rPr>
          <w:rFonts w:ascii="Arial" w:cs="Arial" w:eastAsia="Arial" w:hAnsi="Arial"/>
          <w:sz w:val="18"/>
          <w:szCs w:val="18"/>
          <w:b w:val="1"/>
          <w:bCs w:val="1"/>
          <w:color w:val="auto"/>
        </w:rPr>
        <w:t xml:space="preserve">4.5 Assignment of Rights of First Refusal. </w:t>
      </w:r>
      <w:r>
        <w:rPr>
          <w:rFonts w:ascii="Arial" w:cs="Arial" w:eastAsia="Arial" w:hAnsi="Arial"/>
          <w:sz w:val="18"/>
          <w:szCs w:val="18"/>
          <w:color w:val="auto"/>
        </w:rPr>
        <w:t>The rights of first refusal of each Major Investor under this Section 4 may be assigned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subject to the same restrictions as any transfer of registration rights pursuant to Section 2.9.</w:t>
      </w:r>
    </w:p>
    <w:p>
      <w:pPr>
        <w:spacing w:after="0" w:line="55" w:lineRule="exact"/>
        <w:rPr>
          <w:sz w:val="20"/>
          <w:szCs w:val="20"/>
          <w:color w:val="auto"/>
        </w:rPr>
      </w:pPr>
    </w:p>
    <w:p>
      <w:pPr>
        <w:ind w:left="10" w:right="740" w:firstLine="440"/>
        <w:spacing w:after="0" w:line="281" w:lineRule="auto"/>
        <w:rPr>
          <w:sz w:val="20"/>
          <w:szCs w:val="20"/>
          <w:color w:val="auto"/>
        </w:rPr>
      </w:pPr>
      <w:r>
        <w:rPr>
          <w:rFonts w:ascii="Arial" w:cs="Arial" w:eastAsia="Arial" w:hAnsi="Arial"/>
          <w:sz w:val="18"/>
          <w:szCs w:val="18"/>
          <w:b w:val="1"/>
          <w:bCs w:val="1"/>
          <w:color w:val="auto"/>
        </w:rPr>
        <w:t xml:space="preserve">4.6 Excluded Securities. </w:t>
      </w:r>
      <w:r>
        <w:rPr>
          <w:rFonts w:ascii="Arial" w:cs="Arial" w:eastAsia="Arial" w:hAnsi="Arial"/>
          <w:sz w:val="18"/>
          <w:szCs w:val="18"/>
          <w:color w:val="auto"/>
        </w:rPr>
        <w:t>The rights of first refusal established by this Section 4 shall have no application to any of the following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59" w:lineRule="exact"/>
        <w:rPr>
          <w:sz w:val="20"/>
          <w:szCs w:val="20"/>
          <w:color w:val="auto"/>
        </w:rPr>
      </w:pPr>
    </w:p>
    <w:p>
      <w:pPr>
        <w:ind w:left="10" w:right="160" w:firstLine="871"/>
        <w:spacing w:after="0" w:line="279" w:lineRule="auto"/>
        <w:tabs>
          <w:tab w:leader="none" w:pos="1145"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t>shares of Common Stock and/or options, warrants or other Common Stock purchase rights and the Common Stock issued pursuant to such options, warrants or other rights (as adjusted for any stock dividends, combinations, splits, recapitalizations and the like after the date hereof) issued or to be issued after the date hereof to employees, officers or directors of, or consultants or advisors to the Company or any subsidiary, pursuant to stock purchase or stock option plans or other arrangements that are approved by the Board of Directors;</w:t>
      </w:r>
    </w:p>
    <w:p>
      <w:pPr>
        <w:spacing w:after="0" w:line="62" w:lineRule="exact"/>
        <w:rPr>
          <w:rFonts w:ascii="Arial" w:cs="Arial" w:eastAsia="Arial" w:hAnsi="Arial"/>
          <w:sz w:val="17"/>
          <w:szCs w:val="17"/>
          <w:b w:val="1"/>
          <w:bCs w:val="1"/>
          <w:color w:val="auto"/>
        </w:rPr>
      </w:pPr>
    </w:p>
    <w:p>
      <w:pPr>
        <w:ind w:left="10" w:firstLine="871"/>
        <w:spacing w:after="0" w:line="259" w:lineRule="auto"/>
        <w:tabs>
          <w:tab w:leader="none" w:pos="1155"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4.6 with respect to the initial sale or grant by the Company of such rights or agreements;</w:t>
      </w:r>
    </w:p>
    <w:p>
      <w:pPr>
        <w:spacing w:after="0" w:line="11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0"/>
          </w:cols>
          <w:pgMar w:left="450" w:top="274" w:right="459" w:bottom="1440" w:gutter="0" w:footer="0" w:header="0"/>
        </w:sectPr>
      </w:pPr>
    </w:p>
    <w:bookmarkStart w:id="294" w:name="page295"/>
    <w:bookmarkEnd w:id="294"/>
    <w:p>
      <w:pPr>
        <w:ind w:left="1120" w:hanging="249"/>
        <w:spacing w:after="0"/>
        <w:tabs>
          <w:tab w:leader="none" w:pos="1120" w:val="left"/>
        </w:tabs>
        <w:numPr>
          <w:ilvl w:val="0"/>
          <w:numId w:val="21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Equity Securities issued for consideration other than cash pursuant to a merger, consolidation, acquisition or similar business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combination;</w:t>
      </w:r>
    </w:p>
    <w:p>
      <w:pPr>
        <w:spacing w:after="0" w:line="102" w:lineRule="exact"/>
        <w:rPr>
          <w:rFonts w:ascii="Arial" w:cs="Arial" w:eastAsia="Arial" w:hAnsi="Arial"/>
          <w:sz w:val="17"/>
          <w:szCs w:val="17"/>
          <w:b w:val="1"/>
          <w:bCs w:val="1"/>
          <w:color w:val="auto"/>
        </w:rPr>
      </w:pPr>
    </w:p>
    <w:p>
      <w:pPr>
        <w:ind w:left="1140" w:hanging="269"/>
        <w:spacing w:after="0"/>
        <w:tabs>
          <w:tab w:leader="none" w:pos="114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116" w:lineRule="exact"/>
        <w:rPr>
          <w:rFonts w:ascii="Arial" w:cs="Arial" w:eastAsia="Arial" w:hAnsi="Arial"/>
          <w:sz w:val="18"/>
          <w:szCs w:val="18"/>
          <w:b w:val="1"/>
          <w:bCs w:val="1"/>
          <w:color w:val="auto"/>
        </w:rPr>
      </w:pPr>
    </w:p>
    <w:p>
      <w:pPr>
        <w:ind w:firstLine="871"/>
        <w:spacing w:after="0" w:line="277" w:lineRule="auto"/>
        <w:tabs>
          <w:tab w:leader="none" w:pos="1125"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w:t>
      </w:r>
    </w:p>
    <w:p>
      <w:pPr>
        <w:spacing w:after="0" w:line="61" w:lineRule="exact"/>
        <w:rPr>
          <w:rFonts w:ascii="Arial" w:cs="Arial" w:eastAsia="Arial" w:hAnsi="Arial"/>
          <w:sz w:val="18"/>
          <w:szCs w:val="18"/>
          <w:b w:val="1"/>
          <w:bCs w:val="1"/>
          <w:color w:val="auto"/>
        </w:rPr>
      </w:pPr>
    </w:p>
    <w:p>
      <w:pPr>
        <w:ind w:left="1100" w:hanging="229"/>
        <w:spacing w:after="0"/>
        <w:tabs>
          <w:tab w:leader="none" w:pos="110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any Equity Securities that are issued by the Company pursuant to a registration statement filed under the Securities Act;</w:t>
      </w:r>
    </w:p>
    <w:p>
      <w:pPr>
        <w:spacing w:after="0" w:line="116" w:lineRule="exact"/>
        <w:rPr>
          <w:rFonts w:ascii="Arial" w:cs="Arial" w:eastAsia="Arial" w:hAnsi="Arial"/>
          <w:sz w:val="18"/>
          <w:szCs w:val="18"/>
          <w:b w:val="1"/>
          <w:bCs w:val="1"/>
          <w:color w:val="auto"/>
        </w:rPr>
      </w:pPr>
    </w:p>
    <w:p>
      <w:pPr>
        <w:ind w:right="440" w:firstLine="871"/>
        <w:spacing w:after="0" w:line="341" w:lineRule="auto"/>
        <w:tabs>
          <w:tab w:leader="none" w:pos="1135"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any Equity Securities issued in connection with strategic transactions involving the Company and other entities, including, without limitation (i) joint ventures, manufacturing, marketing or distribution arrangements or (ii) technology transfer or development arrangements; and</w:t>
      </w:r>
    </w:p>
    <w:p>
      <w:pPr>
        <w:spacing w:after="0" w:line="16" w:lineRule="exact"/>
        <w:rPr>
          <w:rFonts w:ascii="Arial" w:cs="Arial" w:eastAsia="Arial" w:hAnsi="Arial"/>
          <w:sz w:val="16"/>
          <w:szCs w:val="16"/>
          <w:b w:val="1"/>
          <w:bCs w:val="1"/>
          <w:color w:val="auto"/>
        </w:rPr>
      </w:pPr>
    </w:p>
    <w:p>
      <w:pPr>
        <w:ind w:left="1140" w:hanging="269"/>
        <w:spacing w:after="0"/>
        <w:tabs>
          <w:tab w:leader="none" w:pos="114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by the Company pursuant to the terms of Section 2.2 of the Purchase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11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5.1 Governing Law. </w:t>
      </w:r>
      <w:r>
        <w:rPr>
          <w:rFonts w:ascii="Arial" w:cs="Arial" w:eastAsia="Arial" w:hAnsi="Arial"/>
          <w:sz w:val="18"/>
          <w:szCs w:val="18"/>
          <w:color w:val="auto"/>
        </w:rPr>
        <w:t>This Agreement shall be governed by and construed under the laws of the State of California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California, without reference to conflicts of laws or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the County of Santa Clara, California.</w:t>
      </w:r>
    </w:p>
    <w:p>
      <w:pPr>
        <w:spacing w:after="0" w:line="75"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 xml:space="preserve">5.2 Successors and Assigns. </w:t>
      </w:r>
      <w:r>
        <w:rPr>
          <w:rFonts w:ascii="Arial" w:cs="Arial" w:eastAsia="Arial" w:hAnsi="Arial"/>
          <w:sz w:val="18"/>
          <w:szCs w:val="18"/>
          <w:color w:val="auto"/>
        </w:rPr>
        <w:t>Except as otherwise expressly provided herein, the provisions hereof shall inure to the benefit of,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upon, 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295" w:name="page296"/>
    <w:bookmarkEnd w:id="295"/>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Entire Agreement. </w:t>
      </w:r>
      <w:r>
        <w:rPr>
          <w:rFonts w:ascii="Arial" w:cs="Arial" w:eastAsia="Arial" w:hAnsi="Arial"/>
          <w:sz w:val="18"/>
          <w:szCs w:val="18"/>
          <w:color w:val="auto"/>
        </w:rPr>
        <w:t>This Agreement, the exhibits and schedule hereto, the Purchase Agreement and the other documents delivered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7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5.5 Amendment and Waiver.</w:t>
      </w:r>
    </w:p>
    <w:p>
      <w:pPr>
        <w:spacing w:after="0" w:line="121" w:lineRule="exact"/>
        <w:rPr>
          <w:sz w:val="20"/>
          <w:szCs w:val="20"/>
          <w:color w:val="auto"/>
        </w:rPr>
      </w:pPr>
    </w:p>
    <w:p>
      <w:pPr>
        <w:ind w:right="340" w:firstLine="871"/>
        <w:spacing w:after="0" w:line="263" w:lineRule="auto"/>
        <w:tabs>
          <w:tab w:leader="none" w:pos="1135"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a majority of the then-outstanding Registrable Securities.</w:t>
      </w:r>
    </w:p>
    <w:p>
      <w:pPr>
        <w:spacing w:after="0" w:line="74" w:lineRule="exact"/>
        <w:rPr>
          <w:rFonts w:ascii="Arial" w:cs="Arial" w:eastAsia="Arial" w:hAnsi="Arial"/>
          <w:sz w:val="18"/>
          <w:szCs w:val="18"/>
          <w:b w:val="1"/>
          <w:bCs w:val="1"/>
          <w:color w:val="auto"/>
        </w:rPr>
      </w:pPr>
    </w:p>
    <w:p>
      <w:pPr>
        <w:ind w:right="60" w:firstLine="871"/>
        <w:spacing w:after="0" w:line="277" w:lineRule="auto"/>
        <w:tabs>
          <w:tab w:leader="none" w:pos="1145"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5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5.6 Delays or Omissions. </w:t>
      </w:r>
      <w:r>
        <w:rPr>
          <w:rFonts w:ascii="Arial" w:cs="Arial" w:eastAsia="Arial" w:hAnsi="Arial"/>
          <w:sz w:val="18"/>
          <w:szCs w:val="18"/>
          <w:color w:val="auto"/>
        </w:rPr>
        <w:t>It is agreed that no delay or omission to exercise any right, power, or remedy accruing to any party, upon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79"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5.7 Notices. </w:t>
      </w:r>
      <w:r>
        <w:rPr>
          <w:rFonts w:ascii="Arial" w:cs="Arial" w:eastAsia="Arial" w:hAnsi="Arial"/>
          <w:sz w:val="16"/>
          <w:szCs w:val="16"/>
          <w:color w:val="auto"/>
        </w:rPr>
        <w:t>All notices required or permitted hereunder shall be in writing and shall be deemed effectively given: (a) upon personal delivery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Exhibit A hereto or at such other address or electronic mail address as such party may designate by ten (10) days advance written notice to the other parties hereto.</w:t>
      </w:r>
    </w:p>
    <w:p>
      <w:pPr>
        <w:spacing w:after="0" w:line="51" w:lineRule="exact"/>
        <w:rPr>
          <w:sz w:val="20"/>
          <w:szCs w:val="20"/>
          <w:color w:val="auto"/>
        </w:rPr>
      </w:pPr>
    </w:p>
    <w:p>
      <w:pPr>
        <w:ind w:right="20" w:firstLine="440"/>
        <w:spacing w:after="0" w:line="280" w:lineRule="auto"/>
        <w:rPr>
          <w:sz w:val="20"/>
          <w:szCs w:val="20"/>
          <w:color w:val="auto"/>
        </w:rPr>
      </w:pPr>
      <w:r>
        <w:rPr>
          <w:rFonts w:ascii="Arial" w:cs="Arial" w:eastAsia="Arial" w:hAnsi="Arial"/>
          <w:sz w:val="17"/>
          <w:szCs w:val="17"/>
          <w:b w:val="1"/>
          <w:bCs w:val="1"/>
          <w:color w:val="auto"/>
        </w:rPr>
        <w:t xml:space="preserve">5.8 Attorneys’ Fees. </w:t>
      </w:r>
      <w:r>
        <w:rPr>
          <w:rFonts w:ascii="Arial" w:cs="Arial" w:eastAsia="Arial" w:hAnsi="Arial"/>
          <w:sz w:val="17"/>
          <w:szCs w:val="17"/>
          <w:color w:val="auto"/>
        </w:rPr>
        <w:t>In the event that any suit or action is instituted under or in relation to this Agreement, including without limitation to enforce</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296" w:name="page297"/>
    <w:bookmarkEnd w:id="296"/>
    <w:p>
      <w:pPr>
        <w:ind w:left="10" w:right="420"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5.9 Titles and Subtitles. </w:t>
      </w:r>
      <w:r>
        <w:rPr>
          <w:rFonts w:ascii="Arial" w:cs="Arial" w:eastAsia="Arial" w:hAnsi="Arial"/>
          <w:sz w:val="18"/>
          <w:szCs w:val="18"/>
          <w:color w:val="auto"/>
        </w:rPr>
        <w:t>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55" w:lineRule="exact"/>
        <w:rPr>
          <w:sz w:val="20"/>
          <w:szCs w:val="20"/>
          <w:color w:val="auto"/>
        </w:rPr>
      </w:pPr>
    </w:p>
    <w:p>
      <w:pPr>
        <w:ind w:left="10" w:right="120" w:firstLine="440"/>
        <w:spacing w:after="0" w:line="287" w:lineRule="auto"/>
        <w:rPr>
          <w:sz w:val="20"/>
          <w:szCs w:val="20"/>
          <w:color w:val="auto"/>
        </w:rPr>
      </w:pPr>
      <w:r>
        <w:rPr>
          <w:rFonts w:ascii="Arial" w:cs="Arial" w:eastAsia="Arial" w:hAnsi="Arial"/>
          <w:sz w:val="16"/>
          <w:szCs w:val="16"/>
          <w:b w:val="1"/>
          <w:bCs w:val="1"/>
          <w:color w:val="auto"/>
        </w:rPr>
        <w:t xml:space="preserve">5.10 Additional Investors. </w:t>
      </w:r>
      <w:r>
        <w:rPr>
          <w:rFonts w:ascii="Arial" w:cs="Arial" w:eastAsia="Arial" w:hAnsi="Arial"/>
          <w:sz w:val="16"/>
          <w:szCs w:val="16"/>
          <w:color w:val="auto"/>
        </w:rPr>
        <w:t>Notwithstanding anything to the contrary contained herein, if the Company shall issue additional shares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pursuant to the Purchase Agreement, any purchaser of such shares of Preferred Stock shall become a party to this Agreement by executing and delivering an additional counterpart signature page to this Agreement and shall be deemed an “Investor,” a “Holder” and a party hereunder. Notwithstanding anything to the contrary contained herein, if the Company shall issue Equity Securities in accordance with Section 4.6 (c),</w:t>
      </w:r>
    </w:p>
    <w:p>
      <w:pPr>
        <w:spacing w:after="0" w:line="2" w:lineRule="exact"/>
        <w:rPr>
          <w:sz w:val="20"/>
          <w:szCs w:val="20"/>
          <w:color w:val="auto"/>
        </w:rPr>
      </w:pPr>
    </w:p>
    <w:p>
      <w:pPr>
        <w:ind w:left="10" w:right="160" w:hanging="10"/>
        <w:spacing w:after="0" w:line="260" w:lineRule="auto"/>
        <w:tabs>
          <w:tab w:leader="none" w:pos="25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or (h) of this Agreement, any purchaser of such Equity Securities may become a party to this Agreement by executing and delivering an additional counterpart signature page to this Agreement and shall be deemed an “Investor,” a “Holder” and a party hereunder.</w:t>
      </w:r>
    </w:p>
    <w:p>
      <w:pPr>
        <w:spacing w:after="0" w:line="73" w:lineRule="exact"/>
        <w:rPr>
          <w:sz w:val="20"/>
          <w:szCs w:val="20"/>
          <w:color w:val="auto"/>
        </w:rPr>
      </w:pPr>
    </w:p>
    <w:p>
      <w:pPr>
        <w:ind w:left="10" w:right="40" w:firstLine="440"/>
        <w:spacing w:after="0" w:line="281" w:lineRule="auto"/>
        <w:rPr>
          <w:sz w:val="20"/>
          <w:szCs w:val="20"/>
          <w:color w:val="auto"/>
        </w:rPr>
      </w:pPr>
      <w:r>
        <w:rPr>
          <w:rFonts w:ascii="Arial" w:cs="Arial" w:eastAsia="Arial" w:hAnsi="Arial"/>
          <w:sz w:val="18"/>
          <w:szCs w:val="18"/>
          <w:b w:val="1"/>
          <w:bCs w:val="1"/>
          <w:color w:val="auto"/>
        </w:rPr>
        <w:t xml:space="preserve">5.11 Counterparts. </w:t>
      </w:r>
      <w:r>
        <w:rPr>
          <w:rFonts w:ascii="Arial" w:cs="Arial" w:eastAsia="Arial" w:hAnsi="Arial"/>
          <w:sz w:val="18"/>
          <w:szCs w:val="18"/>
          <w:color w:val="auto"/>
        </w:rPr>
        <w:t>This Agreement may be executed in any number of counterparts, each of which shall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instrument.</w:t>
      </w:r>
    </w:p>
    <w:p>
      <w:pPr>
        <w:spacing w:after="0" w:line="55" w:lineRule="exact"/>
        <w:rPr>
          <w:sz w:val="20"/>
          <w:szCs w:val="20"/>
          <w:color w:val="auto"/>
        </w:rPr>
      </w:pPr>
    </w:p>
    <w:p>
      <w:pPr>
        <w:ind w:left="10" w:right="420" w:firstLine="440"/>
        <w:spacing w:after="0" w:line="347" w:lineRule="auto"/>
        <w:rPr>
          <w:sz w:val="20"/>
          <w:szCs w:val="20"/>
          <w:color w:val="auto"/>
        </w:rPr>
      </w:pPr>
      <w:r>
        <w:rPr>
          <w:rFonts w:ascii="Arial" w:cs="Arial" w:eastAsia="Arial" w:hAnsi="Arial"/>
          <w:sz w:val="16"/>
          <w:szCs w:val="16"/>
          <w:b w:val="1"/>
          <w:bCs w:val="1"/>
          <w:color w:val="auto"/>
        </w:rPr>
        <w:t xml:space="preserve">5.12 Aggregation of Stock. </w:t>
      </w:r>
      <w:r>
        <w:rPr>
          <w:rFonts w:ascii="Arial" w:cs="Arial" w:eastAsia="Arial" w:hAnsi="Arial"/>
          <w:sz w:val="16"/>
          <w:szCs w:val="16"/>
          <w:color w:val="auto"/>
        </w:rPr>
        <w:t>All shares of Registrable Securities held or acquired by affiliated entities or persons or persons or entities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management or control shall be aggregated together for the purpose of determining the availability of any rights under this Agreement.</w:t>
      </w:r>
    </w:p>
    <w:p>
      <w:pPr>
        <w:spacing w:after="0" w:line="8" w:lineRule="exact"/>
        <w:rPr>
          <w:sz w:val="20"/>
          <w:szCs w:val="20"/>
          <w:color w:val="auto"/>
        </w:rPr>
      </w:pPr>
    </w:p>
    <w:p>
      <w:pPr>
        <w:ind w:left="10" w:firstLine="440"/>
        <w:spacing w:after="0" w:line="281" w:lineRule="auto"/>
        <w:rPr>
          <w:sz w:val="20"/>
          <w:szCs w:val="20"/>
          <w:color w:val="auto"/>
        </w:rPr>
      </w:pPr>
      <w:r>
        <w:rPr>
          <w:rFonts w:ascii="Arial" w:cs="Arial" w:eastAsia="Arial" w:hAnsi="Arial"/>
          <w:sz w:val="18"/>
          <w:szCs w:val="18"/>
          <w:b w:val="1"/>
          <w:bCs w:val="1"/>
          <w:color w:val="auto"/>
        </w:rPr>
        <w:t xml:space="preserve">5.13 Pronouns. </w:t>
      </w:r>
      <w:r>
        <w:rPr>
          <w:rFonts w:ascii="Arial" w:cs="Arial" w:eastAsia="Arial" w:hAnsi="Arial"/>
          <w:sz w:val="18"/>
          <w:szCs w:val="18"/>
          <w:color w:val="auto"/>
        </w:rPr>
        <w:t>All pronouns contained herein, and any variations thereof, shall be deemed to refer to the masculine, feminine or neutral, singular</w:t>
      </w:r>
      <w:r>
        <w:rPr>
          <w:rFonts w:ascii="Arial" w:cs="Arial" w:eastAsia="Arial" w:hAnsi="Arial"/>
          <w:sz w:val="18"/>
          <w:szCs w:val="18"/>
          <w:b w:val="1"/>
          <w:bCs w:val="1"/>
          <w:color w:val="auto"/>
        </w:rPr>
        <w:t xml:space="preserve"> </w:t>
      </w:r>
      <w:r>
        <w:rPr>
          <w:rFonts w:ascii="Arial" w:cs="Arial" w:eastAsia="Arial" w:hAnsi="Arial"/>
          <w:sz w:val="18"/>
          <w:szCs w:val="18"/>
          <w:color w:val="auto"/>
        </w:rPr>
        <w:t>or plural, as to the identity of the parties hereto may require.</w:t>
      </w:r>
    </w:p>
    <w:p>
      <w:pPr>
        <w:spacing w:after="0" w:line="55" w:lineRule="exact"/>
        <w:rPr>
          <w:sz w:val="20"/>
          <w:szCs w:val="20"/>
          <w:color w:val="auto"/>
        </w:rPr>
      </w:pPr>
    </w:p>
    <w:p>
      <w:pPr>
        <w:ind w:left="10" w:right="180" w:firstLine="440"/>
        <w:spacing w:after="0" w:line="281" w:lineRule="auto"/>
        <w:rPr>
          <w:sz w:val="20"/>
          <w:szCs w:val="20"/>
          <w:color w:val="auto"/>
        </w:rPr>
      </w:pPr>
      <w:r>
        <w:rPr>
          <w:rFonts w:ascii="Arial" w:cs="Arial" w:eastAsia="Arial" w:hAnsi="Arial"/>
          <w:sz w:val="18"/>
          <w:szCs w:val="18"/>
          <w:b w:val="1"/>
          <w:bCs w:val="1"/>
          <w:color w:val="auto"/>
        </w:rPr>
        <w:t xml:space="preserve">5.14 Termination. </w:t>
      </w:r>
      <w:r>
        <w:rPr>
          <w:rFonts w:ascii="Arial" w:cs="Arial" w:eastAsia="Arial" w:hAnsi="Arial"/>
          <w:sz w:val="18"/>
          <w:szCs w:val="18"/>
          <w:color w:val="auto"/>
        </w:rPr>
        <w:t>This Agreement shall terminate and be of no further force or effect upon the earlier of (i) an Acquisition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(ii) the date three (3) years following the closing of the Initial Offering.</w:t>
      </w:r>
    </w:p>
    <w:p>
      <w:pPr>
        <w:spacing w:after="0" w:line="167"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[THIS SPACE INTENTIONALLY LEFT BLANK]</w:t>
      </w:r>
    </w:p>
    <w:p>
      <w:pPr>
        <w:spacing w:after="0" w:line="157"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50"/>
          </w:cols>
          <w:pgMar w:left="450" w:top="270" w:right="499" w:bottom="1440" w:gutter="0" w:footer="0" w:header="0"/>
        </w:sectPr>
      </w:pPr>
    </w:p>
    <w:bookmarkStart w:id="297" w:name="page298"/>
    <w:bookmarkEnd w:id="297"/>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927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298" w:name="page299"/>
    <w:bookmarkEnd w:id="2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IGHTSPEED</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VIII, L.P.</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Lightspeed General Partner VIII, L.P.,</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Lightspeed Ultimate General Partner VIII,</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Ltd., its general partner</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Schaepe</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Christopher Schaepe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Duly authorized signatory</w:t>
            </w:r>
          </w:p>
        </w:tc>
      </w:tr>
      <w:tr>
        <w:trPr>
          <w:trHeight w:val="417"/>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2200 Sand Hill</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Menlo Park, CA 94025</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1000"/>
          </w:cols>
          <w:pgMar w:left="460" w:top="270" w:right="439" w:bottom="1440" w:gutter="0" w:footer="0" w:header="0"/>
        </w:sectPr>
      </w:pPr>
    </w:p>
    <w:bookmarkStart w:id="299" w:name="page300"/>
    <w:bookmarkEnd w:id="2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IGHTSPEED</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ELECT</w:t>
      </w:r>
      <w:r>
        <w:rPr>
          <w:rFonts w:ascii="Arial" w:cs="Arial" w:eastAsia="Arial" w:hAnsi="Arial"/>
          <w:sz w:val="18"/>
          <w:szCs w:val="18"/>
          <w:b w:val="1"/>
          <w:bCs w:val="1"/>
          <w:color w:val="auto"/>
        </w:rPr>
        <w: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L.P.</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Lightspeed General Partner Select, L.P.,</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Lightspeed Ultimate General Partner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Select, Ltd., its general partner</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Schaepe</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Christopher Schaepe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Duly authorized signatory</w:t>
            </w:r>
          </w:p>
        </w:tc>
      </w:tr>
      <w:tr>
        <w:trPr>
          <w:trHeight w:val="417"/>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2200 Sand Hill</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Menlo Park, CA 94025</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1000"/>
          </w:cols>
          <w:pgMar w:left="460" w:top="270" w:right="439" w:bottom="1440" w:gutter="0" w:footer="0" w:header="0"/>
        </w:sectPr>
      </w:pPr>
    </w:p>
    <w:bookmarkStart w:id="300" w:name="page301"/>
    <w:bookmarkEnd w:id="300"/>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BINGWORTH</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Acting by its manager Abingworth LLP</w:t>
      </w:r>
    </w:p>
    <w:p>
      <w:pPr>
        <w:spacing w:after="0" w:line="210"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[illegible]</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Partner</w:t>
      </w:r>
    </w:p>
    <w:p>
      <w:pPr>
        <w:spacing w:after="0" w:line="23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c/o Abingworth LLP</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38 Jermyn St.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London SW1Y/6DN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United Kingdom</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01" w:name="page302"/>
    <w:bookmarkEnd w:id="301"/>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MDV IX, L.P., </w:t>
      </w:r>
      <w:r>
        <w:rPr>
          <w:rFonts w:ascii="Arial" w:cs="Arial" w:eastAsia="Arial" w:hAnsi="Arial"/>
          <w:sz w:val="18"/>
          <w:szCs w:val="18"/>
          <w:color w:val="auto"/>
        </w:rPr>
        <w:t>as nominee for</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MDV IX, L.P., and MDV ENF IX, L.P</w:t>
      </w:r>
    </w:p>
    <w:p>
      <w:pPr>
        <w:spacing w:after="0" w:line="210"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Brett Teele</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CFO &amp; Authorized Signatory</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3000 Sand Hill Road</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Bldg 3., Ste 290</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Menlo Park, CA 94025</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02" w:name="page303"/>
    <w:bookmarkEnd w:id="30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ELAND</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TANFORD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NIVERSITY</w:t>
      </w:r>
      <w:r>
        <w:rPr>
          <w:rFonts w:ascii="Arial" w:cs="Arial" w:eastAsia="Arial" w:hAnsi="Arial"/>
          <w:sz w:val="18"/>
          <w:szCs w:val="18"/>
          <w:b w:val="1"/>
          <w:bCs w:val="1"/>
          <w:color w:val="auto"/>
        </w:rPr>
        <w:t xml:space="preserve"> (PVF)</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Martina S. Poquet</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Martina S. Poquet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Managing Director - Separate Investments</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Direct Investments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Stanford Management Company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635 Knight Way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Stanford, California 94305-7297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1000"/>
          </w:cols>
          <w:pgMar w:left="460" w:top="270" w:right="43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ELAND</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TANFORD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NIVERSITY</w:t>
      </w:r>
      <w:r>
        <w:rPr>
          <w:rFonts w:ascii="Arial" w:cs="Arial" w:eastAsia="Arial" w:hAnsi="Arial"/>
          <w:sz w:val="18"/>
          <w:szCs w:val="18"/>
          <w:b w:val="1"/>
          <w:bCs w:val="1"/>
          <w:color w:val="auto"/>
        </w:rPr>
        <w:t xml:space="preserve"> (DAPER I)</w:t>
      </w:r>
    </w:p>
    <w:p>
      <w:pPr>
        <w:spacing w:after="0" w:line="11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ELAND</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TANFORD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NIVERSITY</w:t>
      </w:r>
      <w:r>
        <w:rPr>
          <w:rFonts w:ascii="Arial" w:cs="Arial" w:eastAsia="Arial" w:hAnsi="Arial"/>
          <w:sz w:val="18"/>
          <w:szCs w:val="18"/>
          <w:b w:val="1"/>
          <w:bCs w:val="1"/>
          <w:color w:val="auto"/>
        </w:rPr>
        <w:t xml:space="preserve"> (SBST)</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Martina S. Poquet</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Martina S. Poquet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Managing Director - Separate Investments</w:t>
            </w:r>
          </w:p>
        </w:tc>
      </w:tr>
    </w:tbl>
    <w:p>
      <w:pPr>
        <w:spacing w:after="0" w:line="2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Stanford Management Company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635 Knight Way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Stanford, CA 94305-7297</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Attn: Direct Investments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1000"/>
          </w:cols>
          <w:pgMar w:left="460" w:top="270" w:right="439" w:bottom="1440" w:gutter="0" w:footer="0" w:header="0"/>
        </w:sectPr>
      </w:pPr>
    </w:p>
    <w:bookmarkStart w:id="304" w:name="page305"/>
    <w:bookmarkEnd w:id="304"/>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GC&amp;H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LLC</w:t>
      </w:r>
    </w:p>
    <w:p>
      <w:pPr>
        <w:spacing w:after="0" w:line="242"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Kindler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Jim Kindler</w:t>
      </w:r>
    </w:p>
    <w:p>
      <w:pPr>
        <w:spacing w:after="0" w:line="23"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101 California Street,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San Francisco, CA 94111</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05" w:name="page306"/>
    <w:bookmarkEnd w:id="305"/>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Charles E Murphy III &amp; Reva Murphy Jt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Rev Tr CE Murphy III TTEE Et Al</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E. Murphy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Charles E. Murphy III</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K.C. &amp; Diane Murphy Family Trust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K.C.H. Murphy TTEE Et Al u/a dtd 6/2/09</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 H. Murphy  /s/ Diane Murphy</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Kenneth C. H. Murphy</w:t>
            </w:r>
          </w:p>
        </w:tc>
      </w:tr>
    </w:tbl>
    <w:p>
      <w:pPr>
        <w:jc w:val="center"/>
        <w:ind w:left="4440"/>
        <w:spacing w:after="0"/>
        <w:rPr>
          <w:sz w:val="20"/>
          <w:szCs w:val="20"/>
          <w:color w:val="auto"/>
        </w:rPr>
      </w:pPr>
      <w:r>
        <w:rPr>
          <w:rFonts w:ascii="Arial" w:cs="Arial" w:eastAsia="Arial" w:hAnsi="Arial"/>
          <w:sz w:val="18"/>
          <w:szCs w:val="18"/>
          <w:color w:val="auto"/>
        </w:rPr>
        <w:t>Diane Murphy</w:t>
      </w:r>
    </w:p>
    <w:p>
      <w:pPr>
        <w:spacing w:after="0" w:line="8" w:lineRule="exact"/>
        <w:rPr>
          <w:sz w:val="20"/>
          <w:szCs w:val="20"/>
          <w:color w:val="auto"/>
        </w:rPr>
      </w:pPr>
    </w:p>
    <w:p>
      <w:pPr>
        <w:jc w:val="center"/>
        <w:ind w:left="4500"/>
        <w:spacing w:after="0"/>
        <w:tabs>
          <w:tab w:leader="none" w:pos="22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1000"/>
          </w:cols>
          <w:pgMar w:left="460" w:top="270" w:right="439" w:bottom="1440" w:gutter="0" w:footer="0" w:header="0"/>
        </w:sectPr>
      </w:pPr>
    </w:p>
    <w:bookmarkStart w:id="307" w:name="page308"/>
    <w:bookmarkEnd w:id="307"/>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US Trust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Derek Lagemann Generations Tr u/a dtd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8/6/98, Carter S. Bacon Jr. Trustee</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Carter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Carter Bacon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08" w:name="page309"/>
    <w:bookmarkEnd w:id="30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US Trust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Derek Lagemann 2000 Irrev Tr u/a dtd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3/29/2000, Carter S. Bacon Jr. &amp; Peter</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 Lagemann, TTEES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Carter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Carter Bacon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09" w:name="page310"/>
    <w:bookmarkEnd w:id="30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US Trust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Derek Lagemann 2000 Irrev Tr u/a dtd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3/29/2000, Carter S. Bacon Jr. &amp; Peter</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 Lagemann, TTEES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J. Lagemann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Peter J. Lagemann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10" w:name="page311"/>
    <w:bookmarkEnd w:id="310"/>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Beatrice E. Dunn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Beatrice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Beatrice E. Dunn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11" w:name="page312"/>
    <w:bookmarkEnd w:id="311"/>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Peter J. Lagemann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J. Lagemann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Peter J. Lagemann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12" w:name="page313"/>
    <w:bookmarkEnd w:id="312"/>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date set forth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US Trust FBO Peter J. Lagemann, Carter S. Bacon Jr. &amp;</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Laurence A. Shadek, Trustees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Carter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Carter Bacon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70" w:right="479" w:bottom="1440" w:gutter="0" w:footer="0" w:header="0"/>
        </w:sectPr>
      </w:pPr>
    </w:p>
    <w:bookmarkStart w:id="313" w:name="page314"/>
    <w:bookmarkEnd w:id="31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US Trust FBO Peter J. Lagemann, Carter S. Bacon Jr. &amp;</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Laurence A. Shadek, Trustees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A. Shadek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Laurence A. Shadek</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70" w:right="479" w:bottom="1440" w:gutter="0" w:footer="0" w:header="0"/>
        </w:sectPr>
      </w:pPr>
    </w:p>
    <w:bookmarkStart w:id="314" w:name="page315"/>
    <w:bookmarkEnd w:id="314"/>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Mark P. Sperry</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 Sperry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Mark P. Sperry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15" w:name="page316"/>
    <w:bookmarkEnd w:id="315"/>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Corydon S. Sperry Jr. MD</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Corydon S. Sperry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Corydon S. Sperry Jr. MD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16" w:name="page317"/>
    <w:bookmarkEnd w:id="316"/>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Cassandra Ordway</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Cassandra S. Ordway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Cassandra S. Ordway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17" w:name="page318"/>
    <w:bookmarkEnd w:id="317"/>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Duck Pond Partners</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A. Shadek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Laurence A. Shadek</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President of the General Partner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18" w:name="page319"/>
    <w:bookmarkEnd w:id="31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Peter Waltman &amp; Noami Waltman Jt.</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Waltman &amp; Noami Waltman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Peter &amp; Noami Waltman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19" w:name="page320"/>
    <w:bookmarkEnd w:id="31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The THW Group, L.P.</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Waltman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Peter Waltman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6"/>
          <w:szCs w:val="16"/>
          <w:color w:val="auto"/>
        </w:rPr>
        <w:t>Managing Partner</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20" w:name="page321"/>
    <w:bookmarkEnd w:id="320"/>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O.B. Joyful Dynasty Tr</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Joy Stillman &amp; Shirley Els Ttees</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u/a dtd 08/05/2008</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 Stillman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Joy Stillman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Trustee</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1" w:name="page322"/>
    <w:bookmarkEnd w:id="321"/>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Trieber Ventures LLC</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Trieber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Edward Trieber</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6"/>
          <w:szCs w:val="16"/>
          <w:color w:val="auto"/>
        </w:rPr>
        <w:t>Managing Member</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22" w:name="page323"/>
    <w:bookmarkEnd w:id="322"/>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Pamela G. Upson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G. Upson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Pamela G. Upson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3" w:name="page324"/>
    <w:bookmarkEnd w:id="32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James Upson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Upson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James M. Upson</w:t>
      </w:r>
    </w:p>
    <w:p>
      <w:pPr>
        <w:spacing w:after="0" w:line="23"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Title (if applicable):</w:t>
      </w:r>
      <w:r>
        <w:rPr>
          <w:sz w:val="20"/>
          <w:szCs w:val="20"/>
          <w:color w:val="auto"/>
        </w:rPr>
        <w:tab/>
      </w:r>
      <w:r>
        <w:rPr>
          <w:rFonts w:ascii="Arial" w:cs="Arial" w:eastAsia="Arial" w:hAnsi="Arial"/>
          <w:sz w:val="15"/>
          <w:szCs w:val="15"/>
          <w:color w:val="auto"/>
        </w:rPr>
        <w:t>n/a</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4" w:name="page325"/>
    <w:bookmarkEnd w:id="324"/>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Derek W. Upson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Derek Upson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Derek Upson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69" w:right="679" w:bottom="1440" w:gutter="0" w:footer="0" w:header="0"/>
        </w:sectPr>
      </w:pPr>
    </w:p>
    <w:bookmarkStart w:id="325" w:name="page326"/>
    <w:bookmarkEnd w:id="325"/>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Candace Bignell &amp; Christopher Bignell Jt Ten</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Candace U. Bignell &amp; Christopher S. Bignell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22225</wp:posOffset>
            </wp:positionV>
            <wp:extent cx="24244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Candace U. Bignell &amp; Christopher S. Bignell</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6" w:name="page327"/>
    <w:bookmarkEnd w:id="326"/>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William J. Korntheuer</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Korntheuer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William J. Korntheuer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7" w:name="page328"/>
    <w:bookmarkEnd w:id="327"/>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Charles R. McDermott</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Charles R. McDermott</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8" w:name="page329"/>
    <w:bookmarkEnd w:id="32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 in the first paragraph hereof.</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Philip Ordway</w:t>
      </w:r>
    </w:p>
    <w:p>
      <w:pPr>
        <w:spacing w:after="0" w:line="24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W. Ordway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Philip W. Ordway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760"/>
          </w:cols>
          <w:pgMar w:left="460" w:top="270" w:right="679" w:bottom="1440" w:gutter="0" w:footer="0" w:header="0"/>
        </w:sectPr>
      </w:pPr>
    </w:p>
    <w:bookmarkStart w:id="329" w:name="page330"/>
    <w:bookmarkEnd w:id="32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December 24,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American Estate &amp; Trust IRA</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FBO Marion T. Boyer</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Marion T. Boyer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Marion T. Boyer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69" w:right="479" w:bottom="1440" w:gutter="0" w:footer="0" w:header="0"/>
        </w:sectPr>
      </w:pPr>
    </w:p>
    <w:bookmarkStart w:id="330" w:name="page331"/>
    <w:bookmarkEnd w:id="330"/>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December 24,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American Estate &amp; Trust IRA</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FBO Michael A. Jones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A. Jones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69" w:right="479" w:bottom="1440" w:gutter="0" w:footer="0" w:header="0"/>
        </w:sectPr>
      </w:pPr>
    </w:p>
    <w:bookmarkStart w:id="331" w:name="page332"/>
    <w:bookmarkEnd w:id="331"/>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December 24,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Benjamin Burditt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Individual Retirement Plan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RBC Capital Markets LLC Cust</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A. Burditt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Benjamin A. Burditt</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70" w:right="479" w:bottom="1440" w:gutter="0" w:footer="0" w:header="0"/>
        </w:sectPr>
      </w:pPr>
    </w:p>
    <w:bookmarkStart w:id="332" w:name="page333"/>
    <w:bookmarkEnd w:id="332"/>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December 26,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American Estate &amp; Trust IRA</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FBO Lorraine J. Prentis</w:t>
      </w:r>
    </w:p>
    <w:p>
      <w:pPr>
        <w:spacing w:after="0" w:line="224"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Lorraine J. Prentis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Lorraine J. Prentis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7303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960"/>
          </w:cols>
          <w:pgMar w:left="460" w:top="270" w:right="479" w:bottom="1440" w:gutter="0" w:footer="0" w:header="0"/>
        </w:sectPr>
      </w:pPr>
    </w:p>
    <w:bookmarkStart w:id="333" w:name="page334"/>
    <w:bookmarkEnd w:id="33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January 12,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REDERICK</w:t>
      </w:r>
      <w:r>
        <w:rPr>
          <w:rFonts w:ascii="Arial" w:cs="Arial" w:eastAsia="Arial" w:hAnsi="Arial"/>
          <w:sz w:val="18"/>
          <w:szCs w:val="18"/>
          <w:b w:val="1"/>
          <w:bCs w:val="1"/>
          <w:color w:val="auto"/>
        </w:rPr>
        <w:t xml:space="preserve"> J. D</w:t>
      </w:r>
      <w:r>
        <w:rPr>
          <w:rFonts w:ascii="Arial" w:cs="Arial" w:eastAsia="Arial" w:hAnsi="Arial"/>
          <w:sz w:val="14"/>
          <w:szCs w:val="14"/>
          <w:b w:val="1"/>
          <w:bCs w:val="1"/>
          <w:color w:val="auto"/>
        </w:rPr>
        <w:t>OTZLER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ASSANDRA</w:t>
      </w:r>
      <w:r>
        <w:rPr>
          <w:rFonts w:ascii="Arial" w:cs="Arial" w:eastAsia="Arial" w:hAnsi="Arial"/>
          <w:sz w:val="18"/>
          <w:szCs w:val="18"/>
          <w:b w:val="1"/>
          <w:bCs w:val="1"/>
          <w:color w:val="auto"/>
        </w:rPr>
        <w:t xml:space="preserve"> L. D</w:t>
      </w:r>
      <w:r>
        <w:rPr>
          <w:rFonts w:ascii="Arial" w:cs="Arial" w:eastAsia="Arial" w:hAnsi="Arial"/>
          <w:sz w:val="14"/>
          <w:szCs w:val="14"/>
          <w:b w:val="1"/>
          <w:bCs w:val="1"/>
          <w:color w:val="auto"/>
        </w:rPr>
        <w:t>OTZLER</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OTZLER</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UDT,</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9, 2001</w:t>
      </w:r>
    </w:p>
    <w:p>
      <w:pPr>
        <w:spacing w:after="0" w:line="224"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J. Dotzler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Frederick J. Dotzler</w:t>
      </w:r>
    </w:p>
    <w:p>
      <w:pPr>
        <w:spacing w:after="0" w:line="23"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19438 Burgundy Way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Saratoga, CA 95070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860"/>
          </w:cols>
          <w:pgMar w:left="460" w:top="270" w:right="579" w:bottom="1440" w:gutter="0" w:footer="0" w:header="0"/>
        </w:sectPr>
      </w:pPr>
    </w:p>
    <w:bookmarkStart w:id="334" w:name="page335"/>
    <w:bookmarkEnd w:id="33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ITUS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Stella Mitchell-Voisin</w:t>
            </w:r>
          </w:p>
        </w:tc>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P.J. Welch</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Pr>
          <w:p>
            <w:pPr>
              <w:spacing w:after="0"/>
              <w:rPr>
                <w:sz w:val="20"/>
                <w:szCs w:val="20"/>
                <w:color w:val="auto"/>
              </w:rPr>
            </w:pPr>
            <w:r>
              <w:rPr>
                <w:rFonts w:ascii="Arial" w:cs="Arial" w:eastAsia="Arial" w:hAnsi="Arial"/>
                <w:sz w:val="18"/>
                <w:szCs w:val="18"/>
                <w:color w:val="auto"/>
              </w:rPr>
              <w:t>Stella Mitchell-Voisin</w:t>
            </w:r>
          </w:p>
        </w:tc>
        <w:tc>
          <w:tcPr>
            <w:tcW w:w="2020" w:type="dxa"/>
            <w:vAlign w:val="bottom"/>
          </w:tcPr>
          <w:p>
            <w:pPr>
              <w:spacing w:after="0"/>
              <w:rPr>
                <w:sz w:val="20"/>
                <w:szCs w:val="20"/>
                <w:color w:val="auto"/>
              </w:rPr>
            </w:pPr>
            <w:r>
              <w:rPr>
                <w:rFonts w:ascii="Arial" w:cs="Arial" w:eastAsia="Arial" w:hAnsi="Arial"/>
                <w:sz w:val="18"/>
                <w:szCs w:val="18"/>
                <w:color w:val="auto"/>
              </w:rPr>
              <w:t>Philippa Welch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w w:val="95"/>
              </w:rPr>
              <w:t>For Ruby Directors Limited and Emerald Directors</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Limited, Directors, Titus Trading Corporation</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1000"/>
          </w:cols>
          <w:pgMar w:left="460" w:top="270" w:right="439" w:bottom="1440" w:gutter="0" w:footer="0" w:header="0"/>
        </w:sectPr>
      </w:pPr>
    </w:p>
    <w:bookmarkStart w:id="335" w:name="page336"/>
    <w:bookmarkEnd w:id="33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w:t>
      </w:r>
      <w:r>
        <w:rPr>
          <w:rFonts w:ascii="Arial" w:cs="Arial" w:eastAsia="Arial" w:hAnsi="Arial"/>
          <w:sz w:val="18"/>
          <w:szCs w:val="18"/>
          <w:b w:val="1"/>
          <w:bCs w:val="1"/>
          <w:color w:val="auto"/>
        </w:rPr>
        <w:t>. C</w:t>
      </w:r>
      <w:r>
        <w:rPr>
          <w:rFonts w:ascii="Arial" w:cs="Arial" w:eastAsia="Arial" w:hAnsi="Arial"/>
          <w:sz w:val="14"/>
          <w:szCs w:val="14"/>
          <w:b w:val="1"/>
          <w:bCs w:val="1"/>
          <w:color w:val="auto"/>
        </w:rPr>
        <w:t>HRISTOPHER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Stella Mitchell-Voisin</w:t>
            </w:r>
          </w:p>
        </w:tc>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P.J. Welch</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Pr>
          <w:p>
            <w:pPr>
              <w:spacing w:after="0"/>
              <w:rPr>
                <w:sz w:val="20"/>
                <w:szCs w:val="20"/>
                <w:color w:val="auto"/>
              </w:rPr>
            </w:pPr>
            <w:r>
              <w:rPr>
                <w:rFonts w:ascii="Arial" w:cs="Arial" w:eastAsia="Arial" w:hAnsi="Arial"/>
                <w:sz w:val="18"/>
                <w:szCs w:val="18"/>
                <w:color w:val="auto"/>
              </w:rPr>
              <w:t>Stella Mitchell-Voisin</w:t>
            </w:r>
          </w:p>
        </w:tc>
        <w:tc>
          <w:tcPr>
            <w:tcW w:w="2020" w:type="dxa"/>
            <w:vAlign w:val="bottom"/>
          </w:tcPr>
          <w:p>
            <w:pPr>
              <w:spacing w:after="0"/>
              <w:rPr>
                <w:sz w:val="20"/>
                <w:szCs w:val="20"/>
                <w:color w:val="auto"/>
              </w:rPr>
            </w:pPr>
            <w:r>
              <w:rPr>
                <w:rFonts w:ascii="Arial" w:cs="Arial" w:eastAsia="Arial" w:hAnsi="Arial"/>
                <w:sz w:val="18"/>
                <w:szCs w:val="18"/>
                <w:color w:val="auto"/>
              </w:rPr>
              <w:t>Philippa Welch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w w:val="95"/>
              </w:rPr>
              <w:t>For Ruby Directors Limited and Emerald Directors</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Limited, Directors, St. Christopher Corporation</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1000"/>
          </w:cols>
          <w:pgMar w:left="460" w:top="269" w:right="439" w:bottom="1440" w:gutter="0" w:footer="0" w:header="0"/>
        </w:sectPr>
      </w:pPr>
    </w:p>
    <w:bookmarkStart w:id="336" w:name="page337"/>
    <w:bookmarkEnd w:id="33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ARD C</w:t>
      </w:r>
      <w:r>
        <w:rPr>
          <w:rFonts w:ascii="Arial" w:cs="Arial" w:eastAsia="Arial" w:hAnsi="Arial"/>
          <w:sz w:val="14"/>
          <w:szCs w:val="14"/>
          <w:b w:val="1"/>
          <w:bCs w:val="1"/>
          <w:color w:val="auto"/>
        </w:rPr>
        <w:t>ORPORATION</w:t>
      </w:r>
    </w:p>
    <w:p>
      <w:pPr>
        <w:spacing w:after="0" w:line="242"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Susie Taylor &amp; Nadine Morin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Susie Taylor &amp; Nadine Morin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Signatures</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1000"/>
          </w:cols>
          <w:pgMar w:left="460" w:top="270" w:right="439" w:bottom="1440" w:gutter="0" w:footer="0" w:header="0"/>
        </w:sectPr>
      </w:pPr>
    </w:p>
    <w:bookmarkStart w:id="337" w:name="page338"/>
    <w:bookmarkEnd w:id="33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P</w:t>
      </w:r>
      <w:r>
        <w:rPr>
          <w:rFonts w:ascii="Arial" w:cs="Arial" w:eastAsia="Arial" w:hAnsi="Arial"/>
          <w:sz w:val="14"/>
          <w:szCs w:val="14"/>
          <w:b w:val="1"/>
          <w:bCs w:val="1"/>
          <w:color w:val="auto"/>
        </w:rPr>
        <w:t>ROVIDENCE</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OMPANY</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17"/>
          <w:szCs w:val="17"/>
          <w:b w:val="1"/>
          <w:bCs w:val="1"/>
          <w:color w:val="auto"/>
        </w:rPr>
        <w:t xml:space="preserve"> </w:t>
      </w:r>
      <w:r>
        <w:rPr>
          <w:rFonts w:ascii="Arial" w:cs="Arial" w:eastAsia="Arial" w:hAnsi="Arial"/>
          <w:sz w:val="17"/>
          <w:szCs w:val="17"/>
          <w:color w:val="auto"/>
        </w:rPr>
        <w:t>acting by a director and its secretary or</w:t>
      </w:r>
    </w:p>
    <w:p>
      <w:pPr>
        <w:spacing w:after="0" w:line="2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two directors</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IAN CUMING [illegible]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La Motte Chambers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 Helier, Jersey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JEI IPB, Channel Islands</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Attention: Ian Cuming, Director of Providence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1000"/>
          </w:cols>
          <w:pgMar w:left="460" w:top="269" w:right="439" w:bottom="1440" w:gutter="0" w:footer="0" w:header="0"/>
        </w:sectPr>
      </w:pPr>
    </w:p>
    <w:bookmarkStart w:id="338" w:name="page339"/>
    <w:bookmarkEnd w:id="33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12 January,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ONA</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ARIA</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ONES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ECLARATION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 DATED</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06/03/1992, A</w:t>
      </w:r>
      <w:r>
        <w:rPr>
          <w:rFonts w:ascii="Arial" w:cs="Arial" w:eastAsia="Arial" w:hAnsi="Arial"/>
          <w:sz w:val="14"/>
          <w:szCs w:val="14"/>
          <w:b w:val="1"/>
          <w:bCs w:val="1"/>
          <w:color w:val="auto"/>
        </w:rPr>
        <w:t>NTHONY</w:t>
      </w:r>
      <w:r>
        <w:rPr>
          <w:rFonts w:ascii="Arial" w:cs="Arial" w:eastAsia="Arial" w:hAnsi="Arial"/>
          <w:sz w:val="18"/>
          <w:szCs w:val="18"/>
          <w:b w:val="1"/>
          <w:bCs w:val="1"/>
          <w:color w:val="auto"/>
        </w:rPr>
        <w:t xml:space="preserve"> A. J</w:t>
      </w:r>
      <w:r>
        <w:rPr>
          <w:rFonts w:ascii="Arial" w:cs="Arial" w:eastAsia="Arial" w:hAnsi="Arial"/>
          <w:sz w:val="14"/>
          <w:szCs w:val="14"/>
          <w:b w:val="1"/>
          <w:bCs w:val="1"/>
          <w:color w:val="auto"/>
        </w:rPr>
        <w:t>ONES</w:t>
      </w:r>
      <w:r>
        <w:rPr>
          <w:rFonts w:ascii="Arial" w:cs="Arial" w:eastAsia="Arial" w:hAnsi="Arial"/>
          <w:sz w:val="18"/>
          <w:szCs w:val="18"/>
          <w:b w:val="1"/>
          <w:bCs w:val="1"/>
          <w:color w:val="auto"/>
        </w:rPr>
        <w:t>, T</w:t>
      </w:r>
      <w:r>
        <w:rPr>
          <w:rFonts w:ascii="Arial" w:cs="Arial" w:eastAsia="Arial" w:hAnsi="Arial"/>
          <w:sz w:val="14"/>
          <w:szCs w:val="14"/>
          <w:b w:val="1"/>
          <w:bCs w:val="1"/>
          <w:color w:val="auto"/>
        </w:rPr>
        <w:t>RUSTEE</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A. Jones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Anthony A. Jones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1000"/>
          </w:cols>
          <w:pgMar w:left="460" w:top="270" w:right="439" w:bottom="1440" w:gutter="0" w:footer="0" w:header="0"/>
        </w:sectPr>
      </w:pPr>
    </w:p>
    <w:bookmarkStart w:id="339" w:name="page340"/>
    <w:bookmarkEnd w:id="3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Jan. 5, 2015.</w:t>
      </w:r>
    </w:p>
    <w:p>
      <w:pPr>
        <w:spacing w:after="0" w:line="26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ULIEN</w:t>
      </w:r>
      <w:r>
        <w:rPr>
          <w:rFonts w:ascii="Arial" w:cs="Arial" w:eastAsia="Arial" w:hAnsi="Arial"/>
          <w:sz w:val="18"/>
          <w:szCs w:val="18"/>
          <w:b w:val="1"/>
          <w:bCs w:val="1"/>
          <w:color w:val="auto"/>
        </w:rPr>
        <w:t xml:space="preserve"> N. V</w:t>
      </w:r>
      <w:r>
        <w:rPr>
          <w:rFonts w:ascii="Arial" w:cs="Arial" w:eastAsia="Arial" w:hAnsi="Arial"/>
          <w:sz w:val="14"/>
          <w:szCs w:val="14"/>
          <w:b w:val="1"/>
          <w:bCs w:val="1"/>
          <w:color w:val="auto"/>
        </w:rPr>
        <w:t>ACHON</w:t>
      </w:r>
    </w:p>
    <w:p>
      <w:pPr>
        <w:spacing w:after="0" w:line="242"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Julien N. Vachon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Julien N. Vachon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13970</wp:posOffset>
            </wp:positionV>
            <wp:extent cx="24244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FBO J</w:t>
      </w:r>
      <w:r>
        <w:rPr>
          <w:rFonts w:ascii="Arial" w:cs="Arial" w:eastAsia="Arial" w:hAnsi="Arial"/>
          <w:sz w:val="14"/>
          <w:szCs w:val="14"/>
          <w:b w:val="1"/>
          <w:bCs w:val="1"/>
          <w:color w:val="auto"/>
        </w:rPr>
        <w:t>ULIEN</w:t>
      </w:r>
      <w:r>
        <w:rPr>
          <w:rFonts w:ascii="Arial" w:cs="Arial" w:eastAsia="Arial" w:hAnsi="Arial"/>
          <w:sz w:val="18"/>
          <w:szCs w:val="18"/>
          <w:b w:val="1"/>
          <w:bCs w:val="1"/>
          <w:color w:val="auto"/>
        </w:rPr>
        <w:t xml:space="preserve"> N.</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ACHON</w:t>
      </w:r>
      <w:r>
        <w:rPr>
          <w:rFonts w:ascii="Arial" w:cs="Arial" w:eastAsia="Arial" w:hAnsi="Arial"/>
          <w:sz w:val="18"/>
          <w:szCs w:val="18"/>
          <w:b w:val="1"/>
          <w:bCs w:val="1"/>
          <w:color w:val="auto"/>
        </w:rPr>
        <w:t xml:space="preserve"> IRA</w:t>
      </w:r>
    </w:p>
    <w:p>
      <w:pPr>
        <w:spacing w:after="0" w:line="210"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Julien N. Vachon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Julien N. Vachon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5715</wp:posOffset>
            </wp:positionV>
            <wp:extent cx="24244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0420"/>
          </w:cols>
          <w:pgMar w:left="900" w:top="270" w:right="579" w:bottom="1440" w:gutter="0" w:footer="0" w:header="0"/>
        </w:sectPr>
      </w:pPr>
    </w:p>
    <w:bookmarkStart w:id="340" w:name="page341"/>
    <w:bookmarkEnd w:id="34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1/7, 2015.</w:t>
      </w:r>
    </w:p>
    <w:p>
      <w:pPr>
        <w:spacing w:after="0" w:line="26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STATE</w:t>
      </w:r>
      <w:r>
        <w:rPr>
          <w:rFonts w:ascii="Arial" w:cs="Arial" w:eastAsia="Arial" w:hAnsi="Arial"/>
          <w:sz w:val="18"/>
          <w:szCs w:val="18"/>
          <w:b w:val="1"/>
          <w:bCs w:val="1"/>
          <w:color w:val="auto"/>
        </w:rPr>
        <w:t xml:space="preserve"> &amp;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IRA FBO</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REDERICK</w:t>
      </w:r>
      <w:r>
        <w:rPr>
          <w:rFonts w:ascii="Arial" w:cs="Arial" w:eastAsia="Arial" w:hAnsi="Arial"/>
          <w:sz w:val="18"/>
          <w:szCs w:val="18"/>
          <w:b w:val="1"/>
          <w:bCs w:val="1"/>
          <w:color w:val="auto"/>
        </w:rPr>
        <w:t xml:space="preserve"> M. S</w:t>
      </w:r>
      <w:r>
        <w:rPr>
          <w:rFonts w:ascii="Arial" w:cs="Arial" w:eastAsia="Arial" w:hAnsi="Arial"/>
          <w:sz w:val="14"/>
          <w:szCs w:val="14"/>
          <w:b w:val="1"/>
          <w:bCs w:val="1"/>
          <w:color w:val="auto"/>
        </w:rPr>
        <w:t>EIFERT</w:t>
      </w:r>
    </w:p>
    <w:p>
      <w:pPr>
        <w:spacing w:after="0" w:line="224"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M. Seifert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Frederick M. Seifert</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13970</wp:posOffset>
            </wp:positionV>
            <wp:extent cx="242443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5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Personalis, Inc. Investor Rights Agreement</w:t>
      </w:r>
    </w:p>
    <w:p>
      <w:pPr>
        <w:sectPr>
          <w:pgSz w:w="11900" w:h="16838" w:orient="portrait"/>
          <w:cols w:equalWidth="0" w:num="1">
            <w:col w:w="10240"/>
          </w:cols>
          <w:pgMar w:left="900" w:top="269" w:right="75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1/30, 2015.</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PURCHASER:</w:t>
      </w: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ELAND</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TANFORD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NIVERSITY</w:t>
      </w:r>
      <w:r>
        <w:rPr>
          <w:rFonts w:ascii="Arial" w:cs="Arial" w:eastAsia="Arial" w:hAnsi="Arial"/>
          <w:sz w:val="18"/>
          <w:szCs w:val="18"/>
          <w:b w:val="1"/>
          <w:bCs w:val="1"/>
          <w:color w:val="auto"/>
        </w:rPr>
        <w:t xml:space="preserve"> (DAPER1)</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Martina Poquet</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Martina Poquet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Managing Director, Separate Investments</w:t>
            </w:r>
          </w:p>
        </w:tc>
      </w:tr>
    </w:tbl>
    <w:p>
      <w:pPr>
        <w:spacing w:after="0" w:line="2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Address:  Direct Investments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Stanford Management Company</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635 Knight Way</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Stanford, California 94305-7297</w:t>
      </w:r>
    </w:p>
    <w:p>
      <w:pPr>
        <w:spacing w:after="0" w:line="15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560"/>
          </w:cols>
          <w:pgMar w:left="900" w:top="270" w:right="43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1/30, 2015.</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PURCHASER:</w:t>
      </w: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RUSTEES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ELAND</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TANFORD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NIVERSITY</w:t>
      </w:r>
      <w:r>
        <w:rPr>
          <w:rFonts w:ascii="Arial" w:cs="Arial" w:eastAsia="Arial" w:hAnsi="Arial"/>
          <w:sz w:val="18"/>
          <w:szCs w:val="18"/>
          <w:b w:val="1"/>
          <w:bCs w:val="1"/>
          <w:color w:val="auto"/>
        </w:rPr>
        <w:t xml:space="preserve"> (SBST)</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Martina Poquet</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Martina Poquet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Managing Director, Separate Investments</w:t>
            </w:r>
          </w:p>
        </w:tc>
      </w:tr>
    </w:tbl>
    <w:p>
      <w:pPr>
        <w:spacing w:after="0" w:line="2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Address:  Direct Investments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Stanford Management Company</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635 Knight Way</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Stanford, California 94305-7297</w:t>
      </w:r>
    </w:p>
    <w:p>
      <w:pPr>
        <w:spacing w:after="0" w:line="15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560"/>
          </w:cols>
          <w:pgMar w:left="900" w:top="270" w:right="439" w:bottom="1440" w:gutter="0" w:footer="0" w:header="0"/>
        </w:sectPr>
      </w:pPr>
    </w:p>
    <w:bookmarkStart w:id="343" w:name="page344"/>
    <w:bookmarkEnd w:id="343"/>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SCHEDULE OF INVESTORS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MDV IX,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MDV ENF IX,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Lightspeed Venture Partners VIII, L.P.</w:t>
      </w:r>
    </w:p>
    <w:p>
      <w:pPr>
        <w:spacing w:after="0" w:line="9" w:lineRule="exact"/>
        <w:rPr>
          <w:sz w:val="20"/>
          <w:szCs w:val="20"/>
          <w:color w:val="auto"/>
        </w:rPr>
      </w:pPr>
    </w:p>
    <w:p>
      <w:pPr>
        <w:ind w:right="1959"/>
        <w:spacing w:after="0" w:line="250" w:lineRule="auto"/>
        <w:rPr>
          <w:sz w:val="20"/>
          <w:szCs w:val="20"/>
          <w:color w:val="auto"/>
        </w:rPr>
      </w:pPr>
      <w:r>
        <w:rPr>
          <w:rFonts w:ascii="Arial" w:cs="Arial" w:eastAsia="Arial" w:hAnsi="Arial"/>
          <w:sz w:val="18"/>
          <w:szCs w:val="18"/>
          <w:color w:val="auto"/>
        </w:rPr>
        <w:t>Frederick J. Dotzler and Cassandra L. Dotzler, Trustees of the Dotzler Family Trust UDT Dated August 9, 2001 GC&amp;H Investments, LLC</w:t>
      </w:r>
    </w:p>
    <w:p>
      <w:pPr>
        <w:spacing w:after="0"/>
        <w:rPr>
          <w:sz w:val="20"/>
          <w:szCs w:val="20"/>
          <w:color w:val="auto"/>
        </w:rPr>
      </w:pPr>
      <w:r>
        <w:rPr>
          <w:rFonts w:ascii="Arial" w:cs="Arial" w:eastAsia="Arial" w:hAnsi="Arial"/>
          <w:sz w:val="18"/>
          <w:szCs w:val="18"/>
          <w:color w:val="auto"/>
        </w:rPr>
        <w:t>Providence Investment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(DAPER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(SBST)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MDV IX,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MDV ENF IX,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Lightspeed Venture Partners VIII, L.P.</w:t>
      </w:r>
    </w:p>
    <w:p>
      <w:pPr>
        <w:spacing w:after="0" w:line="9" w:lineRule="exact"/>
        <w:rPr>
          <w:sz w:val="20"/>
          <w:szCs w:val="20"/>
          <w:color w:val="auto"/>
        </w:rPr>
      </w:pPr>
    </w:p>
    <w:p>
      <w:pPr>
        <w:ind w:right="1959"/>
        <w:spacing w:after="0" w:line="250" w:lineRule="auto"/>
        <w:rPr>
          <w:sz w:val="20"/>
          <w:szCs w:val="20"/>
          <w:color w:val="auto"/>
        </w:rPr>
      </w:pPr>
      <w:r>
        <w:rPr>
          <w:rFonts w:ascii="Arial" w:cs="Arial" w:eastAsia="Arial" w:hAnsi="Arial"/>
          <w:sz w:val="18"/>
          <w:szCs w:val="18"/>
          <w:color w:val="auto"/>
        </w:rPr>
        <w:t>Frederick J. Dotzler and Cassandra L. Dotzler, Trustees of the Dotzler Family Trust UDT Dated August 9, 2001 GC&amp;H Investments, LLC</w:t>
      </w:r>
    </w:p>
    <w:p>
      <w:pPr>
        <w:spacing w:after="0"/>
        <w:rPr>
          <w:sz w:val="20"/>
          <w:szCs w:val="20"/>
          <w:color w:val="auto"/>
        </w:rPr>
      </w:pPr>
      <w:r>
        <w:rPr>
          <w:rFonts w:ascii="Arial" w:cs="Arial" w:eastAsia="Arial" w:hAnsi="Arial"/>
          <w:sz w:val="18"/>
          <w:szCs w:val="18"/>
          <w:color w:val="auto"/>
        </w:rPr>
        <w:t>Providence Investment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(DAPER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(SBST)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Charles E Murphy III &amp; Reva Murphy Jt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 Tr CE Murphy III TTEE Et 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K.C. &amp; Diane Murphy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K.C.H. Murphy TTEE Et Al u/a dtd 6/2/09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US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Derek Lagemann Generations Tr u/a dtd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8/6/98, Carter S. Bacon Jr. Trustee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US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Derek Lagemann 2000 Irrev Tr u/a dtd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3/29/2000, Carter S. Bacon Jr. &amp; Peter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Lagemann, TTEES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Julien N. Vachon</w:t>
      </w:r>
    </w:p>
    <w:p>
      <w:pPr>
        <w:spacing w:after="0" w:line="15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Personalis, Inc. Amended and Restated Investor Rights Agreement</w:t>
      </w:r>
    </w:p>
    <w:p>
      <w:pPr>
        <w:sectPr>
          <w:pgSz w:w="11900" w:h="16838" w:orient="portrait"/>
          <w:cols w:equalWidth="0" w:num="1">
            <w:col w:w="9999"/>
          </w:cols>
          <w:pgMar w:left="460" w:top="270"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Financial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FBO Julien N. Vachon IRA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Beatrice E. Dunn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J. Lagemann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E.G. Bruckmann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W.B. Bruckmann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P.K. Bruckmann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M. Barnum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P. Sperry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Corydon S. Sperry Jr.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Cassandra Ordway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Duck Pond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Waltman &amp; Naomi Waltman Jt.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THW Group,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FBO Marion T. Boyer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Rona Maria Jones Declaration of Trust dated 06/03/1992, Anthony A. Jones, Trustee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FBO Michael A. Jones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Lorraine Prentis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FBO Frederick M. Seifert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O.B. Joyful Dynasty 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Stillman &amp; Shirley Els 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 dtd 08/05/2008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Trieber Ventures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Pamela G. Upson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Lightspeed Venture Partners Select,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Lightspeed Venture Partners VIII,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MDV IX,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MDV ENF IX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LLC</w:t>
      </w:r>
    </w:p>
    <w:p>
      <w:pPr>
        <w:spacing w:after="0" w:line="39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Personalis, Inc. Amended and Restated Investor Rights Agreement</w:t>
      </w:r>
    </w:p>
    <w:p>
      <w:pPr>
        <w:sectPr>
          <w:pgSz w:w="11900" w:h="16838" w:orient="portrait"/>
          <w:cols w:equalWidth="0" w:num="1">
            <w:col w:w="9999"/>
          </w:cols>
          <w:pgMar w:left="460" w:top="274" w:right="1440"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E. Murphy III &amp; Reva Murphy Jt Rev 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 Murphy III TTEE Et 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K.C. &amp; Diane Murphy Family Trust K.C.H.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Murphy TTEE Et Al u/a dtd 6/2/09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US Trust Derek Lagemann Generations Tr u/a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dtd 8/6/98, Carter S. Bacon Jr. Trustee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US Trust Derek Lagemann 2000 Irrev Tr u/a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dtd 3/29/2000, Carter S. Bacon Jr. &amp; Peter J. Lagemann, 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Beatrice E. Dunn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J. Lagemann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Trust FBO Peter J. Lagemann,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Carter S. Bacon Jr. &amp; Laurence a. Shadek Trustees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Mark P. Sperry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Corydon S. Sperry Jr.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Cassandra Ordway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Duck Pond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Waltman &amp; Naomi Waltman Jt.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THW Group,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O.B. Joyful Dynasty Tr Joy Stillman &amp; Shirley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Els Ttees u/a dtd 08/05/2008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Trieber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Pamela G. Upson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Upson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Derek W. Upson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Candace Bignell &amp; Christopher Bignell Jt. Ten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William J Korntheuer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R. McDermott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Ordway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 FBO Marion T. Boyer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 FBO Michael A. Jones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Benjamin Burditt Individual Retirement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 Cust</w:t>
      </w:r>
    </w:p>
    <w:p>
      <w:pPr>
        <w:spacing w:after="0" w:line="1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Personalis, Inc. Amended and Restated Investor Rights Agreement</w:t>
      </w:r>
    </w:p>
    <w:p>
      <w:pPr>
        <w:sectPr>
          <w:pgSz w:w="11900" w:h="16838" w:orient="portrait"/>
          <w:cols w:equalWidth="0" w:num="1">
            <w:col w:w="9999"/>
          </w:cols>
          <w:pgMar w:left="460" w:top="274" w:right="1440"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Estate &amp; Trust IRA FBO Lorraine J. Prentis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Titus Trading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 Christopher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ARD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Frederick J. Dotzler and Cassandra L. Dotzler,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Trustees of the Dotzler Family Trust UDT dated August 9, 2001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Providence Investment Company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Julien N. Vachon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Rona Maria Jones Declaration of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06/03/1992, Anthony A. Jones, Trustee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FBO Julien N. Vachon IRA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Estate &amp; Trust IRA FBO Frederick M. Seifert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(SBST)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Rona Maria Jones Declaration of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06/03/1992, Anthony A. Jones, Trustee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Charles Vachon &amp; Virginia Vachon Jt Ten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Derek Lagemann Trust f/b/o Carter S. Bacon, Jr.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Derek Lagemann Trust f/b/o Children of Peter Lagemann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Derek Lagemann Trust f/b/o Robin Greenwood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Dorothy S Lagemann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W. Seifert &amp; Anita A. Seifert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Eric K Bacon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GST Trust U/W Martha S. Bacon, Hoyt W. Bacon, Trustee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Henry Miller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Hoyt W Bacon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H Scott-Paine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Mats Andersson &amp; Kristina Andersson Jt Ten</w:t>
      </w:r>
    </w:p>
    <w:p>
      <w:pPr>
        <w:spacing w:after="0" w:line="15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Personalis, Inc. Amended and Restated Investor Rights Agreement</w:t>
      </w:r>
    </w:p>
    <w:p>
      <w:pPr>
        <w:sectPr>
          <w:pgSz w:w="11900" w:h="16838" w:orient="portrait"/>
          <w:cols w:equalWidth="0" w:num="1">
            <w:col w:w="9999"/>
          </w:cols>
          <w:pgMar w:left="460" w:top="274" w:right="1440"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Scrivens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Pamela G. Upson Trust, Pamela G. Upson &amp; Gilbert M. Upson TTEES, u/a dtd 09/12/1996</w:t>
      </w:r>
    </w:p>
    <w:p>
      <w:pPr>
        <w:spacing w:after="0" w:line="117"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PENSCO Trust Company LLC, Custodian for Bruce Oberfest &amp; Associates Profit Sharing/401k Plan FBO Bruce Oberfest, Custodian Only PENSCO Trust Company LLC, Custodian for Bruce Oberfest &amp; Associates Profit Sharing/401k Plan FBO Gail Oberfest, Custodian Only Philip W. Ordway, Trustee of the Philip W. Ordway Trust Created by Agreement dated September 13, 2016 Proship Limited Retirement Tr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Ramana Lagemann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Richard E. Gentilli &amp; Jane C. Gentilli Jt Ten</w:t>
      </w:r>
    </w:p>
    <w:p>
      <w:pPr>
        <w:spacing w:after="0" w:line="153"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Personalis, Inc. Amended and Restated Investor Rights Agreement</w:t>
      </w:r>
    </w:p>
    <w:p>
      <w:pPr>
        <w:sectPr>
          <w:pgSz w:w="11900" w:h="16838" w:orient="portrait"/>
          <w:cols w:equalWidth="0" w:num="1">
            <w:col w:w="10020"/>
          </w:cols>
          <w:pgMar w:left="460" w:top="274" w:right="1419" w:bottom="1440" w:gutter="0" w:footer="0" w:header="0"/>
        </w:sectPr>
      </w:pPr>
    </w:p>
    <w:bookmarkStart w:id="348" w:name="page349"/>
    <w:bookmarkEnd w:id="348"/>
    <w:p>
      <w:pPr>
        <w:ind w:left="1016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THIS WARRANT AND THE SHARES ISSUABLE HEREUNDER HAVE NOT BEEN REGISTERED UNDER THE SECURITIES ACT OF 1933,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b w:val="1"/>
          <w:bCs w:val="1"/>
          <w:color w:val="auto"/>
        </w:rPr>
        <w:t>”),</w:t>
      </w:r>
      <w:r>
        <w:rPr>
          <w:rFonts w:ascii="Arial" w:cs="Arial" w:eastAsia="Arial" w:hAnsi="Arial"/>
          <w:sz w:val="18"/>
          <w:szCs w:val="18"/>
          <w:color w:val="auto"/>
        </w:rPr>
        <w:t xml:space="preserve">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PERSONALIS,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89,956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B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$1.15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September 25,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September 25, 2024 See also Section 5.1(b).</w:t>
      </w:r>
    </w:p>
    <w:p>
      <w:pPr>
        <w:spacing w:after="0" w:line="9" w:lineRule="exact"/>
        <w:rPr>
          <w:sz w:val="20"/>
          <w:szCs w:val="20"/>
          <w:color w:val="auto"/>
        </w:rPr>
      </w:pPr>
    </w:p>
    <w:p>
      <w:pPr>
        <w:ind w:left="1440" w:right="260" w:hanging="1442"/>
        <w:spacing w:after="0" w:line="260" w:lineRule="auto"/>
        <w:tabs>
          <w:tab w:leader="none" w:pos="1420" w:val="left"/>
        </w:tabs>
        <w:rPr>
          <w:sz w:val="20"/>
          <w:szCs w:val="20"/>
          <w:color w:val="auto"/>
        </w:rPr>
      </w:pPr>
      <w:r>
        <w:rPr>
          <w:rFonts w:ascii="Arial" w:cs="Arial" w:eastAsia="Arial" w:hAnsi="Arial"/>
          <w:sz w:val="18"/>
          <w:szCs w:val="18"/>
          <w:b w:val="1"/>
          <w:bCs w:val="1"/>
          <w:color w:val="auto"/>
        </w:rPr>
        <w:t>Credit Facility:</w:t>
      </w:r>
      <w:r>
        <w:rPr>
          <w:sz w:val="20"/>
          <w:szCs w:val="20"/>
          <w:color w:val="auto"/>
        </w:rPr>
        <w:tab/>
      </w:r>
      <w:r>
        <w:rPr>
          <w:rFonts w:ascii="Arial" w:cs="Arial" w:eastAsia="Arial" w:hAnsi="Arial"/>
          <w:sz w:val="18"/>
          <w:szCs w:val="18"/>
          <w:color w:val="auto"/>
        </w:rPr>
        <w:t xml:space="preserve">This Warrant to Purchase Stock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Warrant</w:t>
      </w:r>
      <w:r>
        <w:rPr>
          <w:rFonts w:ascii="Arial" w:cs="Arial" w:eastAsia="Arial" w:hAnsi="Arial"/>
          <w:sz w:val="18"/>
          <w:szCs w:val="18"/>
          <w:b w:val="1"/>
          <w:bCs w:val="1"/>
          <w:color w:val="auto"/>
        </w:rPr>
        <w:t>”)</w:t>
      </w:r>
      <w:r>
        <w:rPr>
          <w:rFonts w:ascii="Arial" w:cs="Arial" w:eastAsia="Arial" w:hAnsi="Arial"/>
          <w:sz w:val="18"/>
          <w:szCs w:val="18"/>
          <w:color w:val="auto"/>
        </w:rPr>
        <w:t xml:space="preserve"> is issued in connection with that certain Loan and Security Agreement of even date herewith between Silicon Valley Bank and the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Loan Agreement</w:t>
      </w:r>
      <w:r>
        <w:rPr>
          <w:rFonts w:ascii="Arial" w:cs="Arial" w:eastAsia="Arial" w:hAnsi="Arial"/>
          <w:sz w:val="18"/>
          <w:szCs w:val="18"/>
          <w:b w:val="1"/>
          <w:bCs w:val="1"/>
          <w:color w:val="auto"/>
        </w:rPr>
        <w:t>”).</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b w:val="1"/>
          <w:bCs w:val="1"/>
          <w:color w:val="auto"/>
        </w:rPr>
        <w:t>”)</w:t>
      </w:r>
      <w:r>
        <w:rPr>
          <w:rFonts w:ascii="Arial" w:cs="Arial" w:eastAsia="Arial" w:hAnsi="Arial"/>
          <w:sz w:val="18"/>
          <w:szCs w:val="18"/>
          <w:color w:val="auto"/>
        </w:rPr>
        <w:t xml:space="preserve"> is entitled to purchase the number of fully paid and non-assessable shares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above-stated Type/Series of Stock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Class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above-named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right="20" w:firstLine="880"/>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through the Expiration Date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83" w:lineRule="exact"/>
        <w:rPr>
          <w:sz w:val="20"/>
          <w:szCs w:val="20"/>
          <w:color w:val="auto"/>
        </w:rPr>
      </w:pPr>
    </w:p>
    <w:p>
      <w:pPr>
        <w:ind w:right="420" w:firstLine="880"/>
        <w:spacing w:after="0" w:line="27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as set forth in the following sentence. Thereupon, the Company shall issue to Holder such number of fully paid and non-assessable Shares as are computed using the following formula:</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X = Y(A-B)/A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60" w:top="121" w:right="439" w:bottom="1440" w:gutter="0" w:footer="0" w:header="0"/>
        </w:sectPr>
      </w:pPr>
    </w:p>
    <w:bookmarkStart w:id="349" w:name="page350"/>
    <w:bookmarkEnd w:id="3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w:t>
      </w:r>
    </w:p>
    <w:p>
      <w:pPr>
        <w:spacing w:after="0" w:line="252"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Holder;</w:t>
      </w:r>
    </w:p>
    <w:p>
      <w:pPr>
        <w:spacing w:after="0" w:line="117" w:lineRule="exact"/>
        <w:rPr>
          <w:sz w:val="20"/>
          <w:szCs w:val="20"/>
          <w:color w:val="auto"/>
        </w:rPr>
      </w:pPr>
    </w:p>
    <w:p>
      <w:pPr>
        <w:ind w:left="1640" w:right="140" w:hanging="579"/>
        <w:spacing w:after="0" w:line="277" w:lineRule="auto"/>
        <w:tabs>
          <w:tab w:leader="none" w:pos="162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060" w:right="3120"/>
        <w:spacing w:after="0" w:line="375"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1" w:lineRule="exact"/>
        <w:rPr>
          <w:sz w:val="20"/>
          <w:szCs w:val="20"/>
          <w:color w:val="auto"/>
        </w:rPr>
      </w:pPr>
    </w:p>
    <w:p>
      <w:pPr>
        <w:ind w:right="40" w:firstLine="880"/>
        <w:spacing w:after="0" w:line="28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Trading Market</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 provided, however, that if this Warrant is exercised in connection with the Company’s IPO (as defined below), the fair market value of one Share shall be the per share offering price to the public of the Company’s initial public offering.</w:t>
      </w:r>
    </w:p>
    <w:p>
      <w:pPr>
        <w:spacing w:after="0" w:line="58" w:lineRule="exact"/>
        <w:rPr>
          <w:sz w:val="20"/>
          <w:szCs w:val="20"/>
          <w:color w:val="auto"/>
        </w:rPr>
      </w:pPr>
    </w:p>
    <w:p>
      <w:pPr>
        <w:ind w:right="500" w:firstLine="880"/>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40" w:lineRule="exact"/>
        <w:rPr>
          <w:sz w:val="20"/>
          <w:szCs w:val="20"/>
          <w:color w:val="auto"/>
        </w:rPr>
      </w:pPr>
    </w:p>
    <w:p>
      <w:pPr>
        <w:ind w:right="40" w:firstLine="880"/>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71"/>
        <w:spacing w:after="0" w:line="276" w:lineRule="auto"/>
        <w:tabs>
          <w:tab w:leader="none" w:pos="1125"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For the purpose of this Warrant,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Acquisition</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3" w:right="439" w:bottom="1440" w:gutter="0" w:footer="0" w:header="0"/>
        </w:sectPr>
      </w:pPr>
    </w:p>
    <w:bookmarkStart w:id="350" w:name="page351"/>
    <w:bookmarkEnd w:id="35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voting power immediately after such merger, consolidation or reorganization; or (iii) any sale or other transfer by the stockholders of the Company of shares representing at least a majority of the Company’s then-total outstanding combined voting power. For the avoidance of doubt, “Acquisition” shall exclude any transaction in which the Company sells and issues its capital stock to venture capital investors for capital raising purposes in a bona fide round of preferred stock financing.</w:t>
      </w:r>
    </w:p>
    <w:p>
      <w:pPr>
        <w:spacing w:after="0" w:line="78" w:lineRule="exact"/>
        <w:rPr>
          <w:sz w:val="20"/>
          <w:szCs w:val="20"/>
          <w:color w:val="auto"/>
        </w:rPr>
      </w:pPr>
    </w:p>
    <w:p>
      <w:pPr>
        <w:ind w:right="20" w:firstLine="871"/>
        <w:spacing w:after="0" w:line="288" w:lineRule="auto"/>
        <w:tabs>
          <w:tab w:leader="none" w:pos="113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xml:space="preserve">.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Cash/Public Acquisition</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 and shall no longer be exercisable.</w:t>
      </w:r>
    </w:p>
    <w:p>
      <w:pPr>
        <w:spacing w:after="0" w:line="58" w:lineRule="exact"/>
        <w:rPr>
          <w:rFonts w:ascii="Arial" w:cs="Arial" w:eastAsia="Arial" w:hAnsi="Arial"/>
          <w:sz w:val="16"/>
          <w:szCs w:val="16"/>
          <w:color w:val="auto"/>
        </w:rPr>
      </w:pPr>
    </w:p>
    <w:p>
      <w:pPr>
        <w:ind w:right="100" w:firstLine="871"/>
        <w:spacing w:after="0" w:line="279" w:lineRule="auto"/>
        <w:tabs>
          <w:tab w:leader="none" w:pos="112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8" w:lineRule="exact"/>
        <w:rPr>
          <w:rFonts w:ascii="Arial" w:cs="Arial" w:eastAsia="Arial" w:hAnsi="Arial"/>
          <w:sz w:val="17"/>
          <w:szCs w:val="17"/>
          <w:color w:val="auto"/>
        </w:rPr>
      </w:pPr>
    </w:p>
    <w:p>
      <w:pPr>
        <w:ind w:firstLine="871"/>
        <w:spacing w:after="0" w:line="254" w:lineRule="auto"/>
        <w:tabs>
          <w:tab w:leader="none" w:pos="113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As used in this Warrant,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means securities meeting all of the following requirements, determined as of immediately prior to the closing of an Acquisition: (i) the issuer thereof is then subject to the reporting requirements of Section 13 or Section 15(d) of the Securities Exchange Act of 1934,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117" w:lineRule="exact"/>
        <w:rPr>
          <w:sz w:val="20"/>
          <w:szCs w:val="20"/>
          <w:color w:val="auto"/>
        </w:rPr>
      </w:pPr>
    </w:p>
    <w:p>
      <w:pPr>
        <w:ind w:right="180" w:firstLine="88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351" w:name="page352"/>
    <w:bookmarkEnd w:id="351"/>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83" w:lineRule="exact"/>
        <w:rPr>
          <w:sz w:val="20"/>
          <w:szCs w:val="20"/>
          <w:color w:val="auto"/>
        </w:rPr>
      </w:pPr>
    </w:p>
    <w:p>
      <w:pPr>
        <w:ind w:right="20" w:firstLine="880"/>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69" w:lineRule="exact"/>
        <w:rPr>
          <w:sz w:val="20"/>
          <w:szCs w:val="20"/>
          <w:color w:val="auto"/>
        </w:rPr>
      </w:pPr>
    </w:p>
    <w:p>
      <w:pPr>
        <w:ind w:firstLine="880"/>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xml:space="preserve">.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IPO</w:t>
      </w:r>
      <w:r>
        <w:rPr>
          <w:rFonts w:ascii="Arial" w:cs="Arial" w:eastAsia="Arial" w:hAnsi="Arial"/>
          <w:sz w:val="17"/>
          <w:szCs w:val="17"/>
          <w:b w:val="1"/>
          <w:bCs w:val="1"/>
          <w:color w:val="auto"/>
        </w:rPr>
        <w:t>”),</w:t>
      </w:r>
      <w:r>
        <w:rPr>
          <w:rFonts w:ascii="Arial" w:cs="Arial" w:eastAsia="Arial" w:hAnsi="Arial"/>
          <w:sz w:val="17"/>
          <w:szCs w:val="17"/>
          <w:color w:val="auto"/>
        </w:rPr>
        <w:t xml:space="preserve">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69" w:lineRule="exact"/>
        <w:rPr>
          <w:sz w:val="20"/>
          <w:szCs w:val="20"/>
          <w:color w:val="auto"/>
        </w:rPr>
      </w:pPr>
    </w:p>
    <w:p>
      <w:pPr>
        <w:ind w:right="100" w:firstLine="880"/>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40" w:lineRule="exact"/>
        <w:rPr>
          <w:sz w:val="20"/>
          <w:szCs w:val="20"/>
          <w:color w:val="auto"/>
        </w:rPr>
      </w:pPr>
    </w:p>
    <w:p>
      <w:pPr>
        <w:ind w:right="40" w:firstLine="880"/>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2" w:lineRule="exact"/>
        <w:rPr>
          <w:sz w:val="20"/>
          <w:szCs w:val="20"/>
          <w:color w:val="auto"/>
        </w:rPr>
      </w:pPr>
    </w:p>
    <w:p>
      <w:pPr>
        <w:ind w:right="180" w:firstLine="880"/>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Holder as follows:</w:t>
      </w:r>
    </w:p>
    <w:p>
      <w:pPr>
        <w:spacing w:after="0" w:line="117" w:lineRule="exact"/>
        <w:rPr>
          <w:sz w:val="20"/>
          <w:szCs w:val="20"/>
          <w:color w:val="auto"/>
        </w:rPr>
      </w:pPr>
    </w:p>
    <w:p>
      <w:pPr>
        <w:jc w:val="both"/>
        <w:ind w:right="20" w:firstLine="1421"/>
        <w:spacing w:after="0" w:line="263" w:lineRule="auto"/>
        <w:tabs>
          <w:tab w:leader="none" w:pos="16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of the Issue Date, 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74" w:lineRule="exact"/>
        <w:rPr>
          <w:rFonts w:ascii="Arial" w:cs="Arial" w:eastAsia="Arial" w:hAnsi="Arial"/>
          <w:sz w:val="18"/>
          <w:szCs w:val="18"/>
          <w:color w:val="auto"/>
        </w:rPr>
      </w:pPr>
    </w:p>
    <w:p>
      <w:pPr>
        <w:ind w:firstLine="1421"/>
        <w:spacing w:after="0" w:line="254" w:lineRule="auto"/>
        <w:tabs>
          <w:tab w:leader="none" w:pos="168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under the Company’s Certificate of Incorporation, Bylaws, as amended from time to time, and Investor Rights Agreement, as amended from time to time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Investor Rights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85" w:lineRule="exact"/>
        <w:rPr>
          <w:rFonts w:ascii="Arial" w:cs="Arial" w:eastAsia="Arial" w:hAnsi="Arial"/>
          <w:sz w:val="18"/>
          <w:szCs w:val="18"/>
          <w:color w:val="auto"/>
        </w:rPr>
      </w:pPr>
    </w:p>
    <w:p>
      <w:pPr>
        <w:ind w:left="1660" w:hanging="239"/>
        <w:spacing w:after="0"/>
        <w:tabs>
          <w:tab w:leader="none" w:pos="16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right="80" w:firstLine="1421"/>
        <w:spacing w:after="0" w:line="277" w:lineRule="auto"/>
        <w:tabs>
          <w:tab w:leader="none" w:pos="16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1" w:lineRule="exact"/>
        <w:rPr>
          <w:rFonts w:ascii="Arial" w:cs="Arial" w:eastAsia="Arial" w:hAnsi="Arial"/>
          <w:sz w:val="18"/>
          <w:szCs w:val="18"/>
          <w:color w:val="auto"/>
        </w:rPr>
      </w:pPr>
    </w:p>
    <w:p>
      <w:pPr>
        <w:ind w:right="240" w:firstLine="1421"/>
        <w:spacing w:after="0" w:line="277" w:lineRule="auto"/>
        <w:tabs>
          <w:tab w:leader="none" w:pos="168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1" w:lineRule="exact"/>
        <w:rPr>
          <w:rFonts w:ascii="Arial" w:cs="Arial" w:eastAsia="Arial" w:hAnsi="Arial"/>
          <w:sz w:val="18"/>
          <w:szCs w:val="18"/>
          <w:color w:val="auto"/>
        </w:rPr>
      </w:pPr>
    </w:p>
    <w:p>
      <w:pPr>
        <w:ind w:left="1660" w:hanging="239"/>
        <w:spacing w:after="0"/>
        <w:tabs>
          <w:tab w:leader="none" w:pos="16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102" w:lineRule="exact"/>
        <w:rPr>
          <w:rFonts w:ascii="Arial" w:cs="Arial" w:eastAsia="Arial" w:hAnsi="Arial"/>
          <w:sz w:val="16"/>
          <w:szCs w:val="16"/>
          <w:color w:val="auto"/>
        </w:rPr>
      </w:pPr>
    </w:p>
    <w:p>
      <w:pPr>
        <w:ind w:left="1680" w:hanging="259"/>
        <w:spacing w:after="0"/>
        <w:tabs>
          <w:tab w:leader="none" w:pos="16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6" w:lineRule="exact"/>
        <w:rPr>
          <w:rFonts w:ascii="Arial" w:cs="Arial" w:eastAsia="Arial" w:hAnsi="Arial"/>
          <w:sz w:val="18"/>
          <w:szCs w:val="18"/>
          <w:color w:val="auto"/>
        </w:rPr>
      </w:pPr>
    </w:p>
    <w:p>
      <w:pPr>
        <w:ind w:left="1660" w:hanging="239"/>
        <w:spacing w:after="0"/>
        <w:tabs>
          <w:tab w:leader="none" w:pos="1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880" w:right="100" w:firstLine="396"/>
        <w:spacing w:after="0" w:line="263" w:lineRule="auto"/>
        <w:tabs>
          <w:tab w:leader="none" w:pos="1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353" w:name="page354"/>
    <w:bookmarkEnd w:id="353"/>
    <w:p>
      <w:pPr>
        <w:ind w:left="880" w:right="100" w:firstLine="396"/>
        <w:spacing w:after="0" w:line="301" w:lineRule="auto"/>
        <w:tabs>
          <w:tab w:leader="none" w:pos="15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48" w:lineRule="exact"/>
        <w:rPr>
          <w:rFonts w:ascii="Arial" w:cs="Arial" w:eastAsia="Arial" w:hAnsi="Arial"/>
          <w:sz w:val="16"/>
          <w:szCs w:val="16"/>
          <w:color w:val="auto"/>
        </w:rPr>
      </w:pPr>
    </w:p>
    <w:p>
      <w:pPr>
        <w:ind w:left="880" w:right="60" w:firstLine="396"/>
        <w:spacing w:after="0" w:line="277" w:lineRule="auto"/>
        <w:tabs>
          <w:tab w:leader="none" w:pos="1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Company will also provide information requested by Holder that is reasonably necessary to enable Holder to comply with Holder’s accounting or reporting requirements.</w:t>
      </w:r>
    </w:p>
    <w:p>
      <w:pPr>
        <w:spacing w:after="0" w:line="38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 represents and warrants to the Company as follows:</w:t>
      </w:r>
    </w:p>
    <w:p>
      <w:pPr>
        <w:spacing w:after="0" w:line="117" w:lineRule="exact"/>
        <w:rPr>
          <w:sz w:val="20"/>
          <w:szCs w:val="20"/>
          <w:color w:val="auto"/>
        </w:rPr>
      </w:pPr>
    </w:p>
    <w:p>
      <w:pPr>
        <w:jc w:val="both"/>
        <w:ind w:right="200" w:firstLine="880"/>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firstLine="880"/>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3" w:lineRule="exact"/>
        <w:rPr>
          <w:sz w:val="20"/>
          <w:szCs w:val="20"/>
          <w:color w:val="auto"/>
        </w:rPr>
      </w:pPr>
    </w:p>
    <w:p>
      <w:pPr>
        <w:ind w:right="200" w:firstLine="880"/>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Holder is an “accredited investor” within the meaning of Regulation D promulgated under the Act.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354" w:name="page355"/>
    <w:bookmarkEnd w:id="354"/>
    <w:p>
      <w:pPr>
        <w:ind w:firstLine="8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67" w:lineRule="exact"/>
        <w:rPr>
          <w:sz w:val="20"/>
          <w:szCs w:val="20"/>
          <w:color w:val="auto"/>
        </w:rPr>
      </w:pPr>
    </w:p>
    <w:p>
      <w:pPr>
        <w:ind w:right="360" w:firstLine="88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Holder agrees that the Shares shall be subject to the Market Standoff provisions in Section 2.11 of the Investor Rights Agreement or similar agreement.</w:t>
      </w:r>
    </w:p>
    <w:p>
      <w:pPr>
        <w:spacing w:after="0" w:line="62" w:lineRule="exact"/>
        <w:rPr>
          <w:sz w:val="20"/>
          <w:szCs w:val="20"/>
          <w:color w:val="auto"/>
        </w:rPr>
      </w:pPr>
    </w:p>
    <w:p>
      <w:pPr>
        <w:ind w:right="20" w:firstLine="880"/>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 No Stockholder Rights</w:t>
      </w:r>
      <w:r>
        <w:rPr>
          <w:rFonts w:ascii="Arial" w:cs="Arial" w:eastAsia="Arial" w:hAnsi="Arial"/>
          <w:sz w:val="18"/>
          <w:szCs w:val="18"/>
          <w:color w:val="auto"/>
        </w:rPr>
        <w:t>. Holder, as a Holder of this Warrant, will not have any voting rights or otherwise be entitled to any other rights afforded to a stockholder of the Company until the exercise of this Warrant.</w:t>
      </w:r>
    </w:p>
    <w:p>
      <w:pPr>
        <w:spacing w:after="0" w:line="38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SECTION 5. MISCELLANEOUS.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117" w:lineRule="exact"/>
        <w:rPr>
          <w:sz w:val="20"/>
          <w:szCs w:val="20"/>
          <w:color w:val="auto"/>
        </w:rPr>
      </w:pPr>
    </w:p>
    <w:p>
      <w:pPr>
        <w:ind w:right="60" w:firstLine="871"/>
        <w:spacing w:after="0" w:line="277" w:lineRule="auto"/>
        <w:tabs>
          <w:tab w:leader="none" w:pos="112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1" w:lineRule="exact"/>
        <w:rPr>
          <w:rFonts w:ascii="Arial" w:cs="Arial" w:eastAsia="Arial" w:hAnsi="Arial"/>
          <w:sz w:val="18"/>
          <w:szCs w:val="18"/>
          <w:color w:val="auto"/>
        </w:rPr>
      </w:pPr>
    </w:p>
    <w:p>
      <w:pPr>
        <w:ind w:right="140" w:firstLine="871"/>
        <w:spacing w:after="0" w:line="275" w:lineRule="auto"/>
        <w:tabs>
          <w:tab w:leader="none" w:pos="1135"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7" w:lineRule="exact"/>
        <w:rPr>
          <w:sz w:val="20"/>
          <w:szCs w:val="20"/>
          <w:color w:val="auto"/>
        </w:rPr>
      </w:pPr>
    </w:p>
    <w:p>
      <w:pPr>
        <w:ind w:right="140" w:firstLine="88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 (as well as any other legends required by the Company’s Certificate of Incorporation, Bylaws, each as amended from time to time, and the Investor Rights Agreement, as applicable):</w:t>
      </w:r>
    </w:p>
    <w:p>
      <w:pPr>
        <w:spacing w:after="0" w:line="75" w:lineRule="exact"/>
        <w:rPr>
          <w:sz w:val="20"/>
          <w:szCs w:val="20"/>
          <w:color w:val="auto"/>
        </w:rPr>
      </w:pPr>
    </w:p>
    <w:p>
      <w:pPr>
        <w:ind w:left="1120" w:hanging="249"/>
        <w:spacing w:after="0"/>
        <w:tabs>
          <w:tab w:leader="none" w:pos="112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Securities Law Legend</w:t>
      </w:r>
      <w:r>
        <w:rPr>
          <w:rFonts w:ascii="Arial" w:cs="Arial" w:eastAsia="Arial" w:hAnsi="Arial"/>
          <w:sz w:val="18"/>
          <w:szCs w:val="18"/>
          <w:color w:val="auto"/>
        </w:rPr>
        <w:t>:</w:t>
      </w:r>
    </w:p>
    <w:p>
      <w:pPr>
        <w:spacing w:after="0" w:line="117"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 xml:space="preserve">THE SHARES EVIDENCED BY THIS CERTIFICATE HAVE NOT BEEN REGISTERED UNDER THE SECURITIES ACT OF 1933,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b w:val="1"/>
          <w:bCs w:val="1"/>
          <w:color w:val="auto"/>
        </w:rPr>
        <w:t>”)</w:t>
      </w:r>
      <w:r>
        <w:rPr>
          <w:rFonts w:ascii="Arial" w:cs="Arial" w:eastAsia="Arial" w:hAnsi="Arial"/>
          <w:sz w:val="18"/>
          <w:szCs w:val="18"/>
          <w:color w:val="auto"/>
        </w:rPr>
        <w:t>, OR THE SECURITIES LAWS OF ANY STATE AND, EXCEPT AS SET FORTH IN THAT CERTAIN WARRANT TO PURCHASE STOCK ISSUED BY THE ISSUER TO SILICON VALLEY BANK DATED SEPTEMBER ,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3" w:right="459" w:bottom="1440" w:gutter="0" w:footer="0" w:header="0"/>
        </w:sectPr>
      </w:pPr>
    </w:p>
    <w:bookmarkStart w:id="355" w:name="page356"/>
    <w:bookmarkEnd w:id="355"/>
    <w:p>
      <w:pPr>
        <w:ind w:left="1130" w:hanging="249"/>
        <w:spacing w:after="0"/>
        <w:tabs>
          <w:tab w:leader="none" w:pos="113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Stand-Off Legend</w:t>
      </w:r>
      <w:r>
        <w:rPr>
          <w:rFonts w:ascii="Arial" w:cs="Arial" w:eastAsia="Arial" w:hAnsi="Arial"/>
          <w:sz w:val="18"/>
          <w:szCs w:val="18"/>
          <w:color w:val="auto"/>
        </w:rPr>
        <w:t>:</w:t>
      </w:r>
    </w:p>
    <w:p>
      <w:pPr>
        <w:spacing w:after="0" w:line="117" w:lineRule="exact"/>
        <w:rPr>
          <w:sz w:val="20"/>
          <w:szCs w:val="20"/>
          <w:color w:val="auto"/>
        </w:rPr>
      </w:pPr>
    </w:p>
    <w:p>
      <w:pPr>
        <w:ind w:left="890" w:right="180"/>
        <w:spacing w:after="0" w:line="259" w:lineRule="auto"/>
        <w:rPr>
          <w:sz w:val="20"/>
          <w:szCs w:val="20"/>
          <w:color w:val="auto"/>
        </w:rPr>
      </w:pPr>
      <w:r>
        <w:rPr>
          <w:rFonts w:ascii="Arial" w:cs="Arial" w:eastAsia="Arial" w:hAnsi="Arial"/>
          <w:sz w:val="18"/>
          <w:szCs w:val="18"/>
          <w:color w:val="auto"/>
        </w:rPr>
        <w:t>THE SHARES REPRESENTED BY THIS CERTIFICATE ARE SUBJECT TO RESTRICTIONS ON TRANSFERABILITY AND RESALE, INCLUDING A LOCK-UP PERIOD IN THE EVENT OF AN INITIAL PUBLIC OFFERING, AS SET FORTH IN THAT CERTAIN WARRANT TO PURCHASE STOCK ISSUED BY THE ISSUER TO SILICON VALLEY BANK DATED SEPTEMBER 25, 2014, PURSUANT TO WHICH THESE SHARES WERE ISSUED.</w:t>
      </w:r>
    </w:p>
    <w:p>
      <w:pPr>
        <w:spacing w:after="0" w:line="78" w:lineRule="exact"/>
        <w:rPr>
          <w:sz w:val="20"/>
          <w:szCs w:val="20"/>
          <w:color w:val="auto"/>
        </w:rPr>
      </w:pPr>
    </w:p>
    <w:p>
      <w:pPr>
        <w:ind w:left="10" w:right="40" w:firstLine="880"/>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provided that, Holder represents that it has complied with Rule 144 in reasonable detail, the selling broker represents that it has complied with Rule 144, and the Company is provided with a copy of Holder’s notice of proposed sale.</w:t>
      </w:r>
    </w:p>
    <w:p>
      <w:pPr>
        <w:spacing w:after="0" w:line="71" w:lineRule="exact"/>
        <w:rPr>
          <w:sz w:val="20"/>
          <w:szCs w:val="20"/>
          <w:color w:val="auto"/>
        </w:rPr>
      </w:pPr>
    </w:p>
    <w:p>
      <w:pPr>
        <w:ind w:left="10" w:firstLine="880"/>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xml:space="preserve">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6" w:lineRule="exact"/>
        <w:rPr>
          <w:sz w:val="20"/>
          <w:szCs w:val="20"/>
          <w:color w:val="auto"/>
        </w:rPr>
      </w:pPr>
    </w:p>
    <w:p>
      <w:pPr>
        <w:jc w:val="both"/>
        <w:ind w:left="10" w:right="300" w:firstLine="880"/>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Holder, or vice versa, shall be deemed delivered and effective (i) when given personally, (ii) on the third (3</w:t>
      </w:r>
      <w:r>
        <w:rPr>
          <w:rFonts w:ascii="Arial" w:cs="Arial" w:eastAsia="Arial" w:hAnsi="Arial"/>
          <w:sz w:val="13"/>
          <w:szCs w:val="13"/>
          <w:color w:val="auto"/>
        </w:rPr>
        <w:t>rd</w:t>
      </w:r>
      <w:r>
        <w:rPr>
          <w:rFonts w:ascii="Arial" w:cs="Arial" w:eastAsia="Arial" w:hAnsi="Arial"/>
          <w:sz w:val="16"/>
          <w:szCs w:val="16"/>
          <w:color w:val="auto"/>
        </w:rPr>
        <w:t>) Business Day after being mailed by first-class registered or certified mail, postage prepaid,</w:t>
      </w:r>
    </w:p>
    <w:p>
      <w:pPr>
        <w:spacing w:after="0" w:line="1" w:lineRule="exact"/>
        <w:rPr>
          <w:sz w:val="20"/>
          <w:szCs w:val="20"/>
          <w:color w:val="auto"/>
        </w:rPr>
      </w:pPr>
    </w:p>
    <w:p>
      <w:pPr>
        <w:ind w:left="5450" w:right="3340" w:hanging="5450"/>
        <w:spacing w:after="0" w:line="432" w:lineRule="auto"/>
        <w:tabs>
          <w:tab w:leader="none" w:pos="3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actual receipt if given by facsimile or electronic mail and such receipt is confirmed in writing by 8</w:t>
      </w:r>
    </w:p>
    <w:p>
      <w:pPr>
        <w:sectPr>
          <w:pgSz w:w="11900" w:h="16838" w:orient="portrait"/>
          <w:cols w:equalWidth="0" w:num="1">
            <w:col w:w="10990"/>
          </w:cols>
          <w:pgMar w:left="450" w:top="274" w:right="459" w:bottom="1440" w:gutter="0" w:footer="0" w:header="0"/>
        </w:sectPr>
      </w:pPr>
    </w:p>
    <w:bookmarkStart w:id="356" w:name="page357"/>
    <w:bookmarkEnd w:id="356"/>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7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derivatives@svb.com</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Personalis, Inc.</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VP Finance &amp; Administration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1350 Willow Road</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Telephone: 650-752-1300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650-752-1301</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8274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82" w:lineRule="exact"/>
        <w:rPr>
          <w:sz w:val="20"/>
          <w:szCs w:val="20"/>
          <w:color w:val="auto"/>
        </w:rPr>
      </w:pPr>
    </w:p>
    <w:p>
      <w:pPr>
        <w:ind w:right="20" w:firstLine="88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firstLine="880"/>
        <w:spacing w:after="0" w:line="307"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9" w:lineRule="exact"/>
        <w:rPr>
          <w:sz w:val="20"/>
          <w:szCs w:val="20"/>
          <w:color w:val="auto"/>
        </w:rPr>
      </w:pPr>
    </w:p>
    <w:p>
      <w:pPr>
        <w:ind w:right="100" w:firstLine="88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20" w:firstLine="88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62" w:lineRule="exact"/>
        <w:rPr>
          <w:sz w:val="20"/>
          <w:szCs w:val="20"/>
          <w:color w:val="auto"/>
        </w:rPr>
      </w:pPr>
    </w:p>
    <w:p>
      <w:pPr>
        <w:ind w:right="260" w:firstLine="880"/>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b w:val="1"/>
          <w:bCs w:val="1"/>
          <w:color w:val="auto"/>
        </w:rPr>
        <w:t>”</w:t>
      </w:r>
      <w:r>
        <w:rPr>
          <w:rFonts w:ascii="Arial" w:cs="Arial" w:eastAsia="Arial" w:hAnsi="Arial"/>
          <w:sz w:val="18"/>
          <w:szCs w:val="18"/>
          <w:color w:val="auto"/>
        </w:rPr>
        <w:t xml:space="preserve">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3" w:right="459" w:bottom="1440" w:gutter="0" w:footer="0" w:header="0"/>
        </w:sectPr>
      </w:pPr>
    </w:p>
    <w:bookmarkStart w:id="357" w:name="page358"/>
    <w:bookmarkEnd w:id="35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PERSONALIS, INC.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23983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West</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23983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w:t>
      </w:r>
    </w:p>
    <w:p>
      <w:pPr>
        <w:sectPr>
          <w:pgSz w:w="11900" w:h="16838" w:orient="portrait"/>
          <w:cols w:equalWidth="0" w:num="1">
            <w:col w:w="11000"/>
          </w:cols>
          <w:pgMar w:left="460" w:top="274" w:right="43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40"/>
        <w:spacing w:after="0"/>
        <w:tabs>
          <w:tab w:leader="none" w:pos="5620" w:val="left"/>
          <w:tab w:leader="none" w:pos="8500" w:val="left"/>
        </w:tabs>
        <w:rPr>
          <w:sz w:val="20"/>
          <w:szCs w:val="20"/>
          <w:color w:val="auto"/>
        </w:rPr>
      </w:pPr>
      <w:r>
        <w:rPr>
          <w:rFonts w:ascii="Arial" w:cs="Arial" w:eastAsia="Arial" w:hAnsi="Arial"/>
          <w:sz w:val="18"/>
          <w:szCs w:val="18"/>
          <w:color w:val="auto"/>
        </w:rPr>
        <w:t>1. The undersigned Holder hereby exercises its right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 of</w:t>
      </w:r>
    </w:p>
    <w:p>
      <w:pPr>
        <w:spacing w:after="0" w:line="23"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 xml:space="preserve">PERSONALIS, INC.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xml:space="preserve"> in accordance with the attached Warrant To Purchase Stock, and tenders payment of the aggregate Warrant Price for such shares as follows:</w:t>
      </w:r>
    </w:p>
    <w:p>
      <w:pPr>
        <w:sectPr>
          <w:pgSz w:w="11900" w:h="16838" w:orient="portrait"/>
          <w:cols w:equalWidth="0" w:num="1">
            <w:col w:w="10960"/>
          </w:cols>
          <w:pgMar w:left="460" w:top="274" w:right="479" w:bottom="1440" w:gutter="0" w:footer="0" w:header="0"/>
        </w:sectPr>
      </w:pP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check in the amount of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payable to order of the Company enclosed herewith</w:t>
      </w:r>
    </w:p>
    <w:p>
      <w:pPr>
        <w:spacing w:after="0" w:line="152" w:lineRule="exact"/>
        <w:rPr>
          <w:sz w:val="20"/>
          <w:szCs w:val="20"/>
          <w:color w:val="auto"/>
        </w:rPr>
      </w:pPr>
    </w:p>
    <w:p>
      <w:pPr>
        <w:sectPr>
          <w:pgSz w:w="11900" w:h="16838" w:orient="portrait"/>
          <w:cols w:equalWidth="0" w:num="3">
            <w:col w:w="480" w:space="180"/>
            <w:col w:w="2020" w:space="720"/>
            <w:col w:w="7560"/>
          </w:cols>
          <w:pgMar w:left="460" w:top="274" w:right="47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Wire transfer of immediately available funds to the Company’s account</w:t>
      </w:r>
    </w:p>
    <w:p>
      <w:pPr>
        <w:spacing w:after="0" w:line="152" w:lineRule="exact"/>
        <w:rPr>
          <w:sz w:val="20"/>
          <w:szCs w:val="20"/>
          <w:color w:val="auto"/>
        </w:rPr>
      </w:pPr>
    </w:p>
    <w:p>
      <w:pPr>
        <w:sectPr>
          <w:pgSz w:w="11900" w:h="16838" w:orient="portrait"/>
          <w:cols w:equalWidth="0" w:num="2">
            <w:col w:w="480" w:space="180"/>
            <w:col w:w="10300"/>
          </w:cols>
          <w:pgMar w:left="460" w:top="274" w:right="479" w:bottom="1440" w:gutter="0" w:footer="0" w:header="0"/>
          <w:type w:val="continuous"/>
        </w:sectPr>
      </w:pPr>
    </w:p>
    <w:p>
      <w:pPr>
        <w:ind w:left="660" w:hanging="23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660" w:hanging="23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11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 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203200</wp:posOffset>
            </wp:positionV>
            <wp:extent cx="38373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37305"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-215900</wp:posOffset>
            </wp:positionV>
            <wp:extent cx="419544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95445" cy="8255"/>
                    </a:xfrm>
                    <a:prstGeom prst="rect">
                      <a:avLst/>
                    </a:prstGeom>
                    <a:noFill/>
                  </pic:spPr>
                </pic:pic>
              </a:graphicData>
            </a:graphic>
          </wp:anchor>
        </w:drawing>
      </w:r>
    </w:p>
    <w:p>
      <w:pPr>
        <w:spacing w:after="0" w:line="340"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297180</wp:posOffset>
            </wp:positionV>
            <wp:extent cx="38373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37305" cy="825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588645</wp:posOffset>
            </wp:positionV>
            <wp:extent cx="38373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3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30"/>
        <w:spacing w:after="0" w:line="277" w:lineRule="auto"/>
        <w:tabs>
          <w:tab w:leader="none" w:pos="6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151765</wp:posOffset>
            </wp:positionV>
            <wp:extent cx="27927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60"/>
          </w:cols>
          <w:pgMar w:left="460" w:top="274" w:right="479" w:bottom="1440" w:gutter="0" w:footer="0" w:header="0"/>
          <w:type w:val="continuous"/>
        </w:sectPr>
      </w:pPr>
    </w:p>
    <w:bookmarkStart w:id="359" w:name="page360"/>
    <w:bookmarkEnd w:id="35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3" w:right="1440" w:bottom="1440" w:gutter="0" w:footer="0" w:header="0"/>
        </w:sectPr>
      </w:pPr>
    </w:p>
    <w:bookmarkStart w:id="360" w:name="page361"/>
    <w:bookmarkEnd w:id="360"/>
    <w:p>
      <w:pPr>
        <w:ind w:left="1016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THIS WARRANT AND THE SECURITIES ISSUABLE UPON EXERCISE HEREUNDER HAVE NOT BEEN REGISTERED UNDER THE SECURITIES ACT OF 1933 AS AMENDED (the “1933 ACT”), OR ANY STATE SECURITIES LAWS. THEY MAY NOT BE SOLD, OFFERED FOR SALE, PLEDGED, OR HYPOTHECATED IN THE ABSENCE OF AN EFFECTIVE REGISTRATION STATEMENT RELATED THERETO OR AN OPINION OF COUNSEL REASONABLY SATISFACTORY TO YOU THAT SUCH REGISTRATION IS NOT REQUIRED UNDER THE 1933 ACT, OR ANY APPLICABLE STATE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 ENGLISH WARRANT AGREEMENT</w:t>
      </w:r>
    </w:p>
    <w:p>
      <w:pPr>
        <w:spacing w:after="0" w:line="225"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b w:val="1"/>
          <w:bCs w:val="1"/>
          <w:color w:val="auto"/>
        </w:rPr>
        <w:t xml:space="preserve">This is </w:t>
      </w:r>
      <w:r>
        <w:rPr>
          <w:rFonts w:ascii="Arial" w:cs="Arial" w:eastAsia="Arial" w:hAnsi="Arial"/>
          <w:sz w:val="18"/>
          <w:szCs w:val="18"/>
          <w:color w:val="auto"/>
        </w:rPr>
        <w:t>a</w:t>
      </w:r>
      <w:r>
        <w:rPr>
          <w:rFonts w:ascii="Arial" w:cs="Arial" w:eastAsia="Arial" w:hAnsi="Arial"/>
          <w:sz w:val="18"/>
          <w:szCs w:val="18"/>
          <w:b w:val="1"/>
          <w:bCs w:val="1"/>
          <w:color w:val="auto"/>
        </w:rPr>
        <w:t xml:space="preserve"> PLAIN ENGLISH WARRANT AGREEMENT </w:t>
      </w:r>
      <w:r>
        <w:rPr>
          <w:rFonts w:ascii="Arial" w:cs="Arial" w:eastAsia="Arial" w:hAnsi="Arial"/>
          <w:sz w:val="18"/>
          <w:szCs w:val="18"/>
          <w:color w:val="auto"/>
        </w:rPr>
        <w:t>dated June 28, 2017 by and between PERSONALIS, INC., a Delaware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TRIPLEPOINT CAPITAL LLC, a Delaware limited liability company.</w:t>
      </w:r>
    </w:p>
    <w:p>
      <w:pPr>
        <w:spacing w:after="0" w:line="16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words “We”, “Us”, or “Our” refer to the warrant holder, which is TRIPLEPOINT CAPITAL LLC. The words “You” or “Your” refers to the issuer, which is PERSONALIS, INC., and not to any individual. The words “the Parties” refers to both TRIPLEPOINT CAPITAL LLC and PERSONALIS, INC. This Plain English Warrant Agreement may be referred to as the “Warrant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entered into a Plain English Revolving Loan and Security Agreement dated as of June 28, 2017, the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such Loan Agreement, the Parties agree to the following mutual agreements and conditions set forth below:</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ARRANT</w:t>
            </w:r>
            <w:r>
              <w:rPr>
                <w:rFonts w:ascii="Arial" w:cs="Arial" w:eastAsia="Arial" w:hAnsi="Arial"/>
                <w:sz w:val="14"/>
                <w:szCs w:val="14"/>
                <w:b w:val="1"/>
                <w:bCs w:val="1"/>
                <w:color w:val="auto"/>
              </w:rPr>
              <w:t xml:space="preserve"> I</w:t>
            </w:r>
            <w:r>
              <w:rPr>
                <w:rFonts w:ascii="Arial" w:cs="Arial" w:eastAsia="Arial" w:hAnsi="Arial"/>
                <w:sz w:val="11"/>
                <w:szCs w:val="11"/>
                <w:b w:val="1"/>
                <w:bCs w:val="1"/>
                <w:color w:val="auto"/>
              </w:rPr>
              <w:t>NFORMATION</w:t>
            </w:r>
          </w:p>
        </w:tc>
        <w:tc>
          <w:tcPr>
            <w:tcW w:w="2720" w:type="dxa"/>
            <w:vAlign w:val="bottom"/>
          </w:tcPr>
          <w:p>
            <w:pPr>
              <w:spacing w:after="0"/>
              <w:rPr>
                <w:sz w:val="14"/>
                <w:szCs w:val="14"/>
                <w:color w:val="auto"/>
              </w:rPr>
            </w:pPr>
          </w:p>
        </w:tc>
      </w:tr>
      <w:tr>
        <w:trPr>
          <w:trHeight w:val="257"/>
        </w:trPr>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2"/>
              </w:rPr>
              <w:t>Effective Date</w:t>
            </w:r>
          </w:p>
        </w:tc>
        <w:tc>
          <w:tcPr>
            <w:tcW w:w="144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Number</w:t>
            </w:r>
          </w:p>
        </w:tc>
        <w:tc>
          <w:tcPr>
            <w:tcW w:w="1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Loan Facility Number</w:t>
            </w:r>
          </w:p>
        </w:tc>
      </w:tr>
      <w:tr>
        <w:trPr>
          <w:trHeight w:val="310"/>
        </w:trPr>
        <w:tc>
          <w:tcPr>
            <w:tcW w:w="900" w:type="dxa"/>
            <w:vAlign w:val="bottom"/>
          </w:tcPr>
          <w:p>
            <w:pPr>
              <w:spacing w:after="0"/>
              <w:rPr>
                <w:sz w:val="24"/>
                <w:szCs w:val="24"/>
                <w:color w:val="auto"/>
              </w:rPr>
            </w:pPr>
          </w:p>
        </w:tc>
        <w:tc>
          <w:tcPr>
            <w:tcW w:w="2320" w:type="dxa"/>
            <w:vAlign w:val="bottom"/>
            <w:gridSpan w:val="4"/>
          </w:tcPr>
          <w:p>
            <w:pPr>
              <w:jc w:val="center"/>
              <w:ind w:right="1160"/>
              <w:spacing w:after="0"/>
              <w:rPr>
                <w:sz w:val="20"/>
                <w:szCs w:val="20"/>
                <w:color w:val="auto"/>
              </w:rPr>
            </w:pPr>
            <w:r>
              <w:rPr>
                <w:rFonts w:ascii="Arial" w:cs="Arial" w:eastAsia="Arial" w:hAnsi="Arial"/>
                <w:sz w:val="18"/>
                <w:szCs w:val="18"/>
                <w:color w:val="auto"/>
                <w:w w:val="87"/>
              </w:rPr>
              <w:t>June 28, 2017</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gridSpan w:val="4"/>
          </w:tcPr>
          <w:p>
            <w:pPr>
              <w:jc w:val="center"/>
              <w:ind w:right="1960"/>
              <w:spacing w:after="0"/>
              <w:rPr>
                <w:sz w:val="20"/>
                <w:szCs w:val="20"/>
                <w:color w:val="auto"/>
              </w:rPr>
            </w:pPr>
            <w:r>
              <w:rPr>
                <w:rFonts w:ascii="Arial" w:cs="Arial" w:eastAsia="Arial" w:hAnsi="Arial"/>
                <w:sz w:val="18"/>
                <w:szCs w:val="18"/>
                <w:color w:val="auto"/>
                <w:w w:val="89"/>
              </w:rPr>
              <w:t>1115-W-01</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1115-RV-01</w:t>
            </w:r>
          </w:p>
        </w:tc>
      </w:tr>
      <w:tr>
        <w:trPr>
          <w:trHeight w:val="277"/>
        </w:trPr>
        <w:tc>
          <w:tcPr>
            <w:tcW w:w="900" w:type="dxa"/>
            <w:vAlign w:val="bottom"/>
          </w:tcPr>
          <w:p>
            <w:pPr>
              <w:spacing w:after="0"/>
              <w:rPr>
                <w:sz w:val="24"/>
                <w:szCs w:val="24"/>
                <w:color w:val="auto"/>
              </w:rPr>
            </w:pPr>
          </w:p>
        </w:tc>
        <w:tc>
          <w:tcPr>
            <w:tcW w:w="232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6"/>
              </w:rPr>
              <w:t>Warrant Coverage</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24"/>
                <w:szCs w:val="24"/>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 of Stock</w:t>
            </w:r>
          </w:p>
        </w:tc>
      </w:tr>
      <w:tr>
        <w:trPr>
          <w:trHeight w:val="296"/>
        </w:trPr>
        <w:tc>
          <w:tcPr>
            <w:tcW w:w="32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$250,000 (5% of $5,000,000); additional</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2"/>
              </w:rPr>
              <w:t>124,193; additional</w:t>
            </w:r>
          </w:p>
        </w:tc>
        <w:tc>
          <w:tcPr>
            <w:tcW w:w="240" w:type="dxa"/>
            <w:vAlign w:val="bottom"/>
          </w:tcPr>
          <w:p>
            <w:pPr>
              <w:spacing w:after="0"/>
              <w:rPr>
                <w:sz w:val="24"/>
                <w:szCs w:val="24"/>
                <w:color w:val="auto"/>
              </w:rPr>
            </w:pPr>
          </w:p>
        </w:tc>
        <w:tc>
          <w:tcPr>
            <w:tcW w:w="29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$2.013, subject to adjustment as set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Series C Preferred Stock, subject to</w:t>
            </w:r>
          </w:p>
        </w:tc>
      </w:tr>
      <w:tr>
        <w:trPr>
          <w:trHeight w:val="216"/>
        </w:trPr>
        <w:tc>
          <w:tcPr>
            <w:tcW w:w="322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$250,000 (5% of $5,000,000), upon the</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8"/>
              </w:rPr>
              <w:t>124,192 upon the</w:t>
            </w:r>
          </w:p>
        </w:tc>
        <w:tc>
          <w:tcPr>
            <w:tcW w:w="240" w:type="dxa"/>
            <w:vAlign w:val="bottom"/>
          </w:tcPr>
          <w:p>
            <w:pPr>
              <w:spacing w:after="0"/>
              <w:rPr>
                <w:sz w:val="18"/>
                <w:szCs w:val="18"/>
                <w:color w:val="auto"/>
              </w:rPr>
            </w:pPr>
          </w:p>
        </w:tc>
        <w:tc>
          <w:tcPr>
            <w:tcW w:w="29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forth in this Warrant Agreement.</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adjustment as set forth in this</w:t>
            </w:r>
          </w:p>
        </w:tc>
      </w:tr>
      <w:tr>
        <w:trPr>
          <w:trHeight w:val="216"/>
        </w:trPr>
        <w:tc>
          <w:tcPr>
            <w:tcW w:w="322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availability of the Tranche B portion of</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6"/>
              </w:rPr>
              <w:t>availability of the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Warrant Agreement.</w:t>
            </w:r>
          </w:p>
        </w:tc>
      </w:tr>
      <w:tr>
        <w:trPr>
          <w:trHeight w:val="216"/>
        </w:trPr>
        <w:tc>
          <w:tcPr>
            <w:tcW w:w="32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the Part 1 Commitment Amount, as</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1"/>
              </w:rPr>
              <w:t>Tranche B portion of the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2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further set forth below.</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1"/>
              </w:rPr>
              <w:t>Part 1 Commitment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0"/>
              </w:rPr>
              <w:t>Amount, as further 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4"/>
              </w:rPr>
              <w:t>forth below.</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2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9"/>
              </w:rPr>
              <w:t>The Number of Shares is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8"/>
              </w:rPr>
              <w:t>subject to adjustment 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2"/>
              </w:rPr>
              <w:t>set forth in this Warrant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0"/>
              </w:rPr>
              <w:t>Agreement.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O</w:t>
      </w:r>
      <w:r>
        <w:rPr>
          <w:rFonts w:ascii="Arial" w:cs="Arial" w:eastAsia="Arial" w:hAnsi="Arial"/>
          <w:sz w:val="11"/>
          <w:szCs w:val="11"/>
          <w:b w:val="1"/>
          <w:bCs w:val="1"/>
          <w:u w:val="single" w:color="auto"/>
          <w:color w:val="auto"/>
        </w:rPr>
        <w:t>UR</w:t>
      </w:r>
      <w:r>
        <w:rPr>
          <w:rFonts w:ascii="Arial" w:cs="Arial" w:eastAsia="Arial" w:hAnsi="Arial"/>
          <w:sz w:val="14"/>
          <w:szCs w:val="14"/>
          <w:b w:val="1"/>
          <w:bCs w:val="1"/>
          <w:u w:val="single" w:color="auto"/>
          <w:color w:val="auto"/>
        </w:rPr>
        <w:t xml:space="preserve"> C</w:t>
      </w:r>
      <w:r>
        <w:rPr>
          <w:rFonts w:ascii="Arial" w:cs="Arial" w:eastAsia="Arial" w:hAnsi="Arial"/>
          <w:sz w:val="11"/>
          <w:szCs w:val="11"/>
          <w:b w:val="1"/>
          <w:bCs w:val="1"/>
          <w:u w:val="single" w:color="auto"/>
          <w:color w:val="auto"/>
        </w:rPr>
        <w:t>ONTACT</w:t>
      </w:r>
      <w:r>
        <w:rPr>
          <w:rFonts w:ascii="Arial" w:cs="Arial" w:eastAsia="Arial" w:hAnsi="Arial"/>
          <w:sz w:val="14"/>
          <w:szCs w:val="14"/>
          <w:b w:val="1"/>
          <w:bCs w:val="1"/>
          <w:u w:val="single" w:color="auto"/>
          <w:color w:val="auto"/>
        </w:rPr>
        <w:t xml:space="preserve"> I</w:t>
      </w:r>
      <w:r>
        <w:rPr>
          <w:rFonts w:ascii="Arial" w:cs="Arial" w:eastAsia="Arial" w:hAnsi="Arial"/>
          <w:sz w:val="11"/>
          <w:szCs w:val="11"/>
          <w:b w:val="1"/>
          <w:bCs w:val="1"/>
          <w:u w:val="single" w:color="auto"/>
          <w:color w:val="auto"/>
        </w:rPr>
        <w:t>NFORMATION</w:t>
      </w:r>
    </w:p>
    <w:p>
      <w:pPr>
        <w:sectPr>
          <w:pgSz w:w="11900" w:h="16838" w:orient="portrait"/>
          <w:cols w:equalWidth="0" w:num="1">
            <w:col w:w="11000"/>
          </w:cols>
          <w:pgMar w:left="460" w:top="121" w:right="439" w:bottom="1440" w:gutter="0" w:footer="0" w:header="0"/>
        </w:sectPr>
      </w:pP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3"/>
          <w:szCs w:val="13"/>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29845</wp:posOffset>
            </wp:positionV>
            <wp:extent cx="22098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209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29845</wp:posOffset>
            </wp:positionV>
            <wp:extent cx="21501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4320" w:space="720"/>
            <w:col w:w="3080" w:space="720"/>
            <w:col w:w="2160"/>
          </w:cols>
          <w:pgMar w:left="460" w:top="121" w:right="439" w:bottom="1440" w:gutter="0" w:footer="0" w:header="0"/>
          <w:type w:val="continuous"/>
        </w:sectPr>
      </w:pPr>
    </w:p>
    <w:tbl>
      <w:tblPr>
        <w:tblLayout w:type="fixed"/>
        <w:tblInd w:w="960" w:type="dxa"/>
        <w:tblCellMar>
          <w:top w:w="0" w:type="dxa"/>
          <w:left w:w="0" w:type="dxa"/>
          <w:bottom w:w="0" w:type="dxa"/>
          <w:right w:w="0" w:type="dxa"/>
        </w:tblCellMar>
      </w:tblP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TriplePoint Capital LLC</w:t>
            </w:r>
          </w:p>
        </w:tc>
        <w:tc>
          <w:tcPr>
            <w:tcW w:w="308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2755 Sand Hill Road, Ste. 150</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Sajal Srivastava, President</w:t>
            </w:r>
          </w:p>
        </w:tc>
      </w:tr>
      <w:tr>
        <w:trPr>
          <w:trHeight w:val="216"/>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Menlo Park, CA 94025</w:t>
            </w: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Tel: (650) 233-2102</w:t>
            </w:r>
          </w:p>
        </w:tc>
      </w:tr>
      <w:tr>
        <w:trPr>
          <w:trHeight w:val="216"/>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Tel: (650) 854-2090</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Fax: (650) 854-1850</w:t>
            </w:r>
          </w:p>
        </w:tc>
      </w:tr>
      <w:tr>
        <w:trPr>
          <w:trHeight w:val="230"/>
        </w:trPr>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Fax: (650) 854-1850</w:t>
            </w: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email: legal@triplepointcapital.com</w:t>
            </w:r>
          </w:p>
        </w:tc>
      </w:tr>
      <w:tr>
        <w:trPr>
          <w:trHeight w:val="270"/>
        </w:trPr>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8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rPr>
              <w:t>Y</w:t>
            </w:r>
            <w:r>
              <w:rPr>
                <w:rFonts w:ascii="Arial" w:cs="Arial" w:eastAsia="Arial" w:hAnsi="Arial"/>
                <w:sz w:val="11"/>
                <w:szCs w:val="11"/>
                <w:b w:val="1"/>
                <w:bCs w:val="1"/>
                <w:color w:val="auto"/>
              </w:rPr>
              <w:t>OUR</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ONTACT</w:t>
            </w:r>
            <w:r>
              <w:rPr>
                <w:rFonts w:ascii="Arial" w:cs="Arial" w:eastAsia="Arial" w:hAnsi="Arial"/>
                <w:sz w:val="14"/>
                <w:szCs w:val="14"/>
                <w:b w:val="1"/>
                <w:bCs w:val="1"/>
                <w:color w:val="auto"/>
              </w:rPr>
              <w:t xml:space="preserve"> I</w:t>
            </w:r>
            <w:r>
              <w:rPr>
                <w:rFonts w:ascii="Arial" w:cs="Arial" w:eastAsia="Arial" w:hAnsi="Arial"/>
                <w:sz w:val="11"/>
                <w:szCs w:val="11"/>
                <w:b w:val="1"/>
                <w:bCs w:val="1"/>
                <w:color w:val="auto"/>
              </w:rPr>
              <w:t>NFORMATION</w:t>
            </w:r>
          </w:p>
        </w:tc>
        <w:tc>
          <w:tcPr>
            <w:tcW w:w="3400" w:type="dxa"/>
            <w:vAlign w:val="bottom"/>
          </w:tcPr>
          <w:p>
            <w:pPr>
              <w:spacing w:after="0"/>
              <w:rPr>
                <w:sz w:val="23"/>
                <w:szCs w:val="23"/>
                <w:color w:val="auto"/>
              </w:rPr>
            </w:pPr>
          </w:p>
        </w:tc>
      </w:tr>
      <w:tr>
        <w:trPr>
          <w:trHeight w:val="378"/>
        </w:trPr>
        <w:tc>
          <w:tcPr>
            <w:tcW w:w="460" w:type="dxa"/>
            <w:vAlign w:val="bottom"/>
          </w:tcPr>
          <w:p>
            <w:pPr>
              <w:spacing w:after="0"/>
              <w:rPr>
                <w:sz w:val="24"/>
                <w:szCs w:val="24"/>
                <w:color w:val="auto"/>
              </w:rPr>
            </w:pPr>
          </w:p>
        </w:tc>
        <w:tc>
          <w:tcPr>
            <w:tcW w:w="254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3"/>
              </w:rPr>
              <w:t>Customer Name</w:t>
            </w:r>
          </w:p>
        </w:tc>
        <w:tc>
          <w:tcPr>
            <w:tcW w:w="560" w:type="dxa"/>
            <w:vAlign w:val="bottom"/>
            <w:tcBorders>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4"/>
                <w:szCs w:val="14"/>
                <w:b w:val="1"/>
                <w:bCs w:val="1"/>
                <w:color w:val="auto"/>
                <w:w w:val="91"/>
              </w:rPr>
              <w:t>Address For Notices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Contact Person</w:t>
            </w:r>
          </w:p>
        </w:tc>
      </w:tr>
      <w:tr>
        <w:trPr>
          <w:trHeight w:val="296"/>
        </w:trPr>
        <w:tc>
          <w:tcPr>
            <w:tcW w:w="3560" w:type="dxa"/>
            <w:vAlign w:val="bottom"/>
            <w:gridSpan w:val="4"/>
          </w:tcPr>
          <w:p>
            <w:pPr>
              <w:jc w:val="center"/>
              <w:ind w:right="1640"/>
              <w:spacing w:after="0"/>
              <w:rPr>
                <w:sz w:val="20"/>
                <w:szCs w:val="20"/>
                <w:color w:val="auto"/>
              </w:rPr>
            </w:pPr>
            <w:r>
              <w:rPr>
                <w:rFonts w:ascii="Arial" w:cs="Arial" w:eastAsia="Arial" w:hAnsi="Arial"/>
                <w:sz w:val="18"/>
                <w:szCs w:val="18"/>
                <w:color w:val="auto"/>
                <w:w w:val="90"/>
              </w:rPr>
              <w:t>Personalis, Inc.</w:t>
            </w:r>
          </w:p>
        </w:tc>
        <w:tc>
          <w:tcPr>
            <w:tcW w:w="30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1330 O’Brien Drive</w:t>
            </w: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Carol Tillis, VP Finance &amp; Administration</w:t>
            </w:r>
          </w:p>
        </w:tc>
      </w:tr>
      <w:tr>
        <w:trPr>
          <w:trHeight w:val="216"/>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Menlo Park, CA 94025</w:t>
            </w: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Tel: (650) 752-1330</w:t>
            </w:r>
          </w:p>
        </w:tc>
      </w:tr>
      <w:tr>
        <w:trPr>
          <w:trHeight w:val="216"/>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Fax: (650) 752-1301</w:t>
            </w:r>
          </w:p>
        </w:tc>
      </w:tr>
      <w:tr>
        <w:trPr>
          <w:trHeight w:val="230"/>
        </w:trPr>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email: carol.tillis@personalis.com</w:t>
            </w:r>
          </w:p>
        </w:tc>
      </w:tr>
      <w:tr>
        <w:trPr>
          <w:trHeight w:val="378"/>
        </w:trPr>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jc w:val="right"/>
              <w:ind w:right="834"/>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000"/>
          </w:cols>
          <w:pgMar w:left="460" w:top="121" w:right="439" w:bottom="1440" w:gutter="0" w:footer="0" w:header="0"/>
          <w:type w:val="continuous"/>
        </w:sectPr>
      </w:pPr>
    </w:p>
    <w:bookmarkStart w:id="361" w:name="page362"/>
    <w:bookmarkEnd w:id="361"/>
    <w:p>
      <w:pPr>
        <w:ind w:left="430" w:hanging="430"/>
        <w:spacing w:after="0"/>
        <w:tabs>
          <w:tab w:leader="none" w:pos="43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191770</wp:posOffset>
            </wp:positionV>
            <wp:extent cx="698944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89445" cy="8255"/>
                    </a:xfrm>
                    <a:prstGeom prst="rect">
                      <a:avLst/>
                    </a:prstGeom>
                    <a:noFill/>
                  </pic:spPr>
                </pic:pic>
              </a:graphicData>
            </a:graphic>
          </wp:anchor>
        </w:drawing>
        <w:t>WHAT YOU AGREE TO GRANT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right="20"/>
        <w:spacing w:after="0" w:line="263" w:lineRule="auto"/>
        <w:rPr>
          <w:sz w:val="20"/>
          <w:szCs w:val="20"/>
          <w:color w:val="auto"/>
        </w:rPr>
      </w:pPr>
      <w:r>
        <w:rPr>
          <w:rFonts w:ascii="Arial" w:cs="Arial" w:eastAsia="Arial" w:hAnsi="Arial"/>
          <w:sz w:val="18"/>
          <w:szCs w:val="18"/>
          <w:color w:val="auto"/>
        </w:rPr>
        <w:t>Tranche A: You grant to Us and We are entitled, upon the terms and subject to the conditions set forth in this Warrant Agreement, to purchase from You, at a price per share equal to the Exercise Price, that number of fully paid and nonassessable shares of Your Warrant Stock equal to Two Hundred Fifty Thousand Dollars ($250,000), divided by the Exercise Price.</w:t>
      </w:r>
    </w:p>
    <w:p>
      <w:pPr>
        <w:spacing w:after="0" w:line="183" w:lineRule="exact"/>
        <w:rPr>
          <w:sz w:val="20"/>
          <w:szCs w:val="20"/>
          <w:color w:val="auto"/>
        </w:rPr>
      </w:pPr>
    </w:p>
    <w:p>
      <w:pPr>
        <w:ind w:left="10" w:right="140"/>
        <w:spacing w:after="0" w:line="259" w:lineRule="auto"/>
        <w:rPr>
          <w:sz w:val="20"/>
          <w:szCs w:val="20"/>
          <w:color w:val="auto"/>
        </w:rPr>
      </w:pPr>
      <w:r>
        <w:rPr>
          <w:rFonts w:ascii="Arial" w:cs="Arial" w:eastAsia="Arial" w:hAnsi="Arial"/>
          <w:sz w:val="18"/>
          <w:szCs w:val="18"/>
          <w:color w:val="auto"/>
        </w:rPr>
        <w:t>Tranche B: Upon the availability of the Tranche B portion of the Part 1 Commitment Amount, You grant to Us and We are entitled, upon the terms and subject to the conditions set forth in this Warrant Agreement, to purchase from You, at a price per share equal to the Exercise Price, an additional number of fully paid and non-assessable shares of Your Warrant Stock equal to Two Hundred Fifty Thousand Dollars ($250,000), divided by the Exercise Price.</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number of shares of Warrant Stock and the Exercise Price of such Warrant Stock are subject to adjustment as provided in Section 4 hereof.</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purposes of this Warrant Agreement, the following capitalized terms have the meanings given below:</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7"/>
          <w:szCs w:val="17"/>
          <w:color w:val="auto"/>
        </w:rPr>
        <w:t>“Exercise Price” means the lower of (a) $2.013 and (b) the lowest per share price for which Your preferred stock is sold in the Next Round.</w:t>
      </w:r>
    </w:p>
    <w:p>
      <w:pPr>
        <w:spacing w:after="0" w:line="128" w:lineRule="exact"/>
        <w:rPr>
          <w:sz w:val="20"/>
          <w:szCs w:val="20"/>
          <w:color w:val="auto"/>
        </w:rPr>
      </w:pPr>
    </w:p>
    <w:p>
      <w:pPr>
        <w:ind w:left="450" w:right="160"/>
        <w:spacing w:after="0" w:line="263" w:lineRule="auto"/>
        <w:rPr>
          <w:sz w:val="20"/>
          <w:szCs w:val="20"/>
          <w:color w:val="auto"/>
        </w:rPr>
      </w:pPr>
      <w:r>
        <w:rPr>
          <w:rFonts w:ascii="Arial" w:cs="Arial" w:eastAsia="Arial" w:hAnsi="Arial"/>
          <w:sz w:val="18"/>
          <w:szCs w:val="18"/>
          <w:color w:val="auto"/>
        </w:rPr>
        <w:t>“Next Round” means the next bona fide round of equity financing in which You issue and sell shares of Your preferred stock for aggregate gross cash proceeds of at least $1,000,000 (excluding any amounts received upon conversion or cancellation of indebtedness) subsequent to the Effective Date.</w:t>
      </w:r>
    </w:p>
    <w:p>
      <w:pPr>
        <w:spacing w:after="0" w:line="75" w:lineRule="exact"/>
        <w:rPr>
          <w:sz w:val="20"/>
          <w:szCs w:val="20"/>
          <w:color w:val="auto"/>
        </w:rPr>
      </w:pPr>
    </w:p>
    <w:p>
      <w:pPr>
        <w:ind w:left="450" w:right="100"/>
        <w:spacing w:after="0" w:line="311" w:lineRule="auto"/>
        <w:rPr>
          <w:sz w:val="20"/>
          <w:szCs w:val="20"/>
          <w:color w:val="auto"/>
        </w:rPr>
      </w:pPr>
      <w:r>
        <w:rPr>
          <w:rFonts w:ascii="Arial" w:cs="Arial" w:eastAsia="Arial" w:hAnsi="Arial"/>
          <w:sz w:val="16"/>
          <w:szCs w:val="16"/>
          <w:color w:val="auto"/>
        </w:rPr>
        <w:t>“Warrant Stock” means (a) the class and series of Your preferred stock issued in the Next Round, if the lowest per share price for which such preferred stock is sold in the Next Round is less than $2.013, or (b) in all other cases, Your Series C Preferred Stock. For avoidance of doubt, if this Warrant Agreement is exercised prior to the Next Round then this Warrant Agreement shall be exercisable for Your Series C Preferred Stock.</w:t>
      </w:r>
    </w:p>
    <w:p>
      <w:pPr>
        <w:spacing w:after="0" w:line="148" w:lineRule="exact"/>
        <w:rPr>
          <w:sz w:val="20"/>
          <w:szCs w:val="20"/>
          <w:color w:val="auto"/>
        </w:rPr>
      </w:pPr>
    </w:p>
    <w:p>
      <w:pPr>
        <w:ind w:left="10"/>
        <w:spacing w:after="0" w:line="263" w:lineRule="auto"/>
        <w:rPr>
          <w:sz w:val="20"/>
          <w:szCs w:val="20"/>
          <w:color w:val="auto"/>
        </w:rPr>
      </w:pPr>
      <w:r>
        <w:rPr>
          <w:rFonts w:ascii="Arial" w:cs="Arial" w:eastAsia="Arial" w:hAnsi="Arial"/>
          <w:sz w:val="18"/>
          <w:szCs w:val="18"/>
          <w:color w:val="auto"/>
        </w:rPr>
        <w:t>The Parties agree that this Warrant Agreement to purchase the Warrant Stock has a fair market value equal to $100 and that $100 of the issue price of the investment will be allocable to the Warrant Agreement and the balance shall be allocable to the Loan Agreement for income tax purposes and the original issue discount on the Loan Agreement shall be considered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69894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61" w:lineRule="exact"/>
        <w:rPr>
          <w:sz w:val="20"/>
          <w:szCs w:val="20"/>
          <w:color w:val="auto"/>
        </w:rPr>
      </w:pPr>
    </w:p>
    <w:p>
      <w:pPr>
        <w:ind w:left="430" w:hanging="430"/>
        <w:spacing w:after="0"/>
        <w:tabs>
          <w:tab w:leader="none" w:pos="43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WHEN ARE WE ENTITLED TO PURCHASE YOUR WARRANT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right="40"/>
        <w:spacing w:after="0" w:line="277" w:lineRule="auto"/>
        <w:rPr>
          <w:sz w:val="20"/>
          <w:szCs w:val="20"/>
          <w:color w:val="auto"/>
        </w:rPr>
      </w:pPr>
      <w:r>
        <w:rPr>
          <w:rFonts w:ascii="Arial" w:cs="Arial" w:eastAsia="Arial" w:hAnsi="Arial"/>
          <w:sz w:val="18"/>
          <w:szCs w:val="18"/>
          <w:color w:val="auto"/>
        </w:rPr>
        <w:t>The term of this Warrant Agreement and Our right to purchase Warrant Stock will begin the Effective Date, and shall be available for the greater of (i) 7 years from the Effective Date or (ii) 5 years from the effective date of Your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698944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62" w:lineRule="exact"/>
        <w:rPr>
          <w:sz w:val="20"/>
          <w:szCs w:val="20"/>
          <w:color w:val="auto"/>
        </w:rPr>
      </w:pPr>
    </w:p>
    <w:p>
      <w:pPr>
        <w:ind w:left="430" w:hanging="430"/>
        <w:spacing w:after="0"/>
        <w:tabs>
          <w:tab w:leader="none" w:pos="43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HOW WE MAY PURCHASE YOUR WARRANT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right="20"/>
        <w:spacing w:after="0" w:line="255" w:lineRule="auto"/>
        <w:rPr>
          <w:sz w:val="20"/>
          <w:szCs w:val="20"/>
          <w:color w:val="auto"/>
        </w:rPr>
      </w:pPr>
      <w:r>
        <w:rPr>
          <w:rFonts w:ascii="Arial" w:cs="Arial" w:eastAsia="Arial" w:hAnsi="Arial"/>
          <w:sz w:val="18"/>
          <w:szCs w:val="18"/>
          <w:color w:val="auto"/>
        </w:rPr>
        <w:t xml:space="preserve">We may exercise Our purchase rights, in whole or in part, at any time, or from time to time, prior to the expiration of the term of this Warrant Agreement, by giving You a completed and executed </w:t>
      </w:r>
      <w:r>
        <w:rPr>
          <w:rFonts w:ascii="Arial" w:cs="Arial" w:eastAsia="Arial" w:hAnsi="Arial"/>
          <w:sz w:val="18"/>
          <w:szCs w:val="18"/>
          <w:b w:val="1"/>
          <w:bCs w:val="1"/>
          <w:color w:val="auto"/>
        </w:rPr>
        <w:t>Notice of Exercise</w:t>
      </w:r>
      <w:r>
        <w:rPr>
          <w:rFonts w:ascii="Arial" w:cs="Arial" w:eastAsia="Arial" w:hAnsi="Arial"/>
          <w:sz w:val="18"/>
          <w:szCs w:val="18"/>
          <w:color w:val="auto"/>
        </w:rPr>
        <w:t xml:space="preserve"> in the form attached as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Promptly upon receipt of the Notice of Exercise and in any event no later than twenty-one (21) days after you have received Our Notice of Exercise and payment of the aggregate Exercise Price for the shares purchased, You will issue to Us a certificate for the number of shares of Warrant Stock that We have purchased and You will execute the </w:t>
      </w:r>
      <w:r>
        <w:rPr>
          <w:rFonts w:ascii="Arial" w:cs="Arial" w:eastAsia="Arial" w:hAnsi="Arial"/>
          <w:sz w:val="18"/>
          <w:szCs w:val="18"/>
          <w:b w:val="1"/>
          <w:bCs w:val="1"/>
          <w:color w:val="auto"/>
        </w:rPr>
        <w:t>Acknowledgment of Exercise</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color w:val="auto"/>
        </w:rPr>
        <w:t>Exhibit II</w:t>
      </w:r>
      <w:r>
        <w:rPr>
          <w:rFonts w:ascii="Arial" w:cs="Arial" w:eastAsia="Arial" w:hAnsi="Arial"/>
          <w:sz w:val="18"/>
          <w:szCs w:val="18"/>
          <w:color w:val="auto"/>
        </w:rPr>
        <w:t xml:space="preserve"> indicating the number of shares which will be available to Us for future purchases, if any.</w:t>
      </w:r>
    </w:p>
    <w:p>
      <w:pPr>
        <w:spacing w:after="0" w:line="187" w:lineRule="exact"/>
        <w:rPr>
          <w:sz w:val="20"/>
          <w:szCs w:val="20"/>
          <w:color w:val="auto"/>
        </w:rPr>
      </w:pPr>
    </w:p>
    <w:p>
      <w:pPr>
        <w:ind w:left="10" w:right="400"/>
        <w:spacing w:after="0" w:line="281" w:lineRule="auto"/>
        <w:rPr>
          <w:sz w:val="20"/>
          <w:szCs w:val="20"/>
          <w:color w:val="auto"/>
        </w:rPr>
      </w:pPr>
      <w:r>
        <w:rPr>
          <w:rFonts w:ascii="Arial" w:cs="Arial" w:eastAsia="Arial" w:hAnsi="Arial"/>
          <w:sz w:val="18"/>
          <w:szCs w:val="18"/>
          <w:color w:val="auto"/>
        </w:rPr>
        <w:t xml:space="preserve">We may pay for the Warrant Stock by either (i) cash or check, or (ii) by the net </w:t>
      </w:r>
      <w:r>
        <w:rPr>
          <w:rFonts w:ascii="Arial" w:cs="Arial" w:eastAsia="Arial" w:hAnsi="Arial"/>
          <w:sz w:val="18"/>
          <w:szCs w:val="18"/>
          <w:b w:val="1"/>
          <w:bCs w:val="1"/>
          <w:color w:val="auto"/>
        </w:rPr>
        <w:t>issuance method</w:t>
      </w:r>
      <w:r>
        <w:rPr>
          <w:rFonts w:ascii="Arial" w:cs="Arial" w:eastAsia="Arial" w:hAnsi="Arial"/>
          <w:sz w:val="18"/>
          <w:szCs w:val="18"/>
          <w:color w:val="auto"/>
        </w:rPr>
        <w:t xml:space="preserve"> as determined below. If We elect the Net Issuance method, You will issue Warrant Stock using the following formula:</w:t>
      </w:r>
    </w:p>
    <w:p>
      <w:pPr>
        <w:spacing w:after="0" w:line="194" w:lineRule="exact"/>
        <w:rPr>
          <w:sz w:val="20"/>
          <w:szCs w:val="20"/>
          <w:color w:val="auto"/>
        </w:rPr>
      </w:pPr>
    </w:p>
    <w:p>
      <w:pPr>
        <w:ind w:left="99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Y(A-B)</w:t>
      </w:r>
    </w:p>
    <w:p>
      <w:pPr>
        <w:spacing w:after="0" w:line="23" w:lineRule="exact"/>
        <w:rPr>
          <w:sz w:val="20"/>
          <w:szCs w:val="20"/>
          <w:color w:val="auto"/>
        </w:rPr>
      </w:pPr>
    </w:p>
    <w:p>
      <w:pPr>
        <w:ind w:left="1530"/>
        <w:spacing w:after="0"/>
        <w:rPr>
          <w:sz w:val="20"/>
          <w:szCs w:val="20"/>
          <w:color w:val="auto"/>
        </w:rPr>
      </w:pPr>
      <w:r>
        <w:rPr>
          <w:rFonts w:ascii="Arial" w:cs="Arial" w:eastAsia="Arial" w:hAnsi="Arial"/>
          <w:sz w:val="18"/>
          <w:szCs w:val="18"/>
          <w:color w:val="auto"/>
        </w:rPr>
        <w:t>A</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337" w:right="459" w:bottom="1440" w:gutter="0" w:footer="0" w:header="0"/>
        </w:sectPr>
      </w:pPr>
    </w:p>
    <w:bookmarkStart w:id="362" w:name="page363"/>
    <w:bookmarkEnd w:id="362"/>
    <w:p>
      <w:pPr>
        <w:ind w:left="790"/>
        <w:spacing w:after="0"/>
        <w:tabs>
          <w:tab w:leader="none" w:pos="1889"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 </w:t>
      </w: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Warrant Stock to be issued to Us.</w:t>
      </w:r>
    </w:p>
    <w:p>
      <w:pPr>
        <w:spacing w:after="0" w:line="27" w:lineRule="exact"/>
        <w:rPr>
          <w:sz w:val="20"/>
          <w:szCs w:val="20"/>
          <w:color w:val="auto"/>
        </w:rPr>
      </w:pPr>
    </w:p>
    <w:p>
      <w:pPr>
        <w:ind w:left="1350"/>
        <w:spacing w:after="0"/>
        <w:tabs>
          <w:tab w:leader="none" w:pos="1889"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shares of Warrant Stock We request to be exercised under this Warrant Agreement.</w:t>
      </w:r>
    </w:p>
    <w:p>
      <w:pPr>
        <w:spacing w:after="0" w:line="9" w:lineRule="exact"/>
        <w:rPr>
          <w:sz w:val="20"/>
          <w:szCs w:val="20"/>
          <w:color w:val="auto"/>
        </w:rPr>
      </w:pPr>
    </w:p>
    <w:p>
      <w:pPr>
        <w:ind w:left="1350"/>
        <w:spacing w:after="0"/>
        <w:tabs>
          <w:tab w:leader="none" w:pos="1889"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share of Warrant Stock.</w:t>
      </w:r>
    </w:p>
    <w:p>
      <w:pPr>
        <w:spacing w:after="0" w:line="9" w:lineRule="exact"/>
        <w:rPr>
          <w:sz w:val="20"/>
          <w:szCs w:val="20"/>
          <w:color w:val="auto"/>
        </w:rPr>
      </w:pPr>
    </w:p>
    <w:p>
      <w:pPr>
        <w:ind w:left="1350"/>
        <w:spacing w:after="0"/>
        <w:tabs>
          <w:tab w:leader="none" w:pos="1889"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purposes of the above calculation, current fair market value of Warrant Stock shall mean with respect to each share of Warrant Stock:</w:t>
      </w:r>
    </w:p>
    <w:p>
      <w:pPr>
        <w:spacing w:after="0" w:line="221" w:lineRule="exact"/>
        <w:rPr>
          <w:sz w:val="20"/>
          <w:szCs w:val="20"/>
          <w:color w:val="auto"/>
        </w:rPr>
      </w:pPr>
    </w:p>
    <w:p>
      <w:pPr>
        <w:ind w:left="10" w:right="160"/>
        <w:spacing w:after="0" w:line="260" w:lineRule="auto"/>
        <w:rPr>
          <w:sz w:val="20"/>
          <w:szCs w:val="20"/>
          <w:color w:val="auto"/>
        </w:rPr>
      </w:pPr>
      <w:r>
        <w:rPr>
          <w:rFonts w:ascii="Arial" w:cs="Arial" w:eastAsia="Arial" w:hAnsi="Arial"/>
          <w:sz w:val="18"/>
          <w:szCs w:val="18"/>
          <w:b w:val="1"/>
          <w:bCs w:val="1"/>
          <w:color w:val="auto"/>
        </w:rPr>
        <w:t xml:space="preserve">If the exercise is in connection with the initial public offering of Your Common Stock, </w:t>
      </w:r>
      <w:r>
        <w:rPr>
          <w:rFonts w:ascii="Arial" w:cs="Arial" w:eastAsia="Arial" w:hAnsi="Arial"/>
          <w:sz w:val="18"/>
          <w:szCs w:val="18"/>
          <w:color w:val="auto"/>
        </w:rPr>
        <w:t>and if Your registration statement relating to such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has been declared effective by the SEC, then the fair market value per share shall be the product of (x) the initial “Price to Public” specified in the final prospectus of the offering and (y) the number of shares of Common Stock into which each share of Warrant Stock is convertible at the time of such exercise;</w:t>
      </w:r>
    </w:p>
    <w:p>
      <w:pPr>
        <w:spacing w:after="0" w:line="29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If this Warrant Agreement is exercised after, and not in connection with Your initial public offering, and:</w:t>
      </w:r>
    </w:p>
    <w:p>
      <w:pPr>
        <w:spacing w:after="0" w:line="134" w:lineRule="exact"/>
        <w:rPr>
          <w:sz w:val="20"/>
          <w:szCs w:val="20"/>
          <w:color w:val="auto"/>
        </w:rPr>
      </w:pPr>
    </w:p>
    <w:p>
      <w:pPr>
        <w:ind w:left="430" w:right="220" w:hanging="322"/>
        <w:spacing w:after="0" w:line="263" w:lineRule="auto"/>
        <w:tabs>
          <w:tab w:leader="none" w:pos="43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traded on a securities exchange, the fair market value shall be the product of (x) the average of the closing prices over a five (5) day period ending three (3) days before the day the current fair market value of the securities is being determined and (y) the number of shares of Common Stock into which each share of Warrant Stock is convertible at the time of such exercise; or</w:t>
      </w:r>
    </w:p>
    <w:p>
      <w:pPr>
        <w:spacing w:after="0" w:line="88" w:lineRule="exact"/>
        <w:rPr>
          <w:rFonts w:ascii="Arial" w:cs="Arial" w:eastAsia="Arial" w:hAnsi="Arial"/>
          <w:sz w:val="18"/>
          <w:szCs w:val="18"/>
          <w:color w:val="auto"/>
        </w:rPr>
      </w:pPr>
    </w:p>
    <w:p>
      <w:pPr>
        <w:ind w:left="430" w:right="80" w:hanging="322"/>
        <w:spacing w:after="0" w:line="259" w:lineRule="auto"/>
        <w:tabs>
          <w:tab w:leader="none" w:pos="43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actively traded over-the-counter, the fair market value shall be the product of (x) the average of the closing bid and asked prices quoted on the NASDAQ system (or similar system) over the five (5) day period ending three (3) days before the day the current fair market value of the securities is being determined and (y) the number of shares of Common Stock into which each share of Warrant Stock is convertible at the time of such exercise.</w:t>
      </w:r>
    </w:p>
    <w:p>
      <w:pPr>
        <w:spacing w:after="0" w:line="29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If this Warrant Agreement is exercised prior to or after Your initial public offering, and:</w:t>
      </w:r>
    </w:p>
    <w:p>
      <w:pPr>
        <w:spacing w:after="0" w:line="134" w:lineRule="exact"/>
        <w:rPr>
          <w:sz w:val="20"/>
          <w:szCs w:val="20"/>
          <w:color w:val="auto"/>
        </w:rPr>
      </w:pPr>
    </w:p>
    <w:p>
      <w:pPr>
        <w:ind w:left="430" w:right="40" w:hanging="322"/>
        <w:spacing w:after="0" w:line="291" w:lineRule="auto"/>
        <w:tabs>
          <w:tab w:leader="none" w:pos="43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Your Common Stock is not listed on any securities exchange or quoted in the NASDAQ System or the over-the-counter market, the current fair market value of Warrant Stock shall be the product of (x) the fair market value of a share of Your Common Stock (the highest price per share which You could obtain from a willing buyer (not a current employee or director) for shares of Common Stock sold, from authorized but unissued shares), as determined in good faith by Your Board of Directors and (y) the number of shares of Common Stock into which each share of Warrant Stock is convertible at the time of such exercise, unless You shall become subject to a merger, acquisition or other consolidation pursuant to which You are not the surviving party, in which case the fair market value of Warrant Stock shall be deemed to be the value received by the holders of Your Warrant Stock on a common equivalent basis pursuant to such merger or acquisition or other consolidation.</w:t>
      </w:r>
    </w:p>
    <w:p>
      <w:pPr>
        <w:spacing w:after="0" w:line="165" w:lineRule="exact"/>
        <w:rPr>
          <w:sz w:val="20"/>
          <w:szCs w:val="20"/>
          <w:color w:val="auto"/>
        </w:rPr>
      </w:pPr>
    </w:p>
    <w:p>
      <w:pPr>
        <w:jc w:val="both"/>
        <w:ind w:left="10" w:right="140"/>
        <w:spacing w:after="0" w:line="263" w:lineRule="auto"/>
        <w:rPr>
          <w:sz w:val="20"/>
          <w:szCs w:val="20"/>
          <w:color w:val="auto"/>
        </w:rPr>
      </w:pPr>
      <w:r>
        <w:rPr>
          <w:rFonts w:ascii="Arial" w:cs="Arial" w:eastAsia="Arial" w:hAnsi="Arial"/>
          <w:sz w:val="18"/>
          <w:szCs w:val="18"/>
          <w:color w:val="auto"/>
        </w:rPr>
        <w:t>During the term of this Warrant Agreement, You will at all times from and after the Effective Date have authorized and reserved a sufficient number of shares of (a) Warrant Stock to provide for the exercise of our rights to purchase Warrant Stock, and (b) Common Stock to provide for the conversion of the Warrant Stock.</w:t>
      </w:r>
    </w:p>
    <w:p>
      <w:pPr>
        <w:spacing w:after="0" w:line="183" w:lineRule="exact"/>
        <w:rPr>
          <w:sz w:val="20"/>
          <w:szCs w:val="20"/>
          <w:color w:val="auto"/>
        </w:rPr>
      </w:pPr>
    </w:p>
    <w:p>
      <w:pPr>
        <w:ind w:left="10" w:right="200"/>
        <w:spacing w:after="0" w:line="263" w:lineRule="auto"/>
        <w:rPr>
          <w:sz w:val="20"/>
          <w:szCs w:val="20"/>
          <w:color w:val="auto"/>
        </w:rPr>
      </w:pPr>
      <w:r>
        <w:rPr>
          <w:rFonts w:ascii="Arial" w:cs="Arial" w:eastAsia="Arial" w:hAnsi="Arial"/>
          <w:sz w:val="18"/>
          <w:szCs w:val="18"/>
          <w:color w:val="auto"/>
        </w:rPr>
        <w:t>If We elect to exercise part of the Warrant Agreement, You will promptly issue to Us an amended Warrant Agreement stating the remaining number of shares that are available. All other terms and conditions of that amended Warrant Agreement shall be identical to those contained in this Warrant Agreement.</w:t>
      </w:r>
    </w:p>
    <w:p>
      <w:pPr>
        <w:spacing w:after="0" w:line="183" w:lineRule="exact"/>
        <w:rPr>
          <w:sz w:val="20"/>
          <w:szCs w:val="20"/>
          <w:color w:val="auto"/>
        </w:rPr>
      </w:pPr>
    </w:p>
    <w:p>
      <w:pPr>
        <w:ind w:left="10" w:right="160"/>
        <w:spacing w:after="0" w:line="256" w:lineRule="auto"/>
        <w:rPr>
          <w:sz w:val="20"/>
          <w:szCs w:val="20"/>
          <w:color w:val="auto"/>
        </w:rPr>
      </w:pPr>
      <w:r>
        <w:rPr>
          <w:rFonts w:ascii="Arial" w:cs="Arial" w:eastAsia="Arial" w:hAnsi="Arial"/>
          <w:sz w:val="18"/>
          <w:szCs w:val="18"/>
          <w:color w:val="auto"/>
        </w:rPr>
        <w:t>If at the end of the term of this Warrant Agreement, the fair market value of one share of Warrant Stock (or other security issuable upon the exercise hereof) as determined in accordance herewith is greater than the Exercise Price in effect on such date, then this Warrant Agreement shall automatically be deemed on and as of such date to be converted pursuant hereto as to all shares of Warrant Stock (or such other securities) for which it shall not previously have been exercised or converted, and You shall promptly deliver a certificate representing the shares of Warrant Stock (or such other securities) issued upon such conversion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69894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3" w:lineRule="exact"/>
        <w:rPr>
          <w:sz w:val="20"/>
          <w:szCs w:val="20"/>
          <w:color w:val="auto"/>
        </w:rPr>
      </w:pPr>
    </w:p>
    <w:p>
      <w:pPr>
        <w:ind w:left="430" w:hanging="430"/>
        <w:spacing w:after="0"/>
        <w:tabs>
          <w:tab w:leader="none" w:pos="43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NUMBER OF SHARES AND EXERCISE PRICE CHANCE.</w:t>
      </w:r>
    </w:p>
    <w:p>
      <w:pPr>
        <w:spacing w:after="0" w:line="184" w:lineRule="exact"/>
        <w:rPr>
          <w:rFonts w:ascii="Arial" w:cs="Arial" w:eastAsia="Arial" w:hAnsi="Arial"/>
          <w:sz w:val="18"/>
          <w:szCs w:val="18"/>
          <w:b w:val="1"/>
          <w:bCs w:val="1"/>
          <w:color w:val="auto"/>
        </w:rPr>
      </w:pPr>
    </w:p>
    <w:p>
      <w:pPr>
        <w:ind w:left="430" w:hanging="322"/>
        <w:spacing w:after="0" w:line="266" w:lineRule="auto"/>
        <w:tabs>
          <w:tab w:leader="none" w:pos="430" w:val="left"/>
        </w:tabs>
        <w:numPr>
          <w:ilvl w:val="1"/>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If You are Acquired. </w:t>
      </w:r>
      <w:r>
        <w:rPr>
          <w:rFonts w:ascii="Arial" w:cs="Arial" w:eastAsia="Arial" w:hAnsi="Arial"/>
          <w:sz w:val="18"/>
          <w:szCs w:val="18"/>
          <w:color w:val="auto"/>
        </w:rPr>
        <w:t>If at any time: (i) there is a reorganization of Your stock (other than a reclassification, exchange or subdivision of Your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for in this Warrant Agreement); (ii) You merge or consolidate with or into another entity, whether or not You are the surviving entity; (iii) You sell or convey, 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-527685</wp:posOffset>
            </wp:positionV>
            <wp:extent cx="698944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9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0" w:right="439" w:bottom="1440" w:gutter="0" w:footer="0" w:header="0"/>
        </w:sectPr>
      </w:pPr>
    </w:p>
    <w:bookmarkStart w:id="363" w:name="page364"/>
    <w:bookmarkEnd w:id="363"/>
    <w:p>
      <w:pPr>
        <w:ind w:left="322"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exclusive license with respect to, all or substantially all of Your assets to any other person; or (iv) there occurs any transaction or series of related transactions that result in the transfer of fifty percent (50%) or more of the outstanding voting power of the capital stock of You (each of the foregoing events are referred to as a “Merger Event”), then, as a part of such Merger Event, lawful provision shall be made so that We shall thereafter be entitled to receive, upon exercise of Our rights under this Warrant Agreement, the number of shares of preferred stock or other securities of the successor or surviving person resulting from such Merger Event, equal in value to that which would have been issuable if We had exercised Our rights under this Warrant Agreement immediately prior to the Merger Event. In any such case, appropriate adjustment (as determined in good faith by Your Board of Directors) shall be made in the application of the provisions of this Warrant Agreement with respect to Our rights and interest after the Merger Event so that the provisions of this Warrant Agreement (including adjustments of the Exercise Price and number of shares of Warrant Stock purchasable) shall be applicable to the greatest extent possible.</w:t>
      </w:r>
    </w:p>
    <w:p>
      <w:pPr>
        <w:spacing w:after="0" w:line="66" w:lineRule="exact"/>
        <w:rPr>
          <w:sz w:val="20"/>
          <w:szCs w:val="20"/>
          <w:color w:val="auto"/>
        </w:rPr>
      </w:pPr>
    </w:p>
    <w:p>
      <w:pPr>
        <w:ind w:left="322" w:right="100" w:hanging="322"/>
        <w:spacing w:after="0" w:line="276" w:lineRule="auto"/>
        <w:tabs>
          <w:tab w:leader="none" w:pos="322"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If You Reclassify Your Stock. </w:t>
      </w:r>
      <w:r>
        <w:rPr>
          <w:rFonts w:ascii="Arial" w:cs="Arial" w:eastAsia="Arial" w:hAnsi="Arial"/>
          <w:sz w:val="17"/>
          <w:szCs w:val="17"/>
          <w:color w:val="auto"/>
        </w:rPr>
        <w:t>If at any time You combine, reclassify, exchange or subdivide Your securities or otherwise change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as to which purchase rights under this Warrant Agreement exist into the same or a different number of securities of any other class or classes, this Warrant Agreement will thereafter represent the right to acquire such number and kind of securities as would have been issuable as the result of such change with respect to the securities which were subject to the purchase rights under this Warrant Agreement immediately prior to such combination, reclassification, exchange, subdivision or other change.</w:t>
      </w:r>
    </w:p>
    <w:p>
      <w:pPr>
        <w:spacing w:after="0" w:line="76" w:lineRule="exact"/>
        <w:rPr>
          <w:rFonts w:ascii="Arial" w:cs="Arial" w:eastAsia="Arial" w:hAnsi="Arial"/>
          <w:sz w:val="17"/>
          <w:szCs w:val="17"/>
          <w:color w:val="auto"/>
        </w:rPr>
      </w:pPr>
    </w:p>
    <w:p>
      <w:pPr>
        <w:ind w:left="322" w:right="1060" w:hanging="322"/>
        <w:spacing w:after="0" w:line="312" w:lineRule="auto"/>
        <w:tabs>
          <w:tab w:leader="none" w:pos="322"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If You Subdivide or Combine Your Shares. </w:t>
      </w:r>
      <w:r>
        <w:rPr>
          <w:rFonts w:ascii="Arial" w:cs="Arial" w:eastAsia="Arial" w:hAnsi="Arial"/>
          <w:sz w:val="17"/>
          <w:szCs w:val="17"/>
          <w:color w:val="auto"/>
        </w:rPr>
        <w:t>If at any time You combine or subdivide the Warrant Stock, the Exercise Price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proportionately decreased in the case of a subdivision, or proportionately increased in the case of a combination.</w:t>
      </w:r>
    </w:p>
    <w:p>
      <w:pPr>
        <w:spacing w:after="0" w:line="44" w:lineRule="exact"/>
        <w:rPr>
          <w:rFonts w:ascii="Arial" w:cs="Arial" w:eastAsia="Arial" w:hAnsi="Arial"/>
          <w:sz w:val="17"/>
          <w:szCs w:val="17"/>
          <w:color w:val="auto"/>
        </w:rPr>
      </w:pPr>
    </w:p>
    <w:p>
      <w:pPr>
        <w:ind w:left="322" w:right="280" w:hanging="322"/>
        <w:spacing w:after="0" w:line="289" w:lineRule="auto"/>
        <w:tabs>
          <w:tab w:leader="none" w:pos="322"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 xml:space="preserve">If You Pay Stock Dividends. </w:t>
      </w:r>
      <w:r>
        <w:rPr>
          <w:rFonts w:ascii="Arial" w:cs="Arial" w:eastAsia="Arial" w:hAnsi="Arial"/>
          <w:sz w:val="16"/>
          <w:szCs w:val="16"/>
          <w:color w:val="auto"/>
        </w:rPr>
        <w:t>If at any time You pay a dividend payable in, or make any other distribution (except any distribution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the above paragraphs) of the Warrant Stock, then the Exercise Price shall be adjusted, from and after the record date of such dividend or distribution, to that price determined by multiplying the Exercise Price in effect immediately prior to such record date by a fraction</w:t>
      </w:r>
    </w:p>
    <w:p>
      <w:pPr>
        <w:spacing w:after="0" w:line="1" w:lineRule="exact"/>
        <w:rPr>
          <w:rFonts w:ascii="Arial" w:cs="Arial" w:eastAsia="Arial" w:hAnsi="Arial"/>
          <w:sz w:val="16"/>
          <w:szCs w:val="16"/>
          <w:color w:val="auto"/>
        </w:rPr>
      </w:pPr>
    </w:p>
    <w:p>
      <w:pPr>
        <w:ind w:left="322" w:right="20"/>
        <w:spacing w:after="0" w:line="252" w:lineRule="auto"/>
        <w:rPr>
          <w:rFonts w:ascii="Arial" w:cs="Arial" w:eastAsia="Arial" w:hAnsi="Arial"/>
          <w:sz w:val="16"/>
          <w:szCs w:val="16"/>
          <w:color w:val="auto"/>
        </w:rPr>
      </w:pPr>
      <w:r>
        <w:rPr>
          <w:rFonts w:ascii="Arial" w:cs="Arial" w:eastAsia="Arial" w:hAnsi="Arial"/>
          <w:sz w:val="18"/>
          <w:szCs w:val="18"/>
          <w:color w:val="auto"/>
        </w:rPr>
        <w:t>(i) the numerator of which shall be the total number of all shares of the Warrant Stock outstanding immediately prior to such dividend or distribution, and (ii) the denominator of which shall be the total number of all shares of the Warrant Stock outstanding immediately after such dividend or distribution. We will thereafter be entitled to purchase, at the Exercise Price resulting from such adjustment, the number of shares of Warrant Stock (calculated to the nearest whole share) obtained by multiplying the Exercise Price in effect immediately prior to such adjustment by the number of shares of Warrant Stock issuable upon the exercise hereof immediately prior to such adjustment and dividing the product thereof by the Exercise Price resulting from such adjustment.</w:t>
      </w:r>
    </w:p>
    <w:p>
      <w:pPr>
        <w:spacing w:after="0" w:line="94" w:lineRule="exact"/>
        <w:rPr>
          <w:rFonts w:ascii="Arial" w:cs="Arial" w:eastAsia="Arial" w:hAnsi="Arial"/>
          <w:sz w:val="16"/>
          <w:szCs w:val="16"/>
          <w:color w:val="auto"/>
        </w:rPr>
      </w:pPr>
    </w:p>
    <w:p>
      <w:pPr>
        <w:ind w:left="322" w:right="120" w:hanging="322"/>
        <w:spacing w:after="0" w:line="271" w:lineRule="auto"/>
        <w:tabs>
          <w:tab w:leader="none" w:pos="322"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“Pay to Play” Rights. </w:t>
      </w:r>
      <w:r>
        <w:rPr>
          <w:rFonts w:ascii="Arial" w:cs="Arial" w:eastAsia="Arial" w:hAnsi="Arial"/>
          <w:sz w:val="17"/>
          <w:szCs w:val="17"/>
          <w:color w:val="auto"/>
        </w:rPr>
        <w:t>In the event that any “pay to play” terms or conditions (i.e. terms or conditions that require a holder of shares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(the “Preferred Stock”) to purchase securities in a future round of equity financing or else lose the benefit of anti-dilution protections applicable to shares of Preferred Stock or have such shares of Preferred Stock automatically convert into Common Stock or another class or series of capital stock) in Your Certificate of Incorporation are triggered in connection with any sale or issuance of securities (a “Trigger Event”), then, in each such event the purchase rights under this Warrant Agreement shall automatically adjust to provide Us, upon the later exercise hereof, with the same securities and/or rights that We would have received had We (x) exercised this Warrant Agreement prior to such Trigger Event, and (y) participated in the applicable equity financing in an amount sufficient to be deemed to have fully participated for purposes of such “pay to play” provision.</w:t>
      </w:r>
    </w:p>
    <w:p>
      <w:pPr>
        <w:spacing w:after="0" w:line="82" w:lineRule="exact"/>
        <w:rPr>
          <w:rFonts w:ascii="Arial" w:cs="Arial" w:eastAsia="Arial" w:hAnsi="Arial"/>
          <w:sz w:val="17"/>
          <w:szCs w:val="17"/>
          <w:color w:val="auto"/>
        </w:rPr>
      </w:pPr>
    </w:p>
    <w:p>
      <w:pPr>
        <w:ind w:left="322" w:hanging="322"/>
        <w:spacing w:after="0" w:line="272" w:lineRule="auto"/>
        <w:tabs>
          <w:tab w:leader="none" w:pos="322"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If You Change the Antidilution Rights of the Warrant Stock or Issue New Preferred or Convertible Stock. </w:t>
      </w:r>
      <w:r>
        <w:rPr>
          <w:rFonts w:ascii="Arial" w:cs="Arial" w:eastAsia="Arial" w:hAnsi="Arial"/>
          <w:sz w:val="17"/>
          <w:szCs w:val="17"/>
          <w:color w:val="auto"/>
        </w:rPr>
        <w:t>All antidilution rights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Warrant Stock purchasable under this Warrant Agreement are as set forth in Your Certificate of Incorporation, as amended through the Effective Date. You will promptly provide Us with any restatement, amendment, modification of or waiver of any right under Your Certificate of Incorporation. You will provide Us with prior written notice of any issuance of Your stock or other equity security to occur after the Effective Date (other than issuances of stock or equity securities pursuant to customary employee stock plans), which notice shall include (a) the price at which such stock or security is to be sold, (b) the number of shares to be issued, and (c) such other information as necessary for Us to determine if a dilutive event has occurred or will occur as a result of such issuance.</w:t>
      </w:r>
    </w:p>
    <w:p>
      <w:pPr>
        <w:spacing w:after="0" w:line="112"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2"/>
          </w:cols>
          <w:pgMar w:left="558" w:top="274" w:right="459" w:bottom="1440" w:gutter="0" w:footer="0" w:header="0"/>
        </w:sectPr>
      </w:pPr>
    </w:p>
    <w:bookmarkStart w:id="364" w:name="page365"/>
    <w:bookmarkEnd w:id="364"/>
    <w:p>
      <w:pPr>
        <w:ind w:left="430" w:hanging="430"/>
        <w:spacing w:after="0"/>
        <w:tabs>
          <w:tab w:leader="none" w:pos="43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191770</wp:posOffset>
            </wp:positionV>
            <wp:extent cx="698944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89445" cy="8255"/>
                    </a:xfrm>
                    <a:prstGeom prst="rect">
                      <a:avLst/>
                    </a:prstGeom>
                    <a:noFill/>
                  </pic:spPr>
                </pic:pic>
              </a:graphicData>
            </a:graphic>
          </wp:anchor>
        </w:drawing>
        <w:t>WE CAN TRANSFER THIS PLAIN ENGLISH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spacing w:after="0" w:line="263" w:lineRule="auto"/>
        <w:rPr>
          <w:sz w:val="20"/>
          <w:szCs w:val="20"/>
          <w:color w:val="auto"/>
        </w:rPr>
      </w:pPr>
      <w:r>
        <w:rPr>
          <w:rFonts w:ascii="Arial" w:cs="Arial" w:eastAsia="Arial" w:hAnsi="Arial"/>
          <w:sz w:val="18"/>
          <w:szCs w:val="18"/>
          <w:color w:val="auto"/>
        </w:rPr>
        <w:t>Subject to the terms and conditions contained in Section 7, We (or any successor transferee) may transfer in whole or in part this Warrant Agreement and all its rights. You will record the transfer on Your books when You receive Our Notice of Transfer in the form attached hereto as Exhibit III, and Our payment of all transfer taxes and other governmental charges involved in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698944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61" w:lineRule="exact"/>
        <w:rPr>
          <w:sz w:val="20"/>
          <w:szCs w:val="20"/>
          <w:color w:val="auto"/>
        </w:rPr>
      </w:pPr>
    </w:p>
    <w:p>
      <w:pPr>
        <w:ind w:left="430" w:hanging="430"/>
        <w:spacing w:after="0"/>
        <w:tabs>
          <w:tab w:leader="none" w:pos="43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 FROM YOU.</w:t>
      </w:r>
    </w:p>
    <w:p>
      <w:pPr>
        <w:spacing w:after="0" w:line="197" w:lineRule="exact"/>
        <w:rPr>
          <w:rFonts w:ascii="Arial" w:cs="Arial" w:eastAsia="Arial" w:hAnsi="Arial"/>
          <w:sz w:val="18"/>
          <w:szCs w:val="18"/>
          <w:b w:val="1"/>
          <w:bCs w:val="1"/>
          <w:color w:val="auto"/>
        </w:rPr>
      </w:pPr>
    </w:p>
    <w:p>
      <w:pPr>
        <w:ind w:left="430" w:right="40" w:hanging="322"/>
        <w:spacing w:after="0" w:line="272" w:lineRule="auto"/>
        <w:tabs>
          <w:tab w:leader="none" w:pos="430"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 xml:space="preserve">Reservation of Warrant Stock. </w:t>
      </w:r>
      <w:r>
        <w:rPr>
          <w:rFonts w:ascii="Arial" w:cs="Arial" w:eastAsia="Arial" w:hAnsi="Arial"/>
          <w:sz w:val="17"/>
          <w:szCs w:val="17"/>
          <w:color w:val="auto"/>
        </w:rPr>
        <w:t>The Warrant Stock issuable upon exercise of Our rights under this Warrant Agreement will be duly and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reserved and when issued in accordance with the provisions of this Warrant Agreement will be validly issued, fully paid and non-assessable, and will be free of any taxes, liens, charges or encumbrances of any nature whatsoever; provided, however, that the Warrant Stock issuable pursuant to this Warrant Agreement may be subject to restrictions on transfer under state and/or Federal securities laws. Upon Our exercise, You will issue to Us certificates for shares of Warrant Stock without charging Us any tax, or other cost incurred by You in connection with such exercise and the related issuance of shares of Warrant Stock. You will not be required to pay any tax, which may be payable in respect of any transfer involved and the issuance and delivery of any certificate in a name other than TriplePoint Capital LLC.</w:t>
      </w:r>
    </w:p>
    <w:p>
      <w:pPr>
        <w:spacing w:after="0" w:line="81" w:lineRule="exact"/>
        <w:rPr>
          <w:rFonts w:ascii="Arial" w:cs="Arial" w:eastAsia="Arial" w:hAnsi="Arial"/>
          <w:sz w:val="17"/>
          <w:szCs w:val="17"/>
          <w:color w:val="auto"/>
        </w:rPr>
      </w:pPr>
    </w:p>
    <w:p>
      <w:pPr>
        <w:ind w:left="430" w:right="60" w:hanging="322"/>
        <w:spacing w:after="0" w:line="292" w:lineRule="auto"/>
        <w:tabs>
          <w:tab w:leader="none" w:pos="430" w:val="left"/>
        </w:tabs>
        <w:numPr>
          <w:ilvl w:val="1"/>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Due Authority. </w:t>
      </w:r>
      <w:r>
        <w:rPr>
          <w:rFonts w:ascii="Arial" w:cs="Arial" w:eastAsia="Arial" w:hAnsi="Arial"/>
          <w:sz w:val="16"/>
          <w:szCs w:val="16"/>
          <w:color w:val="auto"/>
        </w:rPr>
        <w:t>Your execution and delivery of this Warrant Agreement and the performance of Your obligations hereunder,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to Us of the right to acquire the shares of Warrant Stock, have been duly authorized by all necessary corporate action on Your part and this Warrant Agreement is not inconsistent with Your Certificate of Incorporation or Bylaws, do not contravene any law or governmental rule, regulation or order applicable to it, do not and will not contravene any provision of, or constitute a default under, any indenture, mortgage, contract or other instrument to which You are a party or by which You are bound, and this Warrant Agreement constitutes a legal, valid and binding agreement, enforceable in accordance with its respective terms, subject to laws of general application relating to bankruptcy, insolvency and the relief of debtors and the rules of law or principles at equity governing specific performance, injunctive relief and other equitable remedies.</w:t>
      </w:r>
    </w:p>
    <w:p>
      <w:pPr>
        <w:spacing w:after="0" w:line="65" w:lineRule="exact"/>
        <w:rPr>
          <w:rFonts w:ascii="Arial" w:cs="Arial" w:eastAsia="Arial" w:hAnsi="Arial"/>
          <w:sz w:val="16"/>
          <w:szCs w:val="16"/>
          <w:color w:val="auto"/>
        </w:rPr>
      </w:pPr>
    </w:p>
    <w:p>
      <w:pPr>
        <w:ind w:left="430" w:right="80" w:hanging="322"/>
        <w:spacing w:after="0" w:line="260" w:lineRule="auto"/>
        <w:tabs>
          <w:tab w:leader="none" w:pos="430" w:val="left"/>
        </w:tabs>
        <w:numPr>
          <w:ilvl w:val="1"/>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Consents and Approvals. </w:t>
      </w:r>
      <w:r>
        <w:rPr>
          <w:rFonts w:ascii="Arial" w:cs="Arial" w:eastAsia="Arial" w:hAnsi="Arial"/>
          <w:sz w:val="18"/>
          <w:szCs w:val="18"/>
          <w:color w:val="auto"/>
        </w:rPr>
        <w:t>No consent or approval of, giving of notice to, registration with, or taking of any other action in respect of any state,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other governmental authority or agency is required with respect to execution, delivery and Your performance of Your obligations under this Warrant Agreement, except for the filing of any required notices pursuant to Federal and state securities laws, which filings will be effective by the times required thereby.</w:t>
      </w:r>
    </w:p>
    <w:p>
      <w:pPr>
        <w:spacing w:after="0" w:line="87" w:lineRule="exact"/>
        <w:rPr>
          <w:rFonts w:ascii="Arial" w:cs="Arial" w:eastAsia="Arial" w:hAnsi="Arial"/>
          <w:sz w:val="18"/>
          <w:szCs w:val="18"/>
          <w:color w:val="auto"/>
        </w:rPr>
      </w:pPr>
    </w:p>
    <w:p>
      <w:pPr>
        <w:ind w:left="430" w:right="140" w:hanging="322"/>
        <w:spacing w:after="0" w:line="266" w:lineRule="auto"/>
        <w:tabs>
          <w:tab w:leader="none" w:pos="430" w:val="left"/>
        </w:tabs>
        <w:numPr>
          <w:ilvl w:val="1"/>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Issued Securities. </w:t>
      </w:r>
      <w:r>
        <w:rPr>
          <w:rFonts w:ascii="Arial" w:cs="Arial" w:eastAsia="Arial" w:hAnsi="Arial"/>
          <w:sz w:val="18"/>
          <w:szCs w:val="18"/>
          <w:color w:val="auto"/>
        </w:rPr>
        <w:t>All of Your issued and outstanding shares of Common Stock, Warrant Stock or any other securities have been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validly issued and are fully paid and nonassessable. All outstanding shares of Common Stock and Warrant Stock were issued in full compliance with all Federal and state securities laws. In addition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-3234055</wp:posOffset>
            </wp:positionV>
            <wp:extent cx="69894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6"/>
          <w:szCs w:val="16"/>
          <w:color w:val="auto"/>
        </w:rPr>
        <w:t>Your authorized capital consists of (A) 96,000,000 shares of Common Stock, of which 12,133,710 shares of Common Stock are issued and outstanding,</w:t>
      </w:r>
    </w:p>
    <w:p>
      <w:pPr>
        <w:spacing w:after="0" w:line="46" w:lineRule="exact"/>
        <w:rPr>
          <w:sz w:val="20"/>
          <w:szCs w:val="20"/>
          <w:color w:val="auto"/>
        </w:rPr>
      </w:pPr>
    </w:p>
    <w:p>
      <w:pPr>
        <w:jc w:val="both"/>
        <w:ind w:left="10" w:right="140" w:hanging="10"/>
        <w:spacing w:after="0" w:line="255" w:lineRule="auto"/>
        <w:tabs>
          <w:tab w:leader="none" w:pos="29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31,250,000 shares of Series A Preferred Stock, of which 31,249,991 shares are issued and outstanding, (C) 19,288,150 shares of Series B Preferred Stock, of which 19,198,194 shares are issued and outstanding and (D) 18,000,000 shares of Series C Preferred Stock, of which 16,778,8000 shares are issued and outstanding.</w:t>
      </w:r>
    </w:p>
    <w:p>
      <w:pPr>
        <w:spacing w:after="0" w:line="189" w:lineRule="exact"/>
        <w:rPr>
          <w:sz w:val="20"/>
          <w:szCs w:val="20"/>
          <w:color w:val="auto"/>
        </w:rPr>
      </w:pPr>
    </w:p>
    <w:p>
      <w:pPr>
        <w:ind w:left="10" w:right="240"/>
        <w:spacing w:after="0" w:line="256" w:lineRule="auto"/>
        <w:rPr>
          <w:sz w:val="20"/>
          <w:szCs w:val="20"/>
          <w:color w:val="auto"/>
        </w:rPr>
      </w:pPr>
      <w:r>
        <w:rPr>
          <w:rFonts w:ascii="Arial" w:cs="Arial" w:eastAsia="Arial" w:hAnsi="Arial"/>
          <w:sz w:val="18"/>
          <w:szCs w:val="18"/>
          <w:color w:val="auto"/>
        </w:rPr>
        <w:t>You have reserved 15,968,000 shares of Common Stock for issuance under Your Stock Incentive Plan, under which 11,414,473 options have been granted. In addition You have reserved 754,573 shares of Common Stock for a warrant agreement and 89,956 shares of Series B Preferred Stock for a warrant agreement. Except as otherwise provided in this Warrant Agreement and as noted above, there are no other options, warrants, conversion privileges or other rights presently outstanding to purchase or otherwise acquire any authorized but unissued shares of Your capital stock or other of Your securities.</w:t>
      </w:r>
    </w:p>
    <w:p>
      <w:pPr>
        <w:spacing w:after="0" w:line="191" w:lineRule="exact"/>
        <w:rPr>
          <w:sz w:val="20"/>
          <w:szCs w:val="20"/>
          <w:color w:val="auto"/>
        </w:rPr>
      </w:pPr>
    </w:p>
    <w:p>
      <w:pPr>
        <w:ind w:left="10" w:right="300"/>
        <w:spacing w:after="0" w:line="277" w:lineRule="auto"/>
        <w:rPr>
          <w:sz w:val="20"/>
          <w:szCs w:val="20"/>
          <w:color w:val="auto"/>
        </w:rPr>
      </w:pPr>
      <w:r>
        <w:rPr>
          <w:rFonts w:ascii="Arial" w:cs="Arial" w:eastAsia="Arial" w:hAnsi="Arial"/>
          <w:sz w:val="18"/>
          <w:szCs w:val="18"/>
          <w:color w:val="auto"/>
        </w:rPr>
        <w:t>Except as set forth in Your Investors’ Rights Agreement, a true, correct and complete copy of which has been delivered to Us prior to the issuance of this Warrant, Your stockholders do not have preemptive rights to purchase new issuances of Your capital stock.</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337" w:right="439" w:bottom="1440" w:gutter="0" w:footer="0" w:header="0"/>
        </w:sectPr>
      </w:pPr>
    </w:p>
    <w:bookmarkStart w:id="365" w:name="page366"/>
    <w:bookmarkEnd w:id="365"/>
    <w:p>
      <w:pPr>
        <w:ind w:left="430" w:right="260" w:hanging="322"/>
        <w:spacing w:after="0" w:line="266" w:lineRule="auto"/>
        <w:tabs>
          <w:tab w:leader="none" w:pos="430"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Commitments to Register Securities. </w:t>
      </w:r>
      <w:r>
        <w:rPr>
          <w:rFonts w:ascii="Arial" w:cs="Arial" w:eastAsia="Arial" w:hAnsi="Arial"/>
          <w:sz w:val="18"/>
          <w:szCs w:val="18"/>
          <w:color w:val="auto"/>
        </w:rPr>
        <w:t>Except as set forth in this Warrant Agreement and the Investors’ Rights Agreement, You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any other agreement currently in existence, under any obligation to register under the 1933 Act any of Your presently outstanding securities or any of Your securities which may hereafter be issued.</w:t>
      </w:r>
    </w:p>
    <w:p>
      <w:pPr>
        <w:spacing w:after="0" w:line="80" w:lineRule="exact"/>
        <w:rPr>
          <w:rFonts w:ascii="Arial" w:cs="Arial" w:eastAsia="Arial" w:hAnsi="Arial"/>
          <w:sz w:val="18"/>
          <w:szCs w:val="18"/>
          <w:color w:val="auto"/>
        </w:rPr>
      </w:pPr>
    </w:p>
    <w:p>
      <w:pPr>
        <w:ind w:left="430" w:right="140" w:hanging="322"/>
        <w:spacing w:after="0" w:line="266" w:lineRule="auto"/>
        <w:tabs>
          <w:tab w:leader="none" w:pos="430"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t xml:space="preserve">Exempt Transaction. </w:t>
      </w:r>
      <w:r>
        <w:rPr>
          <w:rFonts w:ascii="Arial" w:cs="Arial" w:eastAsia="Arial" w:hAnsi="Arial"/>
          <w:sz w:val="18"/>
          <w:szCs w:val="18"/>
          <w:color w:val="auto"/>
        </w:rPr>
        <w:t>Subject to the accuracy of Our representations in Section 7 hereof, the issuance of the Warrant Stock upon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Agreement will constitute a transaction exempt from (i) the registration requirements of Section 5 of the 1933 Act, in reliance upon Section 4(2) thereof, and (ii)the qualification requirements of the applicable state securities laws.</w:t>
      </w:r>
    </w:p>
    <w:p>
      <w:pPr>
        <w:spacing w:after="0" w:line="80" w:lineRule="exact"/>
        <w:rPr>
          <w:rFonts w:ascii="Arial" w:cs="Arial" w:eastAsia="Arial" w:hAnsi="Arial"/>
          <w:sz w:val="18"/>
          <w:szCs w:val="18"/>
          <w:color w:val="auto"/>
        </w:rPr>
      </w:pPr>
    </w:p>
    <w:p>
      <w:pPr>
        <w:jc w:val="both"/>
        <w:ind w:left="430" w:right="220" w:hanging="322"/>
        <w:spacing w:after="0" w:line="288" w:lineRule="auto"/>
        <w:tabs>
          <w:tab w:leader="none" w:pos="430" w:val="left"/>
        </w:tabs>
        <w:numPr>
          <w:ilvl w:val="1"/>
          <w:numId w:val="240"/>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Rule 144. </w:t>
      </w:r>
      <w:r>
        <w:rPr>
          <w:rFonts w:ascii="Arial" w:cs="Arial" w:eastAsia="Arial" w:hAnsi="Arial"/>
          <w:sz w:val="17"/>
          <w:szCs w:val="17"/>
          <w:color w:val="auto"/>
        </w:rPr>
        <w:t>We may sell the Warrant Stock issuable hereunder in compliance with Rule 144 promulgated by the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Commission. Within ten (10) days of Our request, You agree to furnish Us, a written statement confirming Your compliance with the filing requirements of the Securities and Exchange Commission as set forth in such Rule 144, as may be amended.</w:t>
      </w:r>
    </w:p>
    <w:p>
      <w:pPr>
        <w:spacing w:after="0" w:line="65" w:lineRule="exact"/>
        <w:rPr>
          <w:rFonts w:ascii="Arial" w:cs="Arial" w:eastAsia="Arial" w:hAnsi="Arial"/>
          <w:sz w:val="17"/>
          <w:szCs w:val="17"/>
          <w:color w:val="auto"/>
        </w:rPr>
      </w:pPr>
    </w:p>
    <w:p>
      <w:pPr>
        <w:ind w:left="430" w:right="60" w:hanging="322"/>
        <w:spacing w:after="0" w:line="288" w:lineRule="auto"/>
        <w:tabs>
          <w:tab w:leader="none" w:pos="430" w:val="left"/>
        </w:tabs>
        <w:numPr>
          <w:ilvl w:val="1"/>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No Impairment. </w:t>
      </w:r>
      <w:r>
        <w:rPr>
          <w:rFonts w:ascii="Arial" w:cs="Arial" w:eastAsia="Arial" w:hAnsi="Arial"/>
          <w:sz w:val="16"/>
          <w:szCs w:val="16"/>
          <w:color w:val="auto"/>
        </w:rPr>
        <w:t>You agree not to, by amendment of Your Certificate of Incorporation, by-laws or other organizational or charter documents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through a reorganization, transfer of assets, consolidation, merger, dissolution, issue or sale of securities or any other voluntary action, avoid or seek to avoid the observance or performance of any of the terms to be observed or performed under this Warrant Agreement by You, but shall at all times in good faith assist in carrying out of all the provisions of this Warrant Agreement and in taking all such action as may be necessary or appropriate to protect Our rights under this Warrant Agreement against impairment. However, You shall not be deemed to have impaired Our rights if You amend Your Certificate of Incorporation, or the holders of Your preferred stock waive their rights thereunder, in a manner that does not (individually or when considered in the context of any other actions being taken in connection with such amendments or waivers) affect Us in a manner different from the effect that such amendments or waivers have on the rights of other holders of the same series and class as the Warrant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You shall not impose any restrictions on the transferability or alienability of the Warrant Stock other than in effect as of the Effective Date without the express written consent of Us.</w:t>
      </w:r>
    </w:p>
    <w:p>
      <w:pPr>
        <w:spacing w:after="0" w:line="382" w:lineRule="exact"/>
        <w:rPr>
          <w:rFonts w:ascii="Arial" w:cs="Arial" w:eastAsia="Arial" w:hAnsi="Arial"/>
          <w:sz w:val="16"/>
          <w:szCs w:val="16"/>
          <w:color w:val="auto"/>
        </w:rPr>
      </w:pPr>
    </w:p>
    <w:p>
      <w:pPr>
        <w:ind w:left="430" w:hanging="430"/>
        <w:spacing w:after="0"/>
        <w:tabs>
          <w:tab w:leader="none" w:pos="43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OUR REPRESENTATIONS AND COVENANTS TO YOU.</w:t>
      </w:r>
    </w:p>
    <w:p>
      <w:pPr>
        <w:spacing w:after="0" w:line="184" w:lineRule="exact"/>
        <w:rPr>
          <w:rFonts w:ascii="Arial" w:cs="Arial" w:eastAsia="Arial" w:hAnsi="Arial"/>
          <w:sz w:val="18"/>
          <w:szCs w:val="18"/>
          <w:b w:val="1"/>
          <w:bCs w:val="1"/>
          <w:color w:val="auto"/>
        </w:rPr>
      </w:pPr>
    </w:p>
    <w:p>
      <w:pPr>
        <w:jc w:val="both"/>
        <w:ind w:left="430" w:right="460" w:hanging="322"/>
        <w:spacing w:after="0" w:line="314" w:lineRule="auto"/>
        <w:tabs>
          <w:tab w:leader="none" w:pos="430" w:val="left"/>
        </w:tabs>
        <w:numPr>
          <w:ilvl w:val="1"/>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Investment Purpose. </w:t>
      </w:r>
      <w:r>
        <w:rPr>
          <w:rFonts w:ascii="Arial" w:cs="Arial" w:eastAsia="Arial" w:hAnsi="Arial"/>
          <w:sz w:val="16"/>
          <w:szCs w:val="16"/>
          <w:color w:val="auto"/>
        </w:rPr>
        <w:t>The right to acquire Warrant Stock or the Warrant Stock issuable upon exercise of Our rights contained herein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will be acquired for investment purposes and not with a view to the sale or distribution of any part thereof, and We have no present intention of selling or engaging in any public distribution of the same in violation of the 1933 Act.</w:t>
      </w:r>
    </w:p>
    <w:p>
      <w:pPr>
        <w:spacing w:after="0" w:line="46" w:lineRule="exact"/>
        <w:rPr>
          <w:rFonts w:ascii="Arial" w:cs="Arial" w:eastAsia="Arial" w:hAnsi="Arial"/>
          <w:sz w:val="16"/>
          <w:szCs w:val="16"/>
          <w:color w:val="auto"/>
        </w:rPr>
      </w:pPr>
    </w:p>
    <w:p>
      <w:pPr>
        <w:ind w:left="430" w:hanging="322"/>
        <w:spacing w:after="0" w:line="303" w:lineRule="auto"/>
        <w:tabs>
          <w:tab w:leader="none" w:pos="430" w:val="left"/>
        </w:tabs>
        <w:numPr>
          <w:ilvl w:val="1"/>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Private Issue. </w:t>
      </w:r>
      <w:r>
        <w:rPr>
          <w:rFonts w:ascii="Arial" w:cs="Arial" w:eastAsia="Arial" w:hAnsi="Arial"/>
          <w:sz w:val="16"/>
          <w:szCs w:val="16"/>
          <w:color w:val="auto"/>
        </w:rPr>
        <w:t>We understand (i) that this Warrant Agreement, the Warrant Stock issuable upon exercise of this Warrant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of the Warrant Stock are not registered under the 1933 Act or qualified under applicable state securities laws on the ground that the issuance contemplated by this Warrant Agreement will be exempt from the registration and qualifications requirements thereof, and (ii) that Your reliance on such exemption is predicated on the representations set forth in this Section 7.</w:t>
      </w:r>
    </w:p>
    <w:p>
      <w:pPr>
        <w:spacing w:after="0" w:line="55" w:lineRule="exact"/>
        <w:rPr>
          <w:rFonts w:ascii="Arial" w:cs="Arial" w:eastAsia="Arial" w:hAnsi="Arial"/>
          <w:sz w:val="16"/>
          <w:szCs w:val="16"/>
          <w:color w:val="auto"/>
        </w:rPr>
      </w:pPr>
    </w:p>
    <w:p>
      <w:pPr>
        <w:ind w:left="430" w:right="20" w:hanging="322"/>
        <w:spacing w:after="0" w:line="287" w:lineRule="auto"/>
        <w:tabs>
          <w:tab w:leader="none" w:pos="430" w:val="left"/>
        </w:tabs>
        <w:numPr>
          <w:ilvl w:val="1"/>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Disposition of Our Rights. </w:t>
      </w:r>
      <w:r>
        <w:rPr>
          <w:rFonts w:ascii="Arial" w:cs="Arial" w:eastAsia="Arial" w:hAnsi="Arial"/>
          <w:sz w:val="16"/>
          <w:szCs w:val="16"/>
          <w:color w:val="auto"/>
        </w:rPr>
        <w:t>In no event will We make a disposition of any of Our rights to acquire Warrant Stock or Warrant Stock issuable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such rights or the Common Stock issuable upon conversion of the Warrant Stock unless and until (i) We shall have notified You in writing of the proposed disposition, and (ii) the transferee agrees to be bound in writing to the applicable terms and conditions of this Warrant Agreement, and (iii) if You request, We shall have furnished You with an opinion of counsel satisfactory to You and Your counsel to the effect that</w:t>
      </w:r>
    </w:p>
    <w:p>
      <w:pPr>
        <w:spacing w:after="0" w:line="1" w:lineRule="exact"/>
        <w:rPr>
          <w:rFonts w:ascii="Arial" w:cs="Arial" w:eastAsia="Arial" w:hAnsi="Arial"/>
          <w:sz w:val="16"/>
          <w:szCs w:val="16"/>
          <w:color w:val="auto"/>
        </w:rPr>
      </w:pPr>
    </w:p>
    <w:p>
      <w:pPr>
        <w:ind w:left="430" w:right="140"/>
        <w:spacing w:after="0" w:line="287" w:lineRule="auto"/>
        <w:rPr>
          <w:rFonts w:ascii="Arial" w:cs="Arial" w:eastAsia="Arial" w:hAnsi="Arial"/>
          <w:sz w:val="16"/>
          <w:szCs w:val="16"/>
          <w:color w:val="auto"/>
        </w:rPr>
      </w:pPr>
      <w:r>
        <w:rPr>
          <w:rFonts w:ascii="Arial" w:cs="Arial" w:eastAsia="Arial" w:hAnsi="Arial"/>
          <w:sz w:val="16"/>
          <w:szCs w:val="16"/>
          <w:color w:val="auto"/>
        </w:rPr>
        <w:t>(A) appropriate action necessary for compliance with the 1933 Act has been taken, or (B) an exemption from the registration requirements of the 1933 Act is available. Notwithstanding the foregoing, the restrictions imposed upon the transferability of any of Our rights to acquire Warrant Stock or Warrant Stock issuable on the exercise of such rights or the Common Stock issuable upon conversion of the Warrant Stock do not apply to transfers from the beneficial owner of any of the aforementioned securities to its nominee or from such nominee to its beneficial owner, and shall terminate as to any particular share of Warrant Stock when (1) such security shall have been effectively registered under the 1933 Act and sold by the holder thereof in accordance with such registration or (2) such security shall have been sold without registration in compliance with Rule 144 under the 1933 Act, or (3) a letter shall have been issued to You at Our request by the staff of the Securities and Exchange Commission or a ruling shall have been issued to You at Our request by such Commission stating that no action shall be recommended by such staff or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-3061335</wp:posOffset>
            </wp:positionV>
            <wp:extent cx="698944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-2881630</wp:posOffset>
            </wp:positionV>
            <wp:extent cx="69894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8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0" w:right="459" w:bottom="1440" w:gutter="0" w:footer="0" w:header="0"/>
        </w:sectPr>
      </w:pPr>
    </w:p>
    <w:bookmarkStart w:id="366" w:name="page367"/>
    <w:bookmarkEnd w:id="366"/>
    <w:p>
      <w:pPr>
        <w:ind w:left="45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Commission, as the case may be, if such security is transferred without registration under the 1933 Act in accordance with the conditions set forth in such letter or ruling and such letter or ruling specifies that no subsequent restrictions on transfer are required. Whenever the restrictions imposed hereunder shall terminate, as hereinabove provided, the holder of a share of Warrant Stock then outstanding as to which such restrictions have terminated shall be entitled to receive from You, without expense to such holder, one or more new certificates for the Warrant or for such shares of Warrant Stock not bearing any restrictive legend referring to 1933 Act registration or exemption.</w:t>
      </w:r>
    </w:p>
    <w:p>
      <w:pPr>
        <w:spacing w:after="0" w:line="62" w:lineRule="exact"/>
        <w:rPr>
          <w:sz w:val="20"/>
          <w:szCs w:val="20"/>
          <w:color w:val="auto"/>
        </w:rPr>
      </w:pPr>
    </w:p>
    <w:p>
      <w:pPr>
        <w:ind w:left="430" w:right="80" w:hanging="322"/>
        <w:spacing w:after="0" w:line="347" w:lineRule="auto"/>
        <w:tabs>
          <w:tab w:leader="none" w:pos="430" w:val="left"/>
        </w:tabs>
        <w:numPr>
          <w:ilvl w:val="1"/>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Financial Risk. </w:t>
      </w:r>
      <w:r>
        <w:rPr>
          <w:rFonts w:ascii="Arial" w:cs="Arial" w:eastAsia="Arial" w:hAnsi="Arial"/>
          <w:sz w:val="16"/>
          <w:szCs w:val="16"/>
          <w:color w:val="auto"/>
        </w:rPr>
        <w:t>We have such knowledge and experience in financial and business matters and knowledge of Your business affairs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as to be capable of evaluating the merits and risks of Our investment, and have the ability to bear the economic risks of Our investment.</w:t>
      </w:r>
    </w:p>
    <w:p>
      <w:pPr>
        <w:spacing w:after="0" w:line="21" w:lineRule="exact"/>
        <w:rPr>
          <w:rFonts w:ascii="Arial" w:cs="Arial" w:eastAsia="Arial" w:hAnsi="Arial"/>
          <w:sz w:val="16"/>
          <w:szCs w:val="16"/>
          <w:color w:val="auto"/>
        </w:rPr>
      </w:pPr>
    </w:p>
    <w:p>
      <w:pPr>
        <w:ind w:left="430" w:right="20" w:hanging="322"/>
        <w:spacing w:after="0" w:line="272" w:lineRule="auto"/>
        <w:tabs>
          <w:tab w:leader="none" w:pos="430" w:val="left"/>
        </w:tabs>
        <w:numPr>
          <w:ilvl w:val="1"/>
          <w:numId w:val="241"/>
        </w:numPr>
        <w:rPr>
          <w:rFonts w:ascii="Arial" w:cs="Arial" w:eastAsia="Arial" w:hAnsi="Arial"/>
          <w:sz w:val="17"/>
          <w:szCs w:val="17"/>
          <w:color w:val="auto"/>
        </w:rPr>
      </w:pPr>
      <w:r>
        <w:rPr>
          <w:rFonts w:ascii="Arial" w:cs="Arial" w:eastAsia="Arial" w:hAnsi="Arial"/>
          <w:sz w:val="17"/>
          <w:szCs w:val="17"/>
          <w:b w:val="1"/>
          <w:bCs w:val="1"/>
          <w:color w:val="auto"/>
        </w:rPr>
        <w:t xml:space="preserve">Risk of No Registration. </w:t>
      </w:r>
      <w:r>
        <w:rPr>
          <w:rFonts w:ascii="Arial" w:cs="Arial" w:eastAsia="Arial" w:hAnsi="Arial"/>
          <w:sz w:val="17"/>
          <w:szCs w:val="17"/>
          <w:color w:val="auto"/>
        </w:rPr>
        <w:t>We understand that if You do not register with the Securities and Exchange Commission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(the “1934 Act”), or file reports pursuant to Section 15(d), of the 1934 Act, or if a registration statement covering the securities under the 1933 Act is not in effect when We desire to sell (i) the rights to purchase Warrant Stock pursuant to this Warrant Agreement, or (ii) the Warrant Stock issuable upon exercise of the right to purchase, or (iii) the Common Stock issuable upon conversion of the Warrant Stock, We may be required to hold such securities for an indefinite period. We also understand that any sale of Our right to purchase Warrant Stock or Warrant Stock or Common Stock issuable upon conversion of the Warrant Stock, which might be made by it in reliance upon Rule 144 under the 1933 Act may be made only in accordance with the terms and conditions of that Rule.</w:t>
      </w:r>
    </w:p>
    <w:p>
      <w:pPr>
        <w:spacing w:after="0" w:line="81" w:lineRule="exact"/>
        <w:rPr>
          <w:rFonts w:ascii="Arial" w:cs="Arial" w:eastAsia="Arial" w:hAnsi="Arial"/>
          <w:sz w:val="17"/>
          <w:szCs w:val="17"/>
          <w:color w:val="auto"/>
        </w:rPr>
      </w:pPr>
    </w:p>
    <w:p>
      <w:pPr>
        <w:ind w:left="430" w:right="240" w:hanging="322"/>
        <w:spacing w:after="0" w:line="281" w:lineRule="auto"/>
        <w:tabs>
          <w:tab w:leader="none" w:pos="430" w:val="left"/>
        </w:tabs>
        <w:numPr>
          <w:ilvl w:val="1"/>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Accredited Investor. </w:t>
      </w:r>
      <w:r>
        <w:rPr>
          <w:rFonts w:ascii="Arial" w:cs="Arial" w:eastAsia="Arial" w:hAnsi="Arial"/>
          <w:sz w:val="18"/>
          <w:szCs w:val="18"/>
          <w:color w:val="auto"/>
        </w:rPr>
        <w:t>We are an “accredited investor” within the meaning of the Securities and Exchange Rule 501 of Regulation D of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 as presently in effect.</w:t>
      </w:r>
    </w:p>
    <w:p>
      <w:pPr>
        <w:spacing w:after="0" w:line="378" w:lineRule="exact"/>
        <w:rPr>
          <w:rFonts w:ascii="Arial" w:cs="Arial" w:eastAsia="Arial" w:hAnsi="Arial"/>
          <w:sz w:val="18"/>
          <w:szCs w:val="18"/>
          <w:color w:val="auto"/>
        </w:rPr>
      </w:pPr>
    </w:p>
    <w:p>
      <w:pPr>
        <w:ind w:left="430" w:hanging="430"/>
        <w:spacing w:after="0"/>
        <w:tabs>
          <w:tab w:leader="none" w:pos="43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NOTICES YOU AGREE TO PROVIDE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698944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color w:val="auto"/>
        </w:rPr>
        <w:t>You agree to give Us at least twenty (20) days prior written notice of the following events:</w:t>
      </w:r>
    </w:p>
    <w:p>
      <w:pPr>
        <w:spacing w:after="0" w:line="130" w:lineRule="exact"/>
        <w:rPr>
          <w:sz w:val="20"/>
          <w:szCs w:val="20"/>
          <w:color w:val="auto"/>
        </w:rPr>
      </w:pPr>
    </w:p>
    <w:p>
      <w:pPr>
        <w:ind w:left="430" w:hanging="322"/>
        <w:spacing w:after="0"/>
        <w:tabs>
          <w:tab w:leader="none" w:pos="43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You pay a Dividend or distribution declaration upon Your stock.</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You offer for subscription pro-rata to the existing shareholders additional stock or other rights.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You consummate or sign definitive documents providing for a Merger Event.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You have an initial public offering.</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You dissolve or liquidate.</w:t>
      </w:r>
    </w:p>
    <w:p>
      <w:pPr>
        <w:spacing w:after="0" w:line="225" w:lineRule="exact"/>
        <w:rPr>
          <w:sz w:val="20"/>
          <w:szCs w:val="20"/>
          <w:color w:val="auto"/>
        </w:rPr>
      </w:pPr>
    </w:p>
    <w:p>
      <w:pPr>
        <w:ind w:left="10" w:right="260"/>
        <w:spacing w:after="0" w:line="277" w:lineRule="auto"/>
        <w:rPr>
          <w:sz w:val="20"/>
          <w:szCs w:val="20"/>
          <w:color w:val="auto"/>
        </w:rPr>
      </w:pPr>
      <w:r>
        <w:rPr>
          <w:rFonts w:ascii="Arial" w:cs="Arial" w:eastAsia="Arial" w:hAnsi="Arial"/>
          <w:sz w:val="18"/>
          <w:szCs w:val="18"/>
          <w:color w:val="auto"/>
        </w:rPr>
        <w:t>All notices in this Section must set forth details of the event, how the event adjusts either Our number of shares or Our Exercise Price and the method used for such adjustment.</w:t>
      </w:r>
    </w:p>
    <w:p>
      <w:pPr>
        <w:spacing w:after="0" w:line="166" w:lineRule="exact"/>
        <w:rPr>
          <w:sz w:val="20"/>
          <w:szCs w:val="20"/>
          <w:color w:val="auto"/>
        </w:rPr>
      </w:pPr>
    </w:p>
    <w:p>
      <w:pPr>
        <w:ind w:left="10" w:right="920"/>
        <w:spacing w:after="0" w:line="281" w:lineRule="auto"/>
        <w:rPr>
          <w:sz w:val="20"/>
          <w:szCs w:val="20"/>
          <w:color w:val="auto"/>
        </w:rPr>
      </w:pPr>
      <w:r>
        <w:rPr>
          <w:rFonts w:ascii="Arial" w:cs="Arial" w:eastAsia="Arial" w:hAnsi="Arial"/>
          <w:sz w:val="18"/>
          <w:szCs w:val="18"/>
          <w:b w:val="1"/>
          <w:bCs w:val="1"/>
          <w:color w:val="auto"/>
        </w:rPr>
        <w:t xml:space="preserve">Timely Notice. </w:t>
      </w:r>
      <w:r>
        <w:rPr>
          <w:rFonts w:ascii="Arial" w:cs="Arial" w:eastAsia="Arial" w:hAnsi="Arial"/>
          <w:sz w:val="18"/>
          <w:szCs w:val="18"/>
          <w:color w:val="auto"/>
        </w:rPr>
        <w:t>Your failure to timely provide such notice required above shall entitle Us to retain the benefit of the applicable notice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any insufficient notice received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698944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45" w:lineRule="exact"/>
        <w:rPr>
          <w:sz w:val="20"/>
          <w:szCs w:val="20"/>
          <w:color w:val="auto"/>
        </w:rPr>
      </w:pPr>
    </w:p>
    <w:p>
      <w:pPr>
        <w:ind w:left="430" w:hanging="430"/>
        <w:spacing w:after="0"/>
        <w:tabs>
          <w:tab w:leader="none" w:pos="43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YOU WILL PROVIDE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Upon signing this Warrant Agreement You will provide Us with:</w:t>
      </w:r>
    </w:p>
    <w:p>
      <w:pPr>
        <w:spacing w:after="0" w:line="130" w:lineRule="exact"/>
        <w:rPr>
          <w:sz w:val="20"/>
          <w:szCs w:val="20"/>
          <w:color w:val="auto"/>
        </w:rPr>
      </w:pPr>
    </w:p>
    <w:p>
      <w:pPr>
        <w:ind w:left="430" w:hanging="322"/>
        <w:spacing w:after="0"/>
        <w:tabs>
          <w:tab w:leader="none" w:pos="43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Executed originals of this Warrant Agreement, and all other documents and instruments that We may reasonably require</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Secretary’s certificate of incumbency and authority</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Certified copy of resolutions of Your board of directors approving this Warrant Agreement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Certified copy of Certificate of Incorporation and by-laws as amended through the Effective Date</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Current Investors’ Rights Agreement</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0"/>
          </w:cols>
          <w:pgMar w:left="450" w:top="274" w:right="439" w:bottom="1440" w:gutter="0" w:footer="0" w:header="0"/>
        </w:sectPr>
      </w:pPr>
    </w:p>
    <w:bookmarkStart w:id="367" w:name="page368"/>
    <w:bookmarkEnd w:id="367"/>
    <w:p>
      <w:pPr>
        <w:ind w:left="1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this Warrant Agreement is in effect, You shall provide Us with the following:</w:t>
      </w:r>
    </w:p>
    <w:p>
      <w:pPr>
        <w:spacing w:after="0" w:line="130" w:lineRule="exact"/>
        <w:rPr>
          <w:sz w:val="20"/>
          <w:szCs w:val="20"/>
          <w:color w:val="auto"/>
        </w:rPr>
      </w:pPr>
    </w:p>
    <w:p>
      <w:pPr>
        <w:ind w:left="430" w:right="120" w:hanging="322"/>
        <w:spacing w:after="0" w:line="279" w:lineRule="auto"/>
        <w:tabs>
          <w:tab w:leader="none" w:pos="43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Within five (5) Business Days after the closing of any equity financing, or extension of an existing round of equity financing, occurring after the Effective Date, in which You issue preferred stock or other securities You will provide Us with copies of the fully executed equity financing documents, including without limitation the related stock purchase agreement, investors rights agreement, voting agreement, amended or restated Certificates of Incorporation, current capitalization table and other related documents.</w:t>
      </w:r>
    </w:p>
    <w:p>
      <w:pPr>
        <w:spacing w:after="0" w:line="75" w:lineRule="exact"/>
        <w:rPr>
          <w:rFonts w:ascii="Arial" w:cs="Arial" w:eastAsia="Arial" w:hAnsi="Arial"/>
          <w:sz w:val="17"/>
          <w:szCs w:val="17"/>
          <w:color w:val="auto"/>
        </w:rPr>
      </w:pPr>
    </w:p>
    <w:p>
      <w:pPr>
        <w:ind w:left="430" w:hanging="322"/>
        <w:spacing w:after="0"/>
        <w:tabs>
          <w:tab w:leader="none" w:pos="43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Within thirty (30) days after completion You shall provide Us with any 409A Valuation Reports or other similar reports prepared for You.</w:t>
      </w:r>
    </w:p>
    <w:p>
      <w:pPr>
        <w:spacing w:after="0" w:line="141" w:lineRule="exact"/>
        <w:rPr>
          <w:rFonts w:ascii="Arial" w:cs="Arial" w:eastAsia="Arial" w:hAnsi="Arial"/>
          <w:sz w:val="17"/>
          <w:szCs w:val="17"/>
          <w:color w:val="auto"/>
        </w:rPr>
      </w:pPr>
    </w:p>
    <w:p>
      <w:pPr>
        <w:ind w:left="430" w:hanging="322"/>
        <w:spacing w:after="0" w:line="256" w:lineRule="auto"/>
        <w:tabs>
          <w:tab w:leader="none" w:pos="43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After all obligations under the Loan Agreement have been finally paid in full, within thirty (30) days after the end of each quarter, You will provide Us with (1) an unaudited income statement, statement of cash flows, and an unaudited balance sheet prepared in accordance with GAAP accompanied by a report detailing any material contingencies, and (2) within one hundred eighty (180) days of the end of each fiscal year end, You will provide Us with audited financial statements accompanied by an audit report and an unqualified opinion of the independent certified public accountants.</w:t>
      </w:r>
    </w:p>
    <w:p>
      <w:pPr>
        <w:spacing w:after="0" w:line="96" w:lineRule="exact"/>
        <w:rPr>
          <w:rFonts w:ascii="Arial" w:cs="Arial" w:eastAsia="Arial" w:hAnsi="Arial"/>
          <w:sz w:val="18"/>
          <w:szCs w:val="18"/>
          <w:color w:val="auto"/>
        </w:rPr>
      </w:pPr>
    </w:p>
    <w:p>
      <w:pPr>
        <w:ind w:left="430" w:right="640" w:hanging="322"/>
        <w:spacing w:after="0" w:line="277" w:lineRule="auto"/>
        <w:tabs>
          <w:tab w:leader="none" w:pos="43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You shall submit to Us any other documents and other information that We may reasonably request from time to time and are necessary to implement the provisions and purposes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698944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62" w:lineRule="exact"/>
        <w:rPr>
          <w:sz w:val="20"/>
          <w:szCs w:val="20"/>
          <w:color w:val="auto"/>
        </w:rPr>
      </w:pPr>
    </w:p>
    <w:p>
      <w:pPr>
        <w:ind w:left="430" w:hanging="430"/>
        <w:spacing w:after="0"/>
        <w:tabs>
          <w:tab w:leader="none" w:pos="43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RIGHTS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8" w:lineRule="exact"/>
        <w:rPr>
          <w:sz w:val="20"/>
          <w:szCs w:val="20"/>
          <w:color w:val="auto"/>
        </w:rPr>
      </w:pPr>
    </w:p>
    <w:p>
      <w:pPr>
        <w:ind w:left="10" w:right="100"/>
        <w:spacing w:after="0" w:line="273" w:lineRule="auto"/>
        <w:rPr>
          <w:sz w:val="20"/>
          <w:szCs w:val="20"/>
          <w:color w:val="auto"/>
        </w:rPr>
      </w:pPr>
      <w:r>
        <w:rPr>
          <w:rFonts w:ascii="Arial" w:cs="Arial" w:eastAsia="Arial" w:hAnsi="Arial"/>
          <w:sz w:val="17"/>
          <w:szCs w:val="17"/>
          <w:color w:val="auto"/>
        </w:rPr>
        <w:t>The shares of Your Common Stock into which the Warrant Stock is convertible shall have registration rights as set forth in the Amended and Restated Investors’ Rights Agreement, dated as of December 16, 2014 (as amended, the “Investors’ Rights Agreement”). The provisions set forth in Your Investors’ Rights Agreement relating to such registration rights in effect as of the date of this Warrant Agreement may not be amended, modified or waived without Our prior written consent unless such amendment, modification or waiver affects the rights associated with the shares of common stock into which the Warrant Stock is convertible in the same manner as such amendment, modification, or waiver affects the rights associated with all other shares of the same series and class of stock as the Warrant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98944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30" w:hanging="430"/>
        <w:spacing w:after="0"/>
        <w:tabs>
          <w:tab w:leader="none" w:pos="43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OTHER LEGAL PROVISIONS THE PARTIES WILL ABIDE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4" w:lineRule="exact"/>
        <w:rPr>
          <w:sz w:val="20"/>
          <w:szCs w:val="20"/>
          <w:color w:val="auto"/>
        </w:rPr>
      </w:pPr>
    </w:p>
    <w:p>
      <w:pPr>
        <w:ind w:left="10" w:right="500"/>
        <w:spacing w:after="0" w:line="312" w:lineRule="auto"/>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This Warrant Agreement shall be construed and shall be given effect in all respects as if it had been executed and delivered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on the date hereof. This Warrant Agreement shall be binding upon any of the successors or assigns of the Parties.</w:t>
      </w:r>
    </w:p>
    <w:p>
      <w:pPr>
        <w:spacing w:after="0" w:line="139" w:lineRule="exact"/>
        <w:rPr>
          <w:sz w:val="20"/>
          <w:szCs w:val="20"/>
          <w:color w:val="auto"/>
        </w:rPr>
      </w:pPr>
    </w:p>
    <w:p>
      <w:pPr>
        <w:ind w:left="10" w:right="200"/>
        <w:spacing w:after="0" w:line="281" w:lineRule="auto"/>
        <w:rPr>
          <w:sz w:val="20"/>
          <w:szCs w:val="20"/>
          <w:color w:val="auto"/>
        </w:rPr>
      </w:pP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In any litigation, arbitration or court proceeding between the Parties relating to this Warrant Agreement, the prevailing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attorneys’ fees and expenses and all costs of proceedings incurred in enforcing this Warrant Agreement.</w:t>
      </w:r>
    </w:p>
    <w:p>
      <w:pPr>
        <w:spacing w:after="0" w:line="163" w:lineRule="exact"/>
        <w:rPr>
          <w:sz w:val="20"/>
          <w:szCs w:val="20"/>
          <w:color w:val="auto"/>
        </w:rPr>
      </w:pPr>
    </w:p>
    <w:p>
      <w:pPr>
        <w:ind w:left="10" w:right="340"/>
        <w:spacing w:after="0" w:line="281"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Warrant Agreement shall be governed by and construed for all purposes under and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giving effect to that body of law pertaining to conflicts of laws.</w:t>
      </w:r>
    </w:p>
    <w:p>
      <w:pPr>
        <w:spacing w:after="0" w:line="163" w:lineRule="exact"/>
        <w:rPr>
          <w:sz w:val="20"/>
          <w:szCs w:val="20"/>
          <w:color w:val="auto"/>
        </w:rPr>
      </w:pPr>
    </w:p>
    <w:p>
      <w:pPr>
        <w:ind w:left="10" w:right="40"/>
        <w:spacing w:after="0" w:line="287" w:lineRule="auto"/>
        <w:rPr>
          <w:sz w:val="20"/>
          <w:szCs w:val="20"/>
          <w:color w:val="auto"/>
        </w:rPr>
      </w:pPr>
      <w:r>
        <w:rPr>
          <w:rFonts w:ascii="Arial" w:cs="Arial" w:eastAsia="Arial" w:hAnsi="Arial"/>
          <w:sz w:val="16"/>
          <w:szCs w:val="16"/>
          <w:b w:val="1"/>
          <w:bCs w:val="1"/>
          <w:color w:val="auto"/>
        </w:rPr>
        <w:t xml:space="preserve">Consent to Jurisdiction and Venue. </w:t>
      </w:r>
      <w:r>
        <w:rPr>
          <w:rFonts w:ascii="Arial" w:cs="Arial" w:eastAsia="Arial" w:hAnsi="Arial"/>
          <w:sz w:val="16"/>
          <w:szCs w:val="16"/>
          <w:color w:val="auto"/>
        </w:rPr>
        <w:t>All judicial proceedings arising in or under or related to this Warrant Agreement may be brought in any state or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court of competent jurisdiction located in the State of California. By execution and delivery of this Warrant Agreement, each party hereto generally and unconditionally: (a) consents to personal jurisdiction in San Mateo County, State of California; (b) waives any objection as to jurisdiction or venue in San Mateo County, State of California; (c) agrees not to assert any defense based on lack of jurisdiction or venue in the aforesaid courts; and</w:t>
      </w:r>
    </w:p>
    <w:p>
      <w:pPr>
        <w:spacing w:after="0" w:line="2" w:lineRule="exact"/>
        <w:rPr>
          <w:sz w:val="20"/>
          <w:szCs w:val="20"/>
          <w:color w:val="auto"/>
        </w:rPr>
      </w:pPr>
    </w:p>
    <w:p>
      <w:pPr>
        <w:ind w:left="10" w:right="40" w:hanging="10"/>
        <w:spacing w:after="0" w:line="273" w:lineRule="auto"/>
        <w:tabs>
          <w:tab w:leader="none" w:pos="26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irrevocably agrees to be bound by any judgment rendered thereby in connection with this Warrant Agreement. Service of process on any party hereto in any action arising out of or relating to this Warrant Agreement shall be effective if given in accordance with the requirements for notice set forth in this Section, and shall be deemed effective and received as set forth therein. Nothing herein shall affect the right to serve process in any other manner permitted by law or shall limit the right of either party to bring proceedings in the courts of any other jurisdiction.</w:t>
      </w:r>
    </w:p>
    <w:p>
      <w:pPr>
        <w:spacing w:after="0" w:line="171" w:lineRule="exact"/>
        <w:rPr>
          <w:sz w:val="20"/>
          <w:szCs w:val="20"/>
          <w:color w:val="auto"/>
        </w:rPr>
      </w:pPr>
    </w:p>
    <w:p>
      <w:pPr>
        <w:ind w:left="10" w:right="40"/>
        <w:spacing w:after="0" w:line="266" w:lineRule="auto"/>
        <w:rPr>
          <w:sz w:val="20"/>
          <w:szCs w:val="20"/>
          <w:color w:val="auto"/>
        </w:rPr>
      </w:pPr>
      <w:r>
        <w:rPr>
          <w:rFonts w:ascii="Arial" w:cs="Arial" w:eastAsia="Arial" w:hAnsi="Arial"/>
          <w:sz w:val="18"/>
          <w:szCs w:val="18"/>
          <w:b w:val="1"/>
          <w:bCs w:val="1"/>
          <w:color w:val="auto"/>
        </w:rPr>
        <w:t xml:space="preserve">Mutual Waiver of Jury Trial; Judicial Reference. </w:t>
      </w:r>
      <w:r>
        <w:rPr>
          <w:rFonts w:ascii="Arial" w:cs="Arial" w:eastAsia="Arial" w:hAnsi="Arial"/>
          <w:sz w:val="18"/>
          <w:szCs w:val="18"/>
          <w:color w:val="auto"/>
        </w:rPr>
        <w:t>Because disputes arising in connection with complex financial transactions are most quickly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economically resolved by an experienced and expert person and the Parties wish applicable state and federal laws to apply (rather than arbitration rules), The Parties desire that their disputes be resolved by</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0"/>
          </w:cols>
          <w:pgMar w:left="450" w:top="274" w:right="439" w:bottom="1440" w:gutter="0" w:footer="0" w:header="0"/>
        </w:sectPr>
      </w:pPr>
    </w:p>
    <w:bookmarkStart w:id="368" w:name="page369"/>
    <w:bookmarkEnd w:id="36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judge applying such applicable laws. EACH OF THE PARTIES SPECIFICALLY WAIVES ANY RIGHT THEY MAY HAVE TO TRIAL BY JURY OF ANY CAUSE OF ACTION, CLAIM, CROSS-CLAIM, COUNTERCLAIM, THIRD PARTY CLAIM OR ANY OTHER CLAIM (COLLECTIVELY, “</w:t>
      </w:r>
      <w:r>
        <w:rPr>
          <w:rFonts w:ascii="Arial" w:cs="Arial" w:eastAsia="Arial" w:hAnsi="Arial"/>
          <w:sz w:val="18"/>
          <w:szCs w:val="18"/>
          <w:u w:val="single" w:color="auto"/>
          <w:color w:val="auto"/>
        </w:rPr>
        <w:t>CLAIMS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ASSERTED BY YOU AGAINST US OR OUR ASSIGNEE OR BY US OR OUR ASSIGNEE AGAINST YOU. IN THE EVENT THAT THE FOREGOING JURY TRIAL WAIVER IS NOT ENFORCEABLE, ALL CLAIMS, INCLUDING ANY AND ALL QUESTIONS OF LAW OR FACT RELATING THERETO, SHALL, AT THE WRITTEN REQUEST OF ANY PARTY, BE DETERMINED BY JUDICIAL REFERENCE PURSUANT TO THE CALIFORNIA CODE OF CIVIL PROCEDURE (“REFERENCE”). THE PARTIES SHALL SELECT A SINGLE NEUTRAL REFEREE, WHO SHALL BE A RETIRED STATE OR FEDERAL JUDGE. IN THE EVENT THAT THE PARTIES CANNOT AGREE UPON A REFEREE, THE REFEREE SHALL BE APPOINTED BY THE COURT. THE REFEREE SHALL REPORT A STATEMENT OF DECISION TO THE COURT. NOTHING IN THIS SECTION SHALL LIMIT THE RIGHT OF ANY PARTY AT ANY TIME TO EXERCISE LAWFUL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SECTION. THE PARTIES ACKNOWLEDGE THAT THE CLAIMS WILL NOT BE ADJUDICATED BY A JURY. This waiver extends to all such Claims, including Claims that involve persons other than You and Us; Claims that arise out of or are in any way connected to the relationship between You and Us; and any Claims for damages, breach of contract, specific performance, or any equitable or legal relief of any kind, arising out of this Warrant Agreement.</w:t>
      </w:r>
    </w:p>
    <w:p>
      <w:pPr>
        <w:spacing w:after="0" w:line="188"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Warrant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or permitted under this Warrant Agreement shall be given in writing and shall be deemed effectively given upon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of (1) actual receipt or 3 days after mailing if mailed postage prepaid by regular or airmail to Us or You or (2) one day after it is sent by overnight mail via nationally recognized courier or (3) on the same day as sent via confirmed facsimile transmission, provided that the original is sent by personal delivery or mail by the sending party.</w:t>
      </w:r>
    </w:p>
    <w:p>
      <w:pPr>
        <w:spacing w:after="0" w:line="18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Remedies. </w:t>
      </w:r>
      <w:r>
        <w:rPr>
          <w:rFonts w:ascii="Arial" w:cs="Arial" w:eastAsia="Arial" w:hAnsi="Arial"/>
          <w:sz w:val="17"/>
          <w:szCs w:val="17"/>
          <w:color w:val="auto"/>
        </w:rPr>
        <w:t>In the event of any default hereunder, the non-defaulting party may proceed to protect and enforce its rights either by suit in equity and/or by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at law, including but not limited to an action for damages as a result of any such default, and/or an action for specific performance for any default where such party will not have an adequate remedy at law and where damages will not be readily ascertainable. Each party expressly acknowledges and agrees that there is no adequate remedy at law for any breach of this Warrant Agreement and that in the event of any breach of this Warrant Agreement, the injured party shall be entitled to specific performance of any or all provisions hereof or an injunction prohibiting the other party from continuing to commit any such breach of this Warrant Agreement.</w:t>
      </w:r>
    </w:p>
    <w:p>
      <w:pPr>
        <w:spacing w:after="0" w:line="17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representations, warranties, covenants, and conditions of the Parties contained herein or made pursuant to this Warrant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execution and delivery of this Warrant Agreement.</w:t>
      </w:r>
    </w:p>
    <w:p>
      <w:pPr>
        <w:spacing w:after="0" w:line="16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one or more of the provisions of this Warrant Agreement shall for any reason be held invalid, illegal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Warrant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82"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Warrant Agreement constitutes the entire agreement between the Parties pertaining to the subject matter contained in it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agreements, representations and undertakings of the Parties, whether oral or written, with respect to such subject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Any provision of this Warrant Agreement may only be amended by a written instrument signed by the Parties.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Lost Warrants or Stock Certificates. </w:t>
      </w:r>
      <w:r>
        <w:rPr>
          <w:rFonts w:ascii="Arial" w:cs="Arial" w:eastAsia="Arial" w:hAnsi="Arial"/>
          <w:sz w:val="18"/>
          <w:szCs w:val="18"/>
          <w:color w:val="auto"/>
        </w:rPr>
        <w:t>You covenant to Us that, upon receipt of evidence reasonably satisfactory to You of the loss, theft, destruction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mutilation of this Warrant Agreement or any stock certificate and, in the case of any such loss, theft or destruction, upon receipt of an indemnity reasonably satisfactory to You, or in the case of any such mutilation upon surrender and cancellation of such Warrant Agreement or stock certificate, You will make and deliver a new Warrant Agreement or stock certificate, of like tenor, in lieu of the lost, stolen, destroyed or mutilated Warrant Agreement or stock certificate.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3" w:right="439" w:bottom="1440" w:gutter="0" w:footer="0" w:header="0"/>
        </w:sectPr>
      </w:pPr>
    </w:p>
    <w:bookmarkStart w:id="369" w:name="page370"/>
    <w:bookmarkEnd w:id="369"/>
    <w:p>
      <w:pPr>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Rights as Stockholders. </w:t>
      </w:r>
      <w:r>
        <w:rPr>
          <w:rFonts w:ascii="Arial" w:cs="Arial" w:eastAsia="Arial" w:hAnsi="Arial"/>
          <w:sz w:val="17"/>
          <w:szCs w:val="17"/>
          <w:color w:val="auto"/>
        </w:rPr>
        <w:t>We shall not, as a party to this Warrant Agreement, be entitled to vote or receive dividends or be deemed the 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Stock or any of Your other securities which may at any time be issuable upon the exercise hereof for any purpose, nor shall anything contained herein be construed to confer upon Us any of the rights of one of Your stockholders or any right to vote for the election of directors or upon any matter submitted to stockholders at any meeting thereof, or to receive dividends or subscription rights or otherwise until this Warrant Agreement is exercised and the shares purchasable upon the exercise hereof shall have become deliverable, as provided herein.</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Signatures. </w:t>
      </w:r>
      <w:r>
        <w:rPr>
          <w:rFonts w:ascii="Arial" w:cs="Arial" w:eastAsia="Arial" w:hAnsi="Arial"/>
          <w:sz w:val="18"/>
          <w:szCs w:val="18"/>
          <w:color w:val="auto"/>
        </w:rPr>
        <w:t>This Warrant Agreement may be executed and delivered by facsimile or transmitted electronically in either Tagged Image Format Files</w:t>
      </w:r>
      <w:r>
        <w:rPr>
          <w:rFonts w:ascii="Arial" w:cs="Arial" w:eastAsia="Arial" w:hAnsi="Arial"/>
          <w:sz w:val="18"/>
          <w:szCs w:val="18"/>
          <w:b w:val="1"/>
          <w:bCs w:val="1"/>
          <w:color w:val="auto"/>
        </w:rPr>
        <w:t xml:space="preserve"> (“TIFF”) </w:t>
      </w:r>
      <w:r>
        <w:rPr>
          <w:rFonts w:ascii="Arial" w:cs="Arial" w:eastAsia="Arial" w:hAnsi="Arial"/>
          <w:sz w:val="18"/>
          <w:szCs w:val="18"/>
          <w:color w:val="auto"/>
        </w:rPr>
        <w:t>or Portable Document Format</w:t>
      </w:r>
      <w:r>
        <w:rPr>
          <w:rFonts w:ascii="Arial" w:cs="Arial" w:eastAsia="Arial" w:hAnsi="Arial"/>
          <w:sz w:val="18"/>
          <w:szCs w:val="18"/>
          <w:b w:val="1"/>
          <w:bCs w:val="1"/>
          <w:color w:val="auto"/>
        </w:rPr>
        <w:t xml:space="preserve"> (“PDF”) </w:t>
      </w:r>
      <w:r>
        <w:rPr>
          <w:rFonts w:ascii="Arial" w:cs="Arial" w:eastAsia="Arial" w:hAnsi="Arial"/>
          <w:sz w:val="18"/>
          <w:szCs w:val="18"/>
          <w:color w:val="auto"/>
        </w:rPr>
        <w:t>and, upon such delivery, the facsimile, TIFF or PDF signature, as applicable,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effect as if the original signature had been delivered to the other party.</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Page to Follow)</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60" w:top="270" w:right="559" w:bottom="1440" w:gutter="0" w:footer="0" w:header="0"/>
        </w:sectPr>
      </w:pPr>
    </w:p>
    <w:bookmarkStart w:id="370" w:name="page371"/>
    <w:bookmarkEnd w:id="370"/>
    <w:p>
      <w:pPr>
        <w:ind w:right="30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each of the Parties have caused this Warrant Agreement to be executed by its officers who are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90" w:lineRule="exact"/>
        <w:rPr>
          <w:sz w:val="20"/>
          <w:szCs w:val="20"/>
          <w:color w:val="auto"/>
        </w:rPr>
      </w:pPr>
    </w:p>
    <w:tbl>
      <w:tblPr>
        <w:tblLayout w:type="fixed"/>
        <w:tblInd w:w="660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You:</w:t>
            </w:r>
          </w:p>
        </w:tc>
        <w:tc>
          <w:tcPr>
            <w:tcW w:w="3380" w:type="dxa"/>
            <w:vAlign w:val="bottom"/>
          </w:tcPr>
          <w:p>
            <w:pPr>
              <w:spacing w:after="0"/>
              <w:rPr>
                <w:sz w:val="20"/>
                <w:szCs w:val="20"/>
                <w:color w:val="auto"/>
              </w:rPr>
            </w:pPr>
            <w:r>
              <w:rPr>
                <w:rFonts w:ascii="Arial" w:cs="Arial" w:eastAsia="Arial" w:hAnsi="Arial"/>
                <w:sz w:val="18"/>
                <w:szCs w:val="18"/>
                <w:b w:val="1"/>
                <w:bCs w:val="1"/>
                <w:color w:val="auto"/>
              </w:rPr>
              <w:t>PERSONALIS, INC.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West</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380" w:type="dxa"/>
            <w:vAlign w:val="bottom"/>
          </w:tcPr>
          <w:p>
            <w:pPr>
              <w:spacing w:after="0"/>
              <w:rPr>
                <w:sz w:val="20"/>
                <w:szCs w:val="20"/>
                <w:color w:val="auto"/>
              </w:rPr>
            </w:pPr>
            <w:r>
              <w:rPr>
                <w:rFonts w:ascii="Arial" w:cs="Arial" w:eastAsia="Arial" w:hAnsi="Arial"/>
                <w:sz w:val="18"/>
                <w:szCs w:val="18"/>
                <w:color w:val="auto"/>
              </w:rPr>
              <w:t>John West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3380" w:type="dxa"/>
            <w:vAlign w:val="bottom"/>
          </w:tcPr>
          <w:p>
            <w:pPr>
              <w:spacing w:after="0"/>
              <w:rPr>
                <w:sz w:val="20"/>
                <w:szCs w:val="20"/>
                <w:color w:val="auto"/>
              </w:rPr>
            </w:pPr>
            <w:r>
              <w:rPr>
                <w:rFonts w:ascii="Arial" w:cs="Arial" w:eastAsia="Arial" w:hAnsi="Arial"/>
                <w:sz w:val="18"/>
                <w:szCs w:val="18"/>
                <w:b w:val="1"/>
                <w:bCs w:val="1"/>
                <w:color w:val="auto"/>
              </w:rPr>
              <w:t>TRIPLEPOINT CAPITAL LLC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Sajal Srivastava</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380" w:type="dxa"/>
            <w:vAlign w:val="bottom"/>
          </w:tcPr>
          <w:p>
            <w:pPr>
              <w:spacing w:after="0"/>
              <w:rPr>
                <w:sz w:val="20"/>
                <w:szCs w:val="20"/>
                <w:color w:val="auto"/>
              </w:rPr>
            </w:pPr>
            <w:r>
              <w:rPr>
                <w:rFonts w:ascii="Arial" w:cs="Arial" w:eastAsia="Arial" w:hAnsi="Arial"/>
                <w:sz w:val="18"/>
                <w:szCs w:val="18"/>
                <w:color w:val="auto"/>
              </w:rPr>
              <w:t>Sajal Srivastava</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WARRANT AGREEMENT 1115-W-01]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0" w:right="439" w:bottom="1440" w:gutter="0" w:footer="0" w:header="0"/>
        </w:sectPr>
      </w:pPr>
    </w:p>
    <w:bookmarkStart w:id="371" w:name="page372"/>
    <w:bookmarkEnd w:id="371"/>
    <w:tbl>
      <w:tblPr>
        <w:tblLayout w:type="fixed"/>
        <w:tblInd w:w="1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jc w:val="center"/>
              <w:ind w:right="1010"/>
              <w:spacing w:after="0"/>
              <w:rPr>
                <w:sz w:val="20"/>
                <w:szCs w:val="20"/>
                <w:color w:val="auto"/>
              </w:rPr>
            </w:pPr>
            <w:r>
              <w:rPr>
                <w:rFonts w:ascii="Arial" w:cs="Arial" w:eastAsia="Arial" w:hAnsi="Arial"/>
                <w:sz w:val="18"/>
                <w:szCs w:val="18"/>
                <w:b w:val="1"/>
                <w:bCs w:val="1"/>
                <w:color w:val="auto"/>
              </w:rPr>
              <w:t>EXHIBIT I</w:t>
            </w:r>
          </w:p>
        </w:tc>
        <w:tc>
          <w:tcPr>
            <w:tcW w:w="36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rPr>
              <w:t>NOTICE OF EXERCISE</w:t>
            </w:r>
          </w:p>
        </w:tc>
        <w:tc>
          <w:tcPr>
            <w:tcW w:w="3600" w:type="dxa"/>
            <w:vAlign w:val="bottom"/>
          </w:tcPr>
          <w:p>
            <w:pPr>
              <w:spacing w:after="0"/>
              <w:rPr>
                <w:sz w:val="24"/>
                <w:szCs w:val="24"/>
                <w:color w:val="auto"/>
              </w:rPr>
            </w:pPr>
          </w:p>
        </w:tc>
      </w:tr>
      <w:tr>
        <w:trPr>
          <w:trHeight w:val="418"/>
        </w:trPr>
        <w:tc>
          <w:tcPr>
            <w:tcW w:w="340" w:type="dxa"/>
            <w:vAlign w:val="bottom"/>
          </w:tcPr>
          <w:p>
            <w:pPr>
              <w:spacing w:after="0"/>
              <w:rPr>
                <w:sz w:val="20"/>
                <w:szCs w:val="20"/>
                <w:color w:val="auto"/>
              </w:rPr>
            </w:pPr>
            <w:r>
              <w:rPr>
                <w:rFonts w:ascii="Arial" w:cs="Arial" w:eastAsia="Arial" w:hAnsi="Arial"/>
                <w:sz w:val="18"/>
                <w:szCs w:val="18"/>
                <w:b w:val="1"/>
                <w:bCs w:val="1"/>
                <w:color w:val="auto"/>
              </w:rPr>
              <w:t>To:</w:t>
            </w:r>
          </w:p>
        </w:tc>
        <w:tc>
          <w:tcPr>
            <w:tcW w:w="140" w:type="dxa"/>
            <w:vAlign w:val="bottom"/>
          </w:tcPr>
          <w:p>
            <w:pPr>
              <w:ind w:left="80"/>
              <w:spacing w:after="0"/>
              <w:rPr>
                <w:sz w:val="20"/>
                <w:szCs w:val="20"/>
                <w:color w:val="auto"/>
              </w:rPr>
            </w:pPr>
            <w:r>
              <w:rPr>
                <w:rFonts w:ascii="Arial" w:cs="Arial" w:eastAsia="Arial" w:hAnsi="Arial"/>
                <w:sz w:val="16"/>
                <w:szCs w:val="16"/>
                <w:b w:val="1"/>
                <w:bCs w:val="1"/>
                <w:color w:val="auto"/>
                <w:w w:val="74"/>
              </w:rPr>
              <w:t>[</w:t>
            </w:r>
          </w:p>
        </w:tc>
        <w:tc>
          <w:tcPr>
            <w:tcW w:w="2020" w:type="dxa"/>
            <w:vAlign w:val="bottom"/>
            <w:tcBorders>
              <w:bottom w:val="single" w:sz="8" w:color="auto"/>
            </w:tcBorders>
          </w:tcPr>
          <w:p>
            <w:pPr>
              <w:spacing w:after="0"/>
              <w:rPr>
                <w:sz w:val="24"/>
                <w:szCs w:val="24"/>
                <w:color w:val="auto"/>
              </w:rPr>
            </w:pP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43"/>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2540" w:type="dxa"/>
            <w:vAlign w:val="bottom"/>
            <w:gridSpan w:val="3"/>
          </w:tcPr>
          <w:p>
            <w:pPr>
              <w:ind w:left="80"/>
              <w:spacing w:after="0"/>
              <w:rPr>
                <w:sz w:val="20"/>
                <w:szCs w:val="20"/>
                <w:color w:val="auto"/>
              </w:rPr>
            </w:pPr>
            <w:r>
              <w:rPr>
                <w:rFonts w:ascii="Arial" w:cs="Arial" w:eastAsia="Arial" w:hAnsi="Arial"/>
                <w:sz w:val="18"/>
                <w:szCs w:val="18"/>
                <w:color w:val="auto"/>
              </w:rPr>
              <w:t>We hereby elect to purchase [</w:t>
            </w:r>
          </w:p>
        </w:tc>
        <w:tc>
          <w:tcPr>
            <w:tcW w:w="2080" w:type="dxa"/>
            <w:vAlign w:val="bottom"/>
            <w:gridSpan w:val="2"/>
          </w:tcPr>
          <w:p>
            <w:pPr>
              <w:jc w:val="right"/>
              <w:ind w:right="130"/>
              <w:spacing w:after="0"/>
              <w:rPr>
                <w:sz w:val="20"/>
                <w:szCs w:val="20"/>
                <w:color w:val="auto"/>
              </w:rPr>
            </w:pPr>
            <w:r>
              <w:rPr>
                <w:rFonts w:ascii="Arial" w:cs="Arial" w:eastAsia="Arial" w:hAnsi="Arial"/>
                <w:sz w:val="18"/>
                <w:szCs w:val="18"/>
                <w:color w:val="auto"/>
              </w:rPr>
              <w:t>] shares of the Series [</w:t>
            </w:r>
          </w:p>
        </w:tc>
        <w:tc>
          <w:tcPr>
            <w:tcW w:w="2180" w:type="dxa"/>
            <w:vAlign w:val="bottom"/>
          </w:tcPr>
          <w:p>
            <w:pPr>
              <w:ind w:left="360"/>
              <w:spacing w:after="0"/>
              <w:rPr>
                <w:sz w:val="20"/>
                <w:szCs w:val="20"/>
                <w:color w:val="auto"/>
              </w:rPr>
            </w:pPr>
            <w:r>
              <w:rPr>
                <w:rFonts w:ascii="Arial" w:cs="Arial" w:eastAsia="Arial" w:hAnsi="Arial"/>
                <w:sz w:val="18"/>
                <w:szCs w:val="18"/>
                <w:color w:val="auto"/>
              </w:rPr>
              <w:t>] Preferred Stock of [</w:t>
            </w:r>
          </w:p>
        </w:tc>
        <w:tc>
          <w:tcPr>
            <w:tcW w:w="3600" w:type="dxa"/>
            <w:vAlign w:val="bottom"/>
          </w:tcPr>
          <w:p>
            <w:pPr>
              <w:ind w:left="300"/>
              <w:spacing w:after="0"/>
              <w:rPr>
                <w:sz w:val="20"/>
                <w:szCs w:val="20"/>
                <w:color w:val="auto"/>
              </w:rPr>
            </w:pPr>
            <w:r>
              <w:rPr>
                <w:rFonts w:ascii="Arial" w:cs="Arial" w:eastAsia="Arial" w:hAnsi="Arial"/>
                <w:sz w:val="18"/>
                <w:szCs w:val="18"/>
                <w:color w:val="auto"/>
                <w:w w:val="95"/>
              </w:rPr>
              <w:t>], pursuant to the terms of the Plain English</w:t>
            </w:r>
          </w:p>
        </w:tc>
      </w:tr>
      <w:tr>
        <w:trPr>
          <w:trHeight w:val="216"/>
        </w:trPr>
        <w:tc>
          <w:tcPr>
            <w:tcW w:w="340" w:type="dxa"/>
            <w:vAlign w:val="bottom"/>
          </w:tcPr>
          <w:p>
            <w:pPr>
              <w:spacing w:after="0"/>
              <w:rPr>
                <w:sz w:val="18"/>
                <w:szCs w:val="18"/>
                <w:color w:val="auto"/>
              </w:rPr>
            </w:pPr>
          </w:p>
        </w:tc>
        <w:tc>
          <w:tcPr>
            <w:tcW w:w="2540" w:type="dxa"/>
            <w:vAlign w:val="bottom"/>
            <w:gridSpan w:val="3"/>
          </w:tcPr>
          <w:p>
            <w:pPr>
              <w:ind w:left="80"/>
              <w:spacing w:after="0"/>
              <w:rPr>
                <w:sz w:val="20"/>
                <w:szCs w:val="20"/>
                <w:color w:val="auto"/>
              </w:rPr>
            </w:pPr>
            <w:r>
              <w:rPr>
                <w:rFonts w:ascii="Arial" w:cs="Arial" w:eastAsia="Arial" w:hAnsi="Arial"/>
                <w:sz w:val="18"/>
                <w:szCs w:val="18"/>
                <w:color w:val="auto"/>
                <w:w w:val="98"/>
              </w:rPr>
              <w:t>Warrant Agreement dated the [</w:t>
            </w:r>
          </w:p>
        </w:tc>
        <w:tc>
          <w:tcPr>
            <w:tcW w:w="1300" w:type="dxa"/>
            <w:vAlign w:val="bottom"/>
          </w:tcPr>
          <w:p>
            <w:pPr>
              <w:ind w:left="340"/>
              <w:spacing w:after="0"/>
              <w:rPr>
                <w:sz w:val="20"/>
                <w:szCs w:val="20"/>
                <w:color w:val="auto"/>
              </w:rPr>
            </w:pPr>
            <w:r>
              <w:rPr>
                <w:rFonts w:ascii="Arial" w:cs="Arial" w:eastAsia="Arial" w:hAnsi="Arial"/>
                <w:sz w:val="18"/>
                <w:szCs w:val="18"/>
                <w:color w:val="auto"/>
              </w:rPr>
              <w:t>] day of [</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5780" w:type="dxa"/>
            <w:vAlign w:val="bottom"/>
            <w:gridSpan w:val="2"/>
          </w:tcPr>
          <w:p>
            <w:pPr>
              <w:ind w:left="320"/>
              <w:spacing w:after="0"/>
              <w:rPr>
                <w:sz w:val="20"/>
                <w:szCs w:val="20"/>
                <w:color w:val="auto"/>
              </w:rPr>
            </w:pPr>
            <w:r>
              <w:rPr>
                <w:rFonts w:ascii="Arial" w:cs="Arial" w:eastAsia="Arial" w:hAnsi="Arial"/>
                <w:sz w:val="18"/>
                <w:szCs w:val="18"/>
                <w:color w:val="auto"/>
                <w:w w:val="90"/>
              </w:rPr>
              <w:t>] (the “Plain English Warrant Agreement”) between You and Us, We hereby</w:t>
            </w:r>
          </w:p>
        </w:tc>
      </w:tr>
      <w:tr>
        <w:trPr>
          <w:trHeight w:val="230"/>
        </w:trPr>
        <w:tc>
          <w:tcPr>
            <w:tcW w:w="340" w:type="dxa"/>
            <w:vAlign w:val="bottom"/>
          </w:tcPr>
          <w:p>
            <w:pPr>
              <w:spacing w:after="0"/>
              <w:rPr>
                <w:sz w:val="20"/>
                <w:szCs w:val="20"/>
                <w:color w:val="auto"/>
              </w:rPr>
            </w:pPr>
          </w:p>
        </w:tc>
        <w:tc>
          <w:tcPr>
            <w:tcW w:w="10400" w:type="dxa"/>
            <w:vAlign w:val="bottom"/>
            <w:gridSpan w:val="7"/>
          </w:tcPr>
          <w:p>
            <w:pPr>
              <w:ind w:left="80"/>
              <w:spacing w:after="0"/>
              <w:rPr>
                <w:sz w:val="20"/>
                <w:szCs w:val="20"/>
                <w:color w:val="auto"/>
              </w:rPr>
            </w:pPr>
            <w:r>
              <w:rPr>
                <w:rFonts w:ascii="Arial" w:cs="Arial" w:eastAsia="Arial" w:hAnsi="Arial"/>
                <w:sz w:val="18"/>
                <w:szCs w:val="18"/>
                <w:color w:val="auto"/>
              </w:rPr>
              <w:t>tender here payment of the purchase price for such shares in full, together with all applicable transfer taxes, if any.</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0" w:hanging="430"/>
        <w:spacing w:after="0"/>
        <w:tabs>
          <w:tab w:leader="none" w:pos="43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Method of Exercise (Please initial the applicable blank)</w:t>
      </w:r>
    </w:p>
    <w:p>
      <w:pPr>
        <w:spacing w:after="0" w:line="130" w:lineRule="exact"/>
        <w:rPr>
          <w:rFonts w:ascii="Arial" w:cs="Arial" w:eastAsia="Arial" w:hAnsi="Arial"/>
          <w:sz w:val="18"/>
          <w:szCs w:val="18"/>
          <w:color w:val="auto"/>
        </w:rPr>
      </w:pPr>
    </w:p>
    <w:p>
      <w:pPr>
        <w:ind w:left="1410" w:right="200" w:hanging="533"/>
        <w:spacing w:after="0" w:line="307" w:lineRule="auto"/>
        <w:tabs>
          <w:tab w:leader="none" w:pos="1994"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undersigned elects to exercise the Plain English Warrant Agreement by means of a cash payment, and gives You full payment for the purchase price of the shares being purchased, together with all applicable transfer taxes, if any.</w:t>
      </w:r>
    </w:p>
    <w:p>
      <w:pPr>
        <w:spacing w:after="0" w:line="52" w:lineRule="exact"/>
        <w:rPr>
          <w:rFonts w:ascii="Arial" w:cs="Arial" w:eastAsia="Arial" w:hAnsi="Arial"/>
          <w:sz w:val="17"/>
          <w:szCs w:val="17"/>
          <w:color w:val="auto"/>
        </w:rPr>
      </w:pPr>
    </w:p>
    <w:p>
      <w:pPr>
        <w:ind w:left="1410" w:right="80" w:hanging="533"/>
        <w:spacing w:after="0" w:line="277" w:lineRule="auto"/>
        <w:tabs>
          <w:tab w:leader="none" w:pos="199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undersigned elects to exercise the Plain English Warrant Agreement by means of the Net Issuance Exercise method of Section 3 of the Plain English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-533400</wp:posOffset>
            </wp:positionV>
            <wp:extent cx="3422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26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-182245</wp:posOffset>
            </wp:positionV>
            <wp:extent cx="3422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55" w:lineRule="exact"/>
        <w:rPr>
          <w:sz w:val="20"/>
          <w:szCs w:val="20"/>
          <w:color w:val="auto"/>
        </w:rPr>
      </w:pPr>
    </w:p>
    <w:p>
      <w:pPr>
        <w:ind w:left="430" w:right="440" w:hanging="419"/>
        <w:spacing w:after="0" w:line="277" w:lineRule="auto"/>
        <w:tabs>
          <w:tab w:leader="none" w:pos="409"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In exercising Our rights to purchase the Series [ ] Preferred Stock of [ ], We hereby confirm and acknowledge the investment representations, warranties and covenants made in Section 7 of the Plain English Warrant Agreement.</w:t>
      </w:r>
    </w:p>
    <w:p>
      <w:pPr>
        <w:sectPr>
          <w:pgSz w:w="11900" w:h="16838" w:orient="portrait"/>
          <w:cols w:equalWidth="0" w:num="1">
            <w:col w:w="10890"/>
          </w:cols>
          <w:pgMar w:left="450" w:top="270" w:right="559" w:bottom="1440" w:gutter="0" w:footer="0" w:header="0"/>
        </w:sectPr>
      </w:pPr>
    </w:p>
    <w:p>
      <w:pPr>
        <w:spacing w:after="0" w:line="170" w:lineRule="exact"/>
        <w:rPr>
          <w:sz w:val="20"/>
          <w:szCs w:val="20"/>
          <w:color w:val="auto"/>
        </w:rPr>
      </w:pPr>
    </w:p>
    <w:p>
      <w:pPr>
        <w:ind w:left="10"/>
        <w:spacing w:after="0"/>
        <w:rPr>
          <w:sz w:val="20"/>
          <w:szCs w:val="20"/>
          <w:color w:val="auto"/>
        </w:rPr>
      </w:pPr>
      <w:r>
        <w:rPr>
          <w:rFonts w:ascii="Arial" w:cs="Arial" w:eastAsia="Arial" w:hAnsi="Arial"/>
          <w:sz w:val="15"/>
          <w:szCs w:val="15"/>
          <w:color w:val="auto"/>
        </w:rPr>
        <w:t>Please issue a certificate or certificates representing these purchased shares of Series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Preferred Stock in Our name or in such other name as is</w:t>
      </w:r>
    </w:p>
    <w:p>
      <w:pPr>
        <w:spacing w:after="0" w:line="46" w:lineRule="exact"/>
        <w:rPr>
          <w:sz w:val="20"/>
          <w:szCs w:val="20"/>
          <w:color w:val="auto"/>
        </w:rPr>
      </w:pPr>
    </w:p>
    <w:p>
      <w:pPr>
        <w:sectPr>
          <w:pgSz w:w="11900" w:h="16838" w:orient="portrait"/>
          <w:cols w:equalWidth="0" w:num="2">
            <w:col w:w="6190" w:space="580"/>
            <w:col w:w="4120"/>
          </w:cols>
          <w:pgMar w:left="450" w:top="270" w:right="559" w:bottom="1440" w:gutter="0" w:footer="0" w:header="0"/>
          <w:type w:val="continuous"/>
        </w:sectPr>
      </w:pPr>
    </w:p>
    <w:p>
      <w:pPr>
        <w:ind w:left="10"/>
        <w:spacing w:after="0"/>
        <w:rPr>
          <w:sz w:val="20"/>
          <w:szCs w:val="20"/>
          <w:color w:val="auto"/>
        </w:rPr>
      </w:pPr>
      <w:r>
        <w:rPr>
          <w:rFonts w:ascii="Arial" w:cs="Arial" w:eastAsia="Arial" w:hAnsi="Arial"/>
          <w:sz w:val="18"/>
          <w:szCs w:val="18"/>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296545</wp:posOffset>
            </wp:positionV>
            <wp:extent cx="25095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220345</wp:posOffset>
            </wp:positionV>
            <wp:extent cx="25095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34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ind w:left="450"/>
        <w:spacing w:after="0"/>
        <w:tabs>
          <w:tab w:leader="none" w:pos="909" w:val="left"/>
        </w:tabs>
        <w:rPr>
          <w:sz w:val="20"/>
          <w:szCs w:val="20"/>
          <w:color w:val="auto"/>
        </w:rPr>
      </w:pPr>
      <w:r>
        <w:rPr>
          <w:rFonts w:ascii="Arial" w:cs="Arial" w:eastAsia="Arial" w:hAnsi="Arial"/>
          <w:sz w:val="18"/>
          <w:szCs w:val="18"/>
          <w:b w:val="1"/>
          <w:bCs w:val="1"/>
          <w:color w:val="auto"/>
        </w:rPr>
        <w:t>US:</w:t>
        <w:tab/>
        <w:t>TRIPLEPOINT CAPITAL LLC</w:t>
      </w:r>
    </w:p>
    <w:p>
      <w:pPr>
        <w:spacing w:after="0" w:line="22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154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3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154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3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0154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4" w:lineRule="exact"/>
        <w:rPr>
          <w:sz w:val="20"/>
          <w:szCs w:val="20"/>
          <w:color w:val="auto"/>
        </w:rPr>
      </w:pPr>
    </w:p>
    <w:p>
      <w:pPr>
        <w:jc w:val="center"/>
        <w:ind w:right="-10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90"/>
          </w:cols>
          <w:pgMar w:left="450" w:top="270" w:right="559" w:bottom="1440" w:gutter="0" w:footer="0" w:header="0"/>
          <w:type w:val="continuous"/>
        </w:sectPr>
      </w:pPr>
    </w:p>
    <w:bookmarkStart w:id="372" w:name="page373"/>
    <w:bookmarkEnd w:id="37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50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rPr>
              <w:t>EXHIBIT II</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0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rPr>
              <w:t>ACKNOWLEDGMENT OF EXERCISE</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7"/>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w w:val="96"/>
              </w:rPr>
              <w:t>], hereby acknowledges receipt of the “Notice of Exercise” from TRIPLEPOINT CAPITAL LLC, to purchase [</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 shares of the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Series [</w:t>
            </w:r>
          </w:p>
        </w:tc>
        <w:tc>
          <w:tcPr>
            <w:tcW w:w="1820" w:type="dxa"/>
            <w:vAlign w:val="bottom"/>
          </w:tcPr>
          <w:p>
            <w:pPr>
              <w:ind w:left="20"/>
              <w:spacing w:after="0"/>
              <w:rPr>
                <w:sz w:val="20"/>
                <w:szCs w:val="20"/>
                <w:color w:val="auto"/>
              </w:rPr>
            </w:pPr>
            <w:r>
              <w:rPr>
                <w:rFonts w:ascii="Arial" w:cs="Arial" w:eastAsia="Arial" w:hAnsi="Arial"/>
                <w:sz w:val="18"/>
                <w:szCs w:val="18"/>
                <w:color w:val="auto"/>
              </w:rPr>
              <w:t>] Preferred Stock of [</w:t>
            </w:r>
          </w:p>
        </w:tc>
        <w:tc>
          <w:tcPr>
            <w:tcW w:w="7520" w:type="dxa"/>
            <w:vAlign w:val="bottom"/>
            <w:gridSpan w:val="3"/>
          </w:tcPr>
          <w:p>
            <w:pPr>
              <w:ind w:left="260"/>
              <w:spacing w:after="0"/>
              <w:rPr>
                <w:sz w:val="20"/>
                <w:szCs w:val="20"/>
                <w:color w:val="auto"/>
              </w:rPr>
            </w:pPr>
            <w:r>
              <w:rPr>
                <w:rFonts w:ascii="Arial" w:cs="Arial" w:eastAsia="Arial" w:hAnsi="Arial"/>
                <w:sz w:val="18"/>
                <w:szCs w:val="18"/>
                <w:color w:val="auto"/>
                <w:w w:val="94"/>
              </w:rPr>
              <w:t>], pursuant to the terms of the Plain English Warrant Agreement, and further acknowledges that [</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9420" w:type="dxa"/>
            <w:vAlign w:val="bottom"/>
            <w:gridSpan w:val="4"/>
          </w:tcPr>
          <w:p>
            <w:pPr>
              <w:spacing w:after="0"/>
              <w:rPr>
                <w:sz w:val="20"/>
                <w:szCs w:val="20"/>
                <w:color w:val="auto"/>
              </w:rPr>
            </w:pPr>
            <w:r>
              <w:rPr>
                <w:rFonts w:ascii="Arial" w:cs="Arial" w:eastAsia="Arial" w:hAnsi="Arial"/>
                <w:sz w:val="18"/>
                <w:szCs w:val="18"/>
                <w:color w:val="auto"/>
              </w:rPr>
              <w:t>shares remain subject to purchase under the terms of the Plain English Warrant Agreement.</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1100" w:type="dxa"/>
            <w:vAlign w:val="bottom"/>
          </w:tcPr>
          <w:p>
            <w:pPr>
              <w:ind w:left="620"/>
              <w:spacing w:after="0"/>
              <w:rPr>
                <w:sz w:val="20"/>
                <w:szCs w:val="20"/>
                <w:color w:val="auto"/>
              </w:rPr>
            </w:pPr>
            <w:r>
              <w:rPr>
                <w:rFonts w:ascii="Arial" w:cs="Arial" w:eastAsia="Arial" w:hAnsi="Arial"/>
                <w:sz w:val="18"/>
                <w:szCs w:val="18"/>
                <w:b w:val="1"/>
                <w:bCs w:val="1"/>
                <w:color w:val="auto"/>
              </w:rPr>
              <w:t>YOU:</w:t>
            </w:r>
          </w:p>
        </w:tc>
        <w:tc>
          <w:tcPr>
            <w:tcW w:w="1820" w:type="dxa"/>
            <w:vAlign w:val="bottom"/>
          </w:tcPr>
          <w:p>
            <w:pPr>
              <w:spacing w:after="0"/>
              <w:rPr>
                <w:sz w:val="24"/>
                <w:szCs w:val="24"/>
                <w:color w:val="auto"/>
              </w:rPr>
            </w:pPr>
          </w:p>
        </w:tc>
        <w:tc>
          <w:tcPr>
            <w:tcW w:w="6500" w:type="dxa"/>
            <w:vAlign w:val="bottom"/>
            <w:gridSpan w:val="2"/>
          </w:tcPr>
          <w:p>
            <w:pPr>
              <w:ind w:left="2680"/>
              <w:spacing w:after="0"/>
              <w:rPr>
                <w:sz w:val="20"/>
                <w:szCs w:val="20"/>
                <w:color w:val="auto"/>
              </w:rPr>
            </w:pPr>
            <w:r>
              <w:rPr>
                <w:rFonts w:ascii="Arial" w:cs="Arial" w:eastAsia="Arial" w:hAnsi="Arial"/>
                <w:sz w:val="18"/>
                <w:szCs w:val="18"/>
                <w:b w:val="1"/>
                <w:bCs w:val="1"/>
                <w:color w:val="auto"/>
              </w:rPr>
              <w:t>PERSONALIS, INC.</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331"/>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331"/>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00" w:type="dxa"/>
            <w:vAlign w:val="bottom"/>
            <w:gridSpan w:val="2"/>
          </w:tcPr>
          <w:p>
            <w:pPr>
              <w:ind w:left="2700"/>
              <w:spacing w:after="0"/>
              <w:rPr>
                <w:sz w:val="20"/>
                <w:szCs w:val="20"/>
                <w:color w:val="auto"/>
              </w:rPr>
            </w:pPr>
            <w:r>
              <w:rPr>
                <w:rFonts w:ascii="Arial" w:cs="Arial" w:eastAsia="Arial" w:hAnsi="Arial"/>
                <w:sz w:val="18"/>
                <w:szCs w:val="18"/>
                <w:color w:val="auto"/>
              </w:rPr>
              <w:t>Date:</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1"/>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89"/>
              </w:rPr>
              <w:t>13</w:t>
            </w:r>
          </w:p>
        </w:tc>
        <w:tc>
          <w:tcPr>
            <w:tcW w:w="3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6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3" w:name="page374"/>
    <w:bookmarkEnd w:id="37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TRANSFER NOTICE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the foregoing Plain English Warrant Agreement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434340</wp:posOffset>
            </wp:positionV>
            <wp:extent cx="430974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09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-7620</wp:posOffset>
            </wp:positionV>
            <wp:extent cx="55086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086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3931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39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-7620</wp:posOffset>
            </wp:positionV>
            <wp:extent cx="18554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signature to this Transfer Notice must correspond with the name as it appears on the face of the Plain English Warrant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 or enlargement or any change whatever. Officers of corporations and those acting in a fiduciary or other representative capacity should file proper evidence of authority to assign the foregoing Plain English Warrant Agreement.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60" w:top="269" w:right="559" w:bottom="1440" w:gutter="0" w:footer="0" w:header="0"/>
        </w:sectPr>
      </w:pPr>
    </w:p>
    <w:bookmarkStart w:id="374" w:name="page375"/>
    <w:bookmarkEnd w:id="374"/>
    <w:p>
      <w:pPr>
        <w:ind w:left="1017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left="10" w:right="240"/>
        <w:spacing w:after="0" w:line="256" w:lineRule="auto"/>
        <w:rPr>
          <w:sz w:val="20"/>
          <w:szCs w:val="20"/>
          <w:color w:val="auto"/>
        </w:rPr>
      </w:pPr>
      <w:r>
        <w:rPr>
          <w:rFonts w:ascii="Arial" w:cs="Arial" w:eastAsia="Arial" w:hAnsi="Arial"/>
          <w:sz w:val="18"/>
          <w:szCs w:val="18"/>
          <w:color w:val="auto"/>
        </w:rPr>
        <w:t>THIS WARRANT AND THE SECURITIES ISSUABLE UPON EXERCISE HEREUNDER HAVE NOT BEEN REGISTERED UNDER THE SECURITIES ACT OF 1933 AS AMENDED (the “1933 ACT”), OR ANY STATE SECURITIES LAWS. THEY MAY NOT BE SOLD, OFFERED FOR SALE, PLEDGED, OR HYPOTHECATED IN THE ABSENCE OF AN EFFECTIVE REGISTRATION STATEMENT RELATED THERETO OR AN OPINION OF COUNSEL REASONABLY SATISFACTORY TO YOU THAT SUCH REGISTRATION IS NOT REQUIRED UNDER THE 1933 ACT, OR ANY APPLICABLE STATE SECURITIES LAWS.</w:t>
      </w: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PLAIN ENGLISH WARRANT AGREEMENT</w:t>
      </w:r>
    </w:p>
    <w:p>
      <w:pPr>
        <w:spacing w:after="0" w:line="225" w:lineRule="exact"/>
        <w:rPr>
          <w:sz w:val="20"/>
          <w:szCs w:val="20"/>
          <w:color w:val="auto"/>
        </w:rPr>
      </w:pPr>
    </w:p>
    <w:p>
      <w:pPr>
        <w:ind w:left="10" w:right="200"/>
        <w:spacing w:after="0" w:line="281" w:lineRule="auto"/>
        <w:rPr>
          <w:sz w:val="20"/>
          <w:szCs w:val="20"/>
          <w:color w:val="auto"/>
        </w:rPr>
      </w:pPr>
      <w:r>
        <w:rPr>
          <w:rFonts w:ascii="Arial" w:cs="Arial" w:eastAsia="Arial" w:hAnsi="Arial"/>
          <w:sz w:val="18"/>
          <w:szCs w:val="18"/>
          <w:b w:val="1"/>
          <w:bCs w:val="1"/>
          <w:color w:val="auto"/>
        </w:rPr>
        <w:t xml:space="preserve">This is a PLAIN ENGLISH WARRANT AGREEMENT </w:t>
      </w:r>
      <w:r>
        <w:rPr>
          <w:rFonts w:ascii="Arial" w:cs="Arial" w:eastAsia="Arial" w:hAnsi="Arial"/>
          <w:sz w:val="18"/>
          <w:szCs w:val="18"/>
          <w:color w:val="auto"/>
        </w:rPr>
        <w:t>dated March 22, 2019 by and between PERSONALIS, INC., a Delaware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TRIPLEPOINT CAPITAL LLC, a Delaware limited liability company.</w:t>
      </w:r>
    </w:p>
    <w:p>
      <w:pPr>
        <w:spacing w:after="0" w:line="167" w:lineRule="exact"/>
        <w:rPr>
          <w:sz w:val="20"/>
          <w:szCs w:val="20"/>
          <w:color w:val="auto"/>
        </w:rPr>
      </w:pPr>
    </w:p>
    <w:p>
      <w:pPr>
        <w:ind w:left="10" w:right="160"/>
        <w:spacing w:after="0" w:line="263" w:lineRule="auto"/>
        <w:rPr>
          <w:sz w:val="20"/>
          <w:szCs w:val="20"/>
          <w:color w:val="auto"/>
        </w:rPr>
      </w:pPr>
      <w:r>
        <w:rPr>
          <w:rFonts w:ascii="Arial" w:cs="Arial" w:eastAsia="Arial" w:hAnsi="Arial"/>
          <w:sz w:val="18"/>
          <w:szCs w:val="18"/>
          <w:color w:val="auto"/>
        </w:rPr>
        <w:t>The words “We”, “Us”, or “Our” refer to the warrant holder, which is TRIPLEPOINT CAPITAL LLC. The words “You” or “Your” refers to the issuer, which is PERSONALIS, INC., and not to any individual. The words “the Parties” refers to both TRIPLEPOINT CAPITAL LLC and PERSONALIS, INC. This Plain English Warrant Agreement may be referred to as the “Warrant Agreement”.</w:t>
      </w:r>
    </w:p>
    <w:p>
      <w:pPr>
        <w:spacing w:after="0" w:line="183" w:lineRule="exact"/>
        <w:rPr>
          <w:sz w:val="20"/>
          <w:szCs w:val="20"/>
          <w:color w:val="auto"/>
        </w:rPr>
      </w:pPr>
    </w:p>
    <w:p>
      <w:pPr>
        <w:ind w:left="10" w:right="180"/>
        <w:spacing w:after="0" w:line="277" w:lineRule="auto"/>
        <w:rPr>
          <w:sz w:val="20"/>
          <w:szCs w:val="20"/>
          <w:color w:val="auto"/>
        </w:rPr>
      </w:pPr>
      <w:r>
        <w:rPr>
          <w:rFonts w:ascii="Arial" w:cs="Arial" w:eastAsia="Arial" w:hAnsi="Arial"/>
          <w:sz w:val="18"/>
          <w:szCs w:val="18"/>
          <w:color w:val="auto"/>
        </w:rPr>
        <w:t>The Parties have entered into a Plain English Loan and Security Agreement dated as of June 28, 2017 and First Amendment to Plain English Loan and Security Agreement of even date, collectively, the “Loan Agreement”.</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consideration of such Loan Agreement, the Parties agree to the following mutual agreements and conditions set forth below:</w:t>
      </w: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Effective Date</w:t>
            </w:r>
          </w:p>
        </w:tc>
        <w:tc>
          <w:tcPr>
            <w:tcW w:w="2240" w:type="dxa"/>
            <w:vAlign w:val="bottom"/>
            <w:gridSpan w:val="3"/>
          </w:tcPr>
          <w:p>
            <w:pPr>
              <w:spacing w:after="0"/>
              <w:rPr>
                <w:sz w:val="16"/>
                <w:szCs w:val="16"/>
                <w:color w:val="auto"/>
              </w:rPr>
            </w:pPr>
          </w:p>
        </w:tc>
        <w:tc>
          <w:tcPr>
            <w:tcW w:w="3200" w:type="dxa"/>
            <w:vAlign w:val="bottom"/>
            <w:tcBorders>
              <w:bottom w:val="single" w:sz="8" w:color="auto"/>
            </w:tcBorders>
            <w:gridSpan w:val="3"/>
          </w:tcPr>
          <w:p>
            <w:pPr>
              <w:jc w:val="center"/>
              <w:ind w:left="1595"/>
              <w:spacing w:after="0"/>
              <w:rPr>
                <w:sz w:val="20"/>
                <w:szCs w:val="20"/>
                <w:color w:val="auto"/>
              </w:rPr>
            </w:pPr>
            <w:r>
              <w:rPr>
                <w:rFonts w:ascii="Arial" w:cs="Arial" w:eastAsia="Arial" w:hAnsi="Arial"/>
                <w:sz w:val="14"/>
                <w:szCs w:val="14"/>
                <w:b w:val="1"/>
                <w:bCs w:val="1"/>
                <w:color w:val="auto"/>
                <w:w w:val="98"/>
              </w:rPr>
              <w:t>Warrant Number</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Loan Facility Number</w:t>
            </w:r>
          </w:p>
        </w:tc>
      </w:tr>
      <w:tr>
        <w:trPr>
          <w:trHeight w:val="217"/>
        </w:trPr>
        <w:tc>
          <w:tcPr>
            <w:tcW w:w="3100" w:type="dxa"/>
            <w:vAlign w:val="bottom"/>
            <w:gridSpan w:val="5"/>
          </w:tcPr>
          <w:p>
            <w:pPr>
              <w:spacing w:after="0"/>
              <w:rPr>
                <w:sz w:val="20"/>
                <w:szCs w:val="20"/>
                <w:color w:val="auto"/>
              </w:rPr>
            </w:pPr>
            <w:r>
              <w:rPr>
                <w:rFonts w:ascii="Arial" w:cs="Arial" w:eastAsia="Arial" w:hAnsi="Arial"/>
                <w:sz w:val="18"/>
                <w:szCs w:val="18"/>
                <w:color w:val="auto"/>
              </w:rPr>
              <w:t>March 22, 2019</w:t>
            </w:r>
          </w:p>
        </w:tc>
        <w:tc>
          <w:tcPr>
            <w:tcW w:w="3200" w:type="dxa"/>
            <w:vAlign w:val="bottom"/>
            <w:gridSpan w:val="3"/>
          </w:tcPr>
          <w:p>
            <w:pPr>
              <w:jc w:val="center"/>
              <w:ind w:left="1595"/>
              <w:spacing w:after="0"/>
              <w:rPr>
                <w:sz w:val="20"/>
                <w:szCs w:val="20"/>
                <w:color w:val="auto"/>
              </w:rPr>
            </w:pPr>
            <w:r>
              <w:rPr>
                <w:rFonts w:ascii="Arial" w:cs="Arial" w:eastAsia="Arial" w:hAnsi="Arial"/>
                <w:sz w:val="18"/>
                <w:szCs w:val="18"/>
                <w:color w:val="auto"/>
                <w:w w:val="89"/>
              </w:rPr>
              <w:t>1115-W-02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1115-GC-01</w:t>
            </w:r>
          </w:p>
        </w:tc>
      </w:tr>
      <w:tr>
        <w:trPr>
          <w:trHeight w:val="370"/>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Warrant Coverage</w:t>
            </w:r>
          </w:p>
        </w:tc>
        <w:tc>
          <w:tcPr>
            <w:tcW w:w="1940" w:type="dxa"/>
            <w:vAlign w:val="bottom"/>
          </w:tcPr>
          <w:p>
            <w:pPr>
              <w:spacing w:after="0"/>
              <w:rPr>
                <w:sz w:val="24"/>
                <w:szCs w:val="24"/>
                <w:color w:val="auto"/>
              </w:rPr>
            </w:pPr>
          </w:p>
        </w:tc>
        <w:tc>
          <w:tcPr>
            <w:tcW w:w="32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Number of Shares</w:t>
            </w: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Price Per Share</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1"/>
              </w:rPr>
              <w:t>Type of Stock</w:t>
            </w:r>
          </w:p>
        </w:tc>
      </w:tr>
      <w:tr>
        <w:trPr>
          <w:trHeight w:val="203"/>
        </w:trPr>
        <w:tc>
          <w:tcPr>
            <w:tcW w:w="310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$600,000 (3% of $20,000,000)</w:t>
            </w:r>
          </w:p>
        </w:tc>
        <w:tc>
          <w:tcPr>
            <w:tcW w:w="2320" w:type="dxa"/>
            <w:vAlign w:val="bottom"/>
            <w:tcBorders>
              <w:top w:val="single" w:sz="8" w:color="auto"/>
            </w:tcBorders>
            <w:shd w:val="clear" w:color="auto" w:fill="CCEEFF"/>
          </w:tcPr>
          <w:p>
            <w:pPr>
              <w:jc w:val="right"/>
              <w:ind w:right="775"/>
              <w:spacing w:after="0" w:line="203" w:lineRule="exact"/>
              <w:rPr>
                <w:sz w:val="20"/>
                <w:szCs w:val="20"/>
                <w:color w:val="auto"/>
              </w:rPr>
            </w:pPr>
            <w:r>
              <w:rPr>
                <w:rFonts w:ascii="Arial" w:cs="Arial" w:eastAsia="Arial" w:hAnsi="Arial"/>
                <w:sz w:val="18"/>
                <w:szCs w:val="18"/>
                <w:color w:val="auto"/>
              </w:rPr>
              <w:t>262,008</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879"/>
              <w:spacing w:after="0" w:line="203" w:lineRule="exact"/>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Common Stock</w:t>
            </w:r>
          </w:p>
        </w:tc>
      </w:tr>
      <w:tr>
        <w:trPr>
          <w:trHeight w:val="43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ONTACT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tc>
        <w:tc>
          <w:tcPr>
            <w:tcW w:w="2920" w:type="dxa"/>
            <w:vAlign w:val="bottom"/>
          </w:tcPr>
          <w:p>
            <w:pPr>
              <w:spacing w:after="0"/>
              <w:rPr>
                <w:sz w:val="24"/>
                <w:szCs w:val="24"/>
                <w:color w:val="auto"/>
              </w:rPr>
            </w:pPr>
          </w:p>
        </w:tc>
      </w:tr>
      <w:tr>
        <w:trPr>
          <w:trHeight w:val="384"/>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740" w:type="dxa"/>
            <w:vAlign w:val="bottom"/>
            <w:gridSpan w:val="4"/>
          </w:tcPr>
          <w:p>
            <w:pPr>
              <w:spacing w:after="0"/>
              <w:rPr>
                <w:sz w:val="24"/>
                <w:szCs w:val="24"/>
                <w:color w:val="auto"/>
              </w:rPr>
            </w:pPr>
          </w:p>
        </w:tc>
        <w:tc>
          <w:tcPr>
            <w:tcW w:w="3200" w:type="dxa"/>
            <w:vAlign w:val="bottom"/>
            <w:tcBorders>
              <w:bottom w:val="single" w:sz="8" w:color="auto"/>
            </w:tcBorders>
            <w:gridSpan w:val="3"/>
          </w:tcPr>
          <w:p>
            <w:pPr>
              <w:jc w:val="center"/>
              <w:ind w:left="1595"/>
              <w:spacing w:after="0"/>
              <w:rPr>
                <w:sz w:val="20"/>
                <w:szCs w:val="20"/>
                <w:color w:val="auto"/>
              </w:rPr>
            </w:pPr>
            <w:r>
              <w:rPr>
                <w:rFonts w:ascii="Arial" w:cs="Arial" w:eastAsia="Arial" w:hAnsi="Arial"/>
                <w:sz w:val="14"/>
                <w:szCs w:val="14"/>
                <w:b w:val="1"/>
                <w:bCs w:val="1"/>
                <w:color w:val="auto"/>
                <w:w w:val="90"/>
              </w:rPr>
              <w:t>Address For Notices</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Contact Person</w:t>
            </w:r>
          </w:p>
        </w:tc>
      </w:tr>
      <w:tr>
        <w:trPr>
          <w:trHeight w:val="188"/>
        </w:trPr>
        <w:tc>
          <w:tcPr>
            <w:tcW w:w="3100" w:type="dxa"/>
            <w:vAlign w:val="bottom"/>
            <w:gridSpan w:val="5"/>
          </w:tcPr>
          <w:p>
            <w:pPr>
              <w:spacing w:after="0" w:line="189" w:lineRule="exact"/>
              <w:rPr>
                <w:sz w:val="20"/>
                <w:szCs w:val="20"/>
                <w:color w:val="auto"/>
              </w:rPr>
            </w:pPr>
            <w:r>
              <w:rPr>
                <w:rFonts w:ascii="Arial" w:cs="Arial" w:eastAsia="Arial" w:hAnsi="Arial"/>
                <w:sz w:val="18"/>
                <w:szCs w:val="18"/>
                <w:color w:val="auto"/>
              </w:rPr>
              <w:t>TriplePoint Capital LLC</w:t>
            </w:r>
          </w:p>
        </w:tc>
        <w:tc>
          <w:tcPr>
            <w:tcW w:w="488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0"/>
              </w:rPr>
              <w:t>2755 Sand Hill Road, Ste. 150</w:t>
            </w:r>
          </w:p>
        </w:tc>
        <w:tc>
          <w:tcPr>
            <w:tcW w:w="100" w:type="dxa"/>
            <w:vAlign w:val="bottom"/>
          </w:tcPr>
          <w:p>
            <w:pPr>
              <w:spacing w:after="0"/>
              <w:rPr>
                <w:sz w:val="16"/>
                <w:szCs w:val="16"/>
                <w:color w:val="auto"/>
              </w:rPr>
            </w:pPr>
          </w:p>
        </w:tc>
        <w:tc>
          <w:tcPr>
            <w:tcW w:w="2920" w:type="dxa"/>
            <w:vAlign w:val="bottom"/>
          </w:tcPr>
          <w:p>
            <w:pPr>
              <w:jc w:val="center"/>
              <w:spacing w:after="0" w:line="189" w:lineRule="exact"/>
              <w:rPr>
                <w:sz w:val="20"/>
                <w:szCs w:val="20"/>
                <w:color w:val="auto"/>
              </w:rPr>
            </w:pPr>
            <w:r>
              <w:rPr>
                <w:rFonts w:ascii="Arial" w:cs="Arial" w:eastAsia="Arial" w:hAnsi="Arial"/>
                <w:sz w:val="18"/>
                <w:szCs w:val="18"/>
                <w:color w:val="auto"/>
                <w:w w:val="89"/>
              </w:rPr>
              <w:t>Sajal Srivastava, President</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98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Menlo Park, CA 94025</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Tel: (650) 233-2102</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0" w:type="dxa"/>
            <w:vAlign w:val="bottom"/>
            <w:gridSpan w:val="3"/>
          </w:tcPr>
          <w:p>
            <w:pPr>
              <w:jc w:val="center"/>
              <w:ind w:left="1595"/>
              <w:spacing w:after="0"/>
              <w:rPr>
                <w:sz w:val="20"/>
                <w:szCs w:val="20"/>
                <w:color w:val="auto"/>
              </w:rPr>
            </w:pPr>
            <w:r>
              <w:rPr>
                <w:rFonts w:ascii="Arial" w:cs="Arial" w:eastAsia="Arial" w:hAnsi="Arial"/>
                <w:sz w:val="18"/>
                <w:szCs w:val="18"/>
                <w:color w:val="auto"/>
                <w:w w:val="91"/>
              </w:rPr>
              <w:t>Tel: (650) 854-2090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Fax: (650) 854-1850</w:t>
            </w:r>
          </w:p>
        </w:tc>
      </w:tr>
      <w:tr>
        <w:trPr>
          <w:trHeight w:val="230"/>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0" w:type="dxa"/>
            <w:vAlign w:val="bottom"/>
            <w:gridSpan w:val="3"/>
          </w:tcPr>
          <w:p>
            <w:pPr>
              <w:jc w:val="center"/>
              <w:ind w:left="1595"/>
              <w:spacing w:after="0"/>
              <w:rPr>
                <w:sz w:val="20"/>
                <w:szCs w:val="20"/>
                <w:color w:val="auto"/>
              </w:rPr>
            </w:pPr>
            <w:r>
              <w:rPr>
                <w:rFonts w:ascii="Arial" w:cs="Arial" w:eastAsia="Arial" w:hAnsi="Arial"/>
                <w:sz w:val="18"/>
                <w:szCs w:val="18"/>
                <w:color w:val="auto"/>
                <w:w w:val="90"/>
              </w:rPr>
              <w:t>Fax: (650) 854-1850</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email: legal@triplepointcapital.com</w:t>
            </w:r>
          </w:p>
        </w:tc>
      </w:tr>
      <w:tr>
        <w:trPr>
          <w:trHeight w:val="4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4"/>
                <w:szCs w:val="14"/>
                <w:b w:val="1"/>
                <w:bCs w:val="1"/>
                <w:color w:val="auto"/>
              </w:rPr>
              <w:t>OUR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ONTACT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tc>
        <w:tc>
          <w:tcPr>
            <w:tcW w:w="2920" w:type="dxa"/>
            <w:vAlign w:val="bottom"/>
          </w:tcPr>
          <w:p>
            <w:pPr>
              <w:spacing w:after="0"/>
              <w:rPr>
                <w:sz w:val="24"/>
                <w:szCs w:val="24"/>
                <w:color w:val="auto"/>
              </w:rPr>
            </w:pPr>
          </w:p>
        </w:tc>
      </w:tr>
      <w:tr>
        <w:trPr>
          <w:trHeight w:val="384"/>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Customer Name</w:t>
            </w:r>
          </w:p>
        </w:tc>
        <w:tc>
          <w:tcPr>
            <w:tcW w:w="2100" w:type="dxa"/>
            <w:vAlign w:val="bottom"/>
            <w:gridSpan w:val="2"/>
          </w:tcPr>
          <w:p>
            <w:pPr>
              <w:spacing w:after="0"/>
              <w:rPr>
                <w:sz w:val="24"/>
                <w:szCs w:val="24"/>
                <w:color w:val="auto"/>
              </w:rPr>
            </w:pPr>
          </w:p>
        </w:tc>
        <w:tc>
          <w:tcPr>
            <w:tcW w:w="3200" w:type="dxa"/>
            <w:vAlign w:val="bottom"/>
            <w:tcBorders>
              <w:bottom w:val="single" w:sz="8" w:color="auto"/>
            </w:tcBorders>
            <w:gridSpan w:val="3"/>
          </w:tcPr>
          <w:p>
            <w:pPr>
              <w:jc w:val="center"/>
              <w:ind w:left="1595"/>
              <w:spacing w:after="0"/>
              <w:rPr>
                <w:sz w:val="20"/>
                <w:szCs w:val="20"/>
                <w:color w:val="auto"/>
              </w:rPr>
            </w:pPr>
            <w:r>
              <w:rPr>
                <w:rFonts w:ascii="Arial" w:cs="Arial" w:eastAsia="Arial" w:hAnsi="Arial"/>
                <w:sz w:val="14"/>
                <w:szCs w:val="14"/>
                <w:b w:val="1"/>
                <w:bCs w:val="1"/>
                <w:color w:val="auto"/>
                <w:w w:val="90"/>
              </w:rPr>
              <w:t>Address For Notices</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Contact Person</w:t>
            </w:r>
          </w:p>
        </w:tc>
      </w:tr>
      <w:tr>
        <w:trPr>
          <w:trHeight w:val="188"/>
        </w:trPr>
        <w:tc>
          <w:tcPr>
            <w:tcW w:w="3100" w:type="dxa"/>
            <w:vAlign w:val="bottom"/>
            <w:gridSpan w:val="5"/>
          </w:tcPr>
          <w:p>
            <w:pPr>
              <w:spacing w:after="0" w:line="189" w:lineRule="exact"/>
              <w:rPr>
                <w:sz w:val="20"/>
                <w:szCs w:val="20"/>
                <w:color w:val="auto"/>
              </w:rPr>
            </w:pPr>
            <w:r>
              <w:rPr>
                <w:rFonts w:ascii="Arial" w:cs="Arial" w:eastAsia="Arial" w:hAnsi="Arial"/>
                <w:sz w:val="18"/>
                <w:szCs w:val="18"/>
                <w:color w:val="auto"/>
              </w:rPr>
              <w:t>Personalis, Inc.</w:t>
            </w:r>
          </w:p>
        </w:tc>
        <w:tc>
          <w:tcPr>
            <w:tcW w:w="3200" w:type="dxa"/>
            <w:vAlign w:val="bottom"/>
            <w:gridSpan w:val="3"/>
          </w:tcPr>
          <w:p>
            <w:pPr>
              <w:jc w:val="center"/>
              <w:ind w:left="1595"/>
              <w:spacing w:after="0" w:line="189" w:lineRule="exact"/>
              <w:rPr>
                <w:sz w:val="20"/>
                <w:szCs w:val="20"/>
                <w:color w:val="auto"/>
              </w:rPr>
            </w:pPr>
            <w:r>
              <w:rPr>
                <w:rFonts w:ascii="Arial" w:cs="Arial" w:eastAsia="Arial" w:hAnsi="Arial"/>
                <w:sz w:val="18"/>
                <w:szCs w:val="18"/>
                <w:color w:val="auto"/>
                <w:w w:val="94"/>
              </w:rPr>
              <w:t>1330 O’Brien Drive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jc w:val="center"/>
              <w:spacing w:after="0" w:line="189" w:lineRule="exact"/>
              <w:rPr>
                <w:sz w:val="20"/>
                <w:szCs w:val="20"/>
                <w:color w:val="auto"/>
              </w:rPr>
            </w:pPr>
            <w:r>
              <w:rPr>
                <w:rFonts w:ascii="Arial" w:cs="Arial" w:eastAsia="Arial" w:hAnsi="Arial"/>
                <w:sz w:val="18"/>
                <w:szCs w:val="18"/>
                <w:color w:val="auto"/>
                <w:w w:val="94"/>
              </w:rPr>
              <w:t>Carol Tillis, VP Finance &amp;</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98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Menlo Park, CA 94025</w:t>
            </w:r>
          </w:p>
        </w:tc>
        <w:tc>
          <w:tcPr>
            <w:tcW w:w="2920" w:type="dxa"/>
            <w:vAlign w:val="bottom"/>
          </w:tcPr>
          <w:p>
            <w:pPr>
              <w:jc w:val="center"/>
              <w:spacing w:after="0"/>
              <w:rPr>
                <w:sz w:val="20"/>
                <w:szCs w:val="20"/>
                <w:color w:val="auto"/>
              </w:rPr>
            </w:pPr>
            <w:r>
              <w:rPr>
                <w:rFonts w:ascii="Arial" w:cs="Arial" w:eastAsia="Arial" w:hAnsi="Arial"/>
                <w:sz w:val="18"/>
                <w:szCs w:val="18"/>
                <w:color w:val="auto"/>
                <w:w w:val="94"/>
              </w:rPr>
              <w:t>Administration</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Tel: (650) 752-1330</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Fax: (650) 752-1301</w:t>
            </w:r>
          </w:p>
        </w:tc>
      </w:tr>
      <w:tr>
        <w:trPr>
          <w:trHeight w:val="230"/>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email: carol.tillis@personalis. com</w:t>
            </w:r>
          </w:p>
        </w:tc>
      </w:tr>
    </w:tbl>
    <w:p>
      <w:pPr>
        <w:spacing w:after="0" w:line="359" w:lineRule="exact"/>
        <w:rPr>
          <w:sz w:val="20"/>
          <w:szCs w:val="20"/>
          <w:color w:val="auto"/>
        </w:rPr>
      </w:pPr>
    </w:p>
    <w:p>
      <w:pPr>
        <w:ind w:left="430" w:hanging="430"/>
        <w:spacing w:after="0"/>
        <w:tabs>
          <w:tab w:leader="none" w:pos="430" w:val="left"/>
        </w:tabs>
        <w:numPr>
          <w:ilvl w:val="0"/>
          <w:numId w:val="25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WHAT YOU AGREE TO GRANT US</w:t>
      </w:r>
    </w:p>
    <w:p>
      <w:pPr>
        <w:spacing w:after="0" w:line="121" w:lineRule="exact"/>
        <w:rPr>
          <w:sz w:val="20"/>
          <w:szCs w:val="20"/>
          <w:color w:val="auto"/>
        </w:rPr>
      </w:pPr>
    </w:p>
    <w:p>
      <w:pPr>
        <w:ind w:left="10" w:right="20"/>
        <w:spacing w:after="0" w:line="263" w:lineRule="auto"/>
        <w:rPr>
          <w:sz w:val="20"/>
          <w:szCs w:val="20"/>
          <w:color w:val="auto"/>
        </w:rPr>
      </w:pPr>
      <w:r>
        <w:rPr>
          <w:rFonts w:ascii="Arial" w:cs="Arial" w:eastAsia="Arial" w:hAnsi="Arial"/>
          <w:sz w:val="18"/>
          <w:szCs w:val="18"/>
          <w:color w:val="auto"/>
        </w:rPr>
        <w:t>You grant to Us and We are entitled, upon the terms and subject to the conditions set forth in this Warrant Agreement, to purchase from You, at a price per share equal to the Exercise Price, that number of fully paid and non-assessable shares of Your Warrant Stock equal to Six Hundred Thousand Dollars ($600,000), divided by the Exercise Price.</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375" w:name="page376"/>
    <w:bookmarkEnd w:id="375"/>
    <w:p>
      <w:pPr>
        <w:ind w:left="1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of Warrant Stock and the Exercise Price of such Warrant Stock are subject to adjustment as provided in Section 4 hereof.</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purposes of this Warrant Agreement, the following capitalized terms have the meanings given below:</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“Exercise Price” means $2.29.</w:t>
      </w:r>
    </w:p>
    <w:p>
      <w:pPr>
        <w:spacing w:after="0" w:line="117" w:lineRule="exact"/>
        <w:rPr>
          <w:sz w:val="20"/>
          <w:szCs w:val="20"/>
          <w:color w:val="auto"/>
        </w:rPr>
      </w:pPr>
    </w:p>
    <w:p>
      <w:pPr>
        <w:ind w:left="450" w:right="280"/>
        <w:spacing w:after="0" w:line="277" w:lineRule="auto"/>
        <w:rPr>
          <w:sz w:val="20"/>
          <w:szCs w:val="20"/>
          <w:color w:val="auto"/>
        </w:rPr>
      </w:pPr>
      <w:r>
        <w:rPr>
          <w:rFonts w:ascii="Arial" w:cs="Arial" w:eastAsia="Arial" w:hAnsi="Arial"/>
          <w:sz w:val="18"/>
          <w:szCs w:val="18"/>
          <w:color w:val="auto"/>
        </w:rPr>
        <w:t>“Warrant Stock” means Your common stock, par value $0.0001 authorized under Your Certificate of Incorporation as in effect on the Effective Date.</w:t>
      </w:r>
    </w:p>
    <w:p>
      <w:pPr>
        <w:spacing w:after="0" w:line="170" w:lineRule="exact"/>
        <w:rPr>
          <w:sz w:val="20"/>
          <w:szCs w:val="20"/>
          <w:color w:val="auto"/>
        </w:rPr>
      </w:pPr>
    </w:p>
    <w:p>
      <w:pPr>
        <w:ind w:left="10"/>
        <w:spacing w:after="0" w:line="263" w:lineRule="auto"/>
        <w:rPr>
          <w:sz w:val="20"/>
          <w:szCs w:val="20"/>
          <w:color w:val="auto"/>
        </w:rPr>
      </w:pPr>
      <w:r>
        <w:rPr>
          <w:rFonts w:ascii="Arial" w:cs="Arial" w:eastAsia="Arial" w:hAnsi="Arial"/>
          <w:sz w:val="18"/>
          <w:szCs w:val="18"/>
          <w:color w:val="auto"/>
        </w:rPr>
        <w:t>The Parties agree that this Warrant Agreement to purchase the Warrant Stock has a fair market value equal to $100 and that $100 of the issue price of the investment will be allocable to the Warrant Agreement and the balance shall be allocable to the Loan Agreement for income tax purposes and the original issue discount on the Loan Agreement shall be considered to be zero.</w:t>
      </w:r>
    </w:p>
    <w:p>
      <w:pPr>
        <w:spacing w:after="0" w:line="327" w:lineRule="exact"/>
        <w:rPr>
          <w:sz w:val="20"/>
          <w:szCs w:val="20"/>
          <w:color w:val="auto"/>
        </w:rPr>
      </w:pPr>
    </w:p>
    <w:p>
      <w:pPr>
        <w:ind w:left="430" w:hanging="430"/>
        <w:spacing w:after="0"/>
        <w:tabs>
          <w:tab w:leader="none" w:pos="430" w:val="left"/>
        </w:tabs>
        <w:numPr>
          <w:ilvl w:val="0"/>
          <w:numId w:val="25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WHEN ARE WE ENTITLED TO PURCHASE YOUR WARRANT STOCK</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40"/>
        <w:spacing w:after="0" w:line="277" w:lineRule="auto"/>
        <w:rPr>
          <w:sz w:val="20"/>
          <w:szCs w:val="20"/>
          <w:color w:val="auto"/>
        </w:rPr>
      </w:pPr>
      <w:r>
        <w:rPr>
          <w:rFonts w:ascii="Arial" w:cs="Arial" w:eastAsia="Arial" w:hAnsi="Arial"/>
          <w:sz w:val="18"/>
          <w:szCs w:val="18"/>
          <w:color w:val="auto"/>
        </w:rPr>
        <w:t>The term of this Warrant Agreement and Our right to purchase Warrant Stock will begin the Effective Date, and shall be available for the greater of (i) 7 years from the Effective Date or (ii) 5 years from the effective date of Your initial public offering.</w:t>
      </w:r>
    </w:p>
    <w:p>
      <w:pPr>
        <w:spacing w:after="0" w:line="314" w:lineRule="exact"/>
        <w:rPr>
          <w:sz w:val="20"/>
          <w:szCs w:val="20"/>
          <w:color w:val="auto"/>
        </w:rPr>
      </w:pPr>
    </w:p>
    <w:p>
      <w:pPr>
        <w:ind w:left="430" w:hanging="430"/>
        <w:spacing w:after="0"/>
        <w:tabs>
          <w:tab w:leader="none" w:pos="430" w:val="left"/>
        </w:tabs>
        <w:numPr>
          <w:ilvl w:val="0"/>
          <w:numId w:val="25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HOW WE MAY PURCHASE YOUR WARRANT STOCK</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20"/>
        <w:spacing w:after="0" w:line="255" w:lineRule="auto"/>
        <w:rPr>
          <w:sz w:val="20"/>
          <w:szCs w:val="20"/>
          <w:color w:val="auto"/>
        </w:rPr>
      </w:pPr>
      <w:r>
        <w:rPr>
          <w:rFonts w:ascii="Arial" w:cs="Arial" w:eastAsia="Arial" w:hAnsi="Arial"/>
          <w:sz w:val="18"/>
          <w:szCs w:val="18"/>
          <w:color w:val="auto"/>
        </w:rPr>
        <w:t xml:space="preserve">We may exercise Our purchase rights, in whole or in part, at any time, or from time to time, prior to the expiration of the term of this Warrant Agreement, by giving You a completed and executed </w:t>
      </w:r>
      <w:r>
        <w:rPr>
          <w:rFonts w:ascii="Arial" w:cs="Arial" w:eastAsia="Arial" w:hAnsi="Arial"/>
          <w:sz w:val="18"/>
          <w:szCs w:val="18"/>
          <w:b w:val="1"/>
          <w:bCs w:val="1"/>
          <w:color w:val="auto"/>
        </w:rPr>
        <w:t>Notice of Exercise</w:t>
      </w:r>
      <w:r>
        <w:rPr>
          <w:rFonts w:ascii="Arial" w:cs="Arial" w:eastAsia="Arial" w:hAnsi="Arial"/>
          <w:sz w:val="18"/>
          <w:szCs w:val="18"/>
          <w:color w:val="auto"/>
        </w:rPr>
        <w:t xml:space="preserve"> in the form attached as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Promptly upon receipt of the Notice of Exercise and in any event no later than twenty-one (21) days after you have received Our Notice of Exercise and payment of the aggregate Exercise Price for the shares purchased, You will issue to Us a certificate for the number of shares of Warrant Stock that We have purchased and You will execute the </w:t>
      </w:r>
      <w:r>
        <w:rPr>
          <w:rFonts w:ascii="Arial" w:cs="Arial" w:eastAsia="Arial" w:hAnsi="Arial"/>
          <w:sz w:val="18"/>
          <w:szCs w:val="18"/>
          <w:b w:val="1"/>
          <w:bCs w:val="1"/>
          <w:color w:val="auto"/>
        </w:rPr>
        <w:t>Acknowledgment of Exercise</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color w:val="auto"/>
        </w:rPr>
        <w:t>Exhibit II</w:t>
      </w:r>
      <w:r>
        <w:rPr>
          <w:rFonts w:ascii="Arial" w:cs="Arial" w:eastAsia="Arial" w:hAnsi="Arial"/>
          <w:sz w:val="18"/>
          <w:szCs w:val="18"/>
          <w:color w:val="auto"/>
        </w:rPr>
        <w:t xml:space="preserve"> indicating the number of shares which will be available to Us for future purchases, if any.</w:t>
      </w:r>
    </w:p>
    <w:p>
      <w:pPr>
        <w:spacing w:after="0" w:line="187" w:lineRule="exact"/>
        <w:rPr>
          <w:sz w:val="20"/>
          <w:szCs w:val="20"/>
          <w:color w:val="auto"/>
        </w:rPr>
      </w:pPr>
    </w:p>
    <w:p>
      <w:pPr>
        <w:ind w:left="10" w:right="380"/>
        <w:spacing w:after="0" w:line="281" w:lineRule="auto"/>
        <w:rPr>
          <w:sz w:val="20"/>
          <w:szCs w:val="20"/>
          <w:color w:val="auto"/>
        </w:rPr>
      </w:pPr>
      <w:r>
        <w:rPr>
          <w:rFonts w:ascii="Arial" w:cs="Arial" w:eastAsia="Arial" w:hAnsi="Arial"/>
          <w:sz w:val="18"/>
          <w:szCs w:val="18"/>
          <w:color w:val="auto"/>
        </w:rPr>
        <w:t xml:space="preserve">We may pay for the Warrant Stock by either (i) cash or check, or (ii) by the </w:t>
      </w:r>
      <w:r>
        <w:rPr>
          <w:rFonts w:ascii="Arial" w:cs="Arial" w:eastAsia="Arial" w:hAnsi="Arial"/>
          <w:sz w:val="18"/>
          <w:szCs w:val="18"/>
          <w:b w:val="1"/>
          <w:bCs w:val="1"/>
          <w:color w:val="auto"/>
        </w:rPr>
        <w:t>net issuance method</w:t>
      </w:r>
      <w:r>
        <w:rPr>
          <w:rFonts w:ascii="Arial" w:cs="Arial" w:eastAsia="Arial" w:hAnsi="Arial"/>
          <w:sz w:val="18"/>
          <w:szCs w:val="18"/>
          <w:color w:val="auto"/>
        </w:rPr>
        <w:t xml:space="preserve"> as determined below. If We elect the Net Issuance method, You will issue Warrant Stock using the following formula:</w:t>
      </w:r>
    </w:p>
    <w:p>
      <w:pPr>
        <w:spacing w:after="0" w:line="194" w:lineRule="exact"/>
        <w:rPr>
          <w:sz w:val="20"/>
          <w:szCs w:val="20"/>
          <w:color w:val="auto"/>
        </w:rPr>
      </w:pPr>
    </w:p>
    <w:p>
      <w:pPr>
        <w:ind w:left="2650"/>
        <w:spacing w:after="0"/>
        <w:rPr>
          <w:sz w:val="20"/>
          <w:szCs w:val="20"/>
          <w:color w:val="auto"/>
        </w:rPr>
      </w:pPr>
      <w:r>
        <w:rPr>
          <w:rFonts w:ascii="Arial" w:cs="Arial" w:eastAsia="Arial" w:hAnsi="Arial"/>
          <w:sz w:val="18"/>
          <w:szCs w:val="18"/>
          <w:u w:val="single" w:color="auto"/>
          <w:color w:val="auto"/>
        </w:rPr>
        <w:t>X = Y(A-B)</w:t>
      </w:r>
    </w:p>
    <w:p>
      <w:pPr>
        <w:spacing w:after="0" w:line="23" w:lineRule="exact"/>
        <w:rPr>
          <w:sz w:val="20"/>
          <w:szCs w:val="20"/>
          <w:color w:val="auto"/>
        </w:rPr>
      </w:pPr>
    </w:p>
    <w:p>
      <w:pPr>
        <w:ind w:left="309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1530"/>
        <w:spacing w:after="0"/>
        <w:tabs>
          <w:tab w:leader="none" w:pos="2629" w:val="left"/>
        </w:tabs>
        <w:rPr>
          <w:sz w:val="20"/>
          <w:szCs w:val="20"/>
          <w:color w:val="auto"/>
        </w:rPr>
      </w:pPr>
      <w:r>
        <w:rPr>
          <w:rFonts w:ascii="Arial" w:cs="Arial" w:eastAsia="Arial" w:hAnsi="Arial"/>
          <w:sz w:val="18"/>
          <w:szCs w:val="18"/>
          <w:b w:val="1"/>
          <w:bCs w:val="1"/>
          <w:color w:val="auto"/>
        </w:rPr>
        <w:t xml:space="preserve">Where: </w:t>
      </w: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Warrant Stock to be issued to Us.</w:t>
      </w:r>
    </w:p>
    <w:p>
      <w:pPr>
        <w:spacing w:after="0" w:line="9" w:lineRule="exact"/>
        <w:rPr>
          <w:sz w:val="20"/>
          <w:szCs w:val="20"/>
          <w:color w:val="auto"/>
        </w:rPr>
      </w:pPr>
    </w:p>
    <w:p>
      <w:pPr>
        <w:ind w:left="2150"/>
        <w:spacing w:after="0"/>
        <w:tabs>
          <w:tab w:leader="none" w:pos="2629"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shares of Warrant Stock We request to be exercised under this Warrant Agreement.</w:t>
      </w:r>
    </w:p>
    <w:p>
      <w:pPr>
        <w:spacing w:after="0" w:line="9" w:lineRule="exact"/>
        <w:rPr>
          <w:sz w:val="20"/>
          <w:szCs w:val="20"/>
          <w:color w:val="auto"/>
        </w:rPr>
      </w:pPr>
    </w:p>
    <w:p>
      <w:pPr>
        <w:ind w:left="2170"/>
        <w:spacing w:after="0"/>
        <w:tabs>
          <w:tab w:leader="none" w:pos="2629"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share of Warrant Stock.</w:t>
      </w:r>
    </w:p>
    <w:p>
      <w:pPr>
        <w:spacing w:after="0" w:line="9" w:lineRule="exact"/>
        <w:rPr>
          <w:sz w:val="20"/>
          <w:szCs w:val="20"/>
          <w:color w:val="auto"/>
        </w:rPr>
      </w:pPr>
    </w:p>
    <w:p>
      <w:pPr>
        <w:ind w:left="2170"/>
        <w:spacing w:after="0"/>
        <w:tabs>
          <w:tab w:leader="none" w:pos="2629"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purposes of the above calculation, current fair market value of Warrant Stock shall mean with respect to each share of Warrant Stock:</w:t>
      </w:r>
    </w:p>
    <w:p>
      <w:pPr>
        <w:spacing w:after="0" w:line="221" w:lineRule="exact"/>
        <w:rPr>
          <w:sz w:val="20"/>
          <w:szCs w:val="20"/>
          <w:color w:val="auto"/>
        </w:rPr>
      </w:pPr>
    </w:p>
    <w:p>
      <w:pPr>
        <w:ind w:left="10" w:right="140"/>
        <w:spacing w:after="0" w:line="266" w:lineRule="auto"/>
        <w:rPr>
          <w:sz w:val="20"/>
          <w:szCs w:val="20"/>
          <w:color w:val="auto"/>
        </w:rPr>
      </w:pPr>
      <w:r>
        <w:rPr>
          <w:rFonts w:ascii="Arial" w:cs="Arial" w:eastAsia="Arial" w:hAnsi="Arial"/>
          <w:sz w:val="18"/>
          <w:szCs w:val="18"/>
          <w:b w:val="1"/>
          <w:bCs w:val="1"/>
          <w:color w:val="auto"/>
        </w:rPr>
        <w:t xml:space="preserve">If the exercise is in connection with the initial public offering of Your Common Stock, </w:t>
      </w:r>
      <w:r>
        <w:rPr>
          <w:rFonts w:ascii="Arial" w:cs="Arial" w:eastAsia="Arial" w:hAnsi="Arial"/>
          <w:sz w:val="18"/>
          <w:szCs w:val="18"/>
          <w:color w:val="auto"/>
        </w:rPr>
        <w:t>and if Your registration statement relating to such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has been declared effective by the SEC, then the fair market value per share shall be the product of (x) the initial “Price to Public” specified in the final prospectus of the offering and (y) the number of shares of Warrant Stock;</w:t>
      </w:r>
    </w:p>
    <w:p>
      <w:pPr>
        <w:spacing w:after="0" w:line="28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If this Warrant Agreement is exercised after, and not in connection with Your initial public offering, and:</w:t>
      </w:r>
    </w:p>
    <w:p>
      <w:pPr>
        <w:spacing w:after="0" w:line="134" w:lineRule="exact"/>
        <w:rPr>
          <w:sz w:val="20"/>
          <w:szCs w:val="20"/>
          <w:color w:val="auto"/>
        </w:rPr>
      </w:pPr>
    </w:p>
    <w:p>
      <w:pPr>
        <w:ind w:left="430" w:hanging="322"/>
        <w:spacing w:after="0" w:line="263" w:lineRule="auto"/>
        <w:tabs>
          <w:tab w:leader="none" w:pos="43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traded on a securities exchange, the fair market value shall be the product of (x) the average of the closing prices over a five (5) day period ending three (3) days before the day the current fair market value of the securities is being determined and (y) the number of shares Warrant Stock; or</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3" w:right="459" w:bottom="1440" w:gutter="0" w:footer="0" w:header="0"/>
        </w:sectPr>
      </w:pPr>
    </w:p>
    <w:bookmarkStart w:id="376" w:name="page377"/>
    <w:bookmarkEnd w:id="376"/>
    <w:p>
      <w:pPr>
        <w:ind w:left="430" w:right="220" w:hanging="322"/>
        <w:spacing w:after="0" w:line="263" w:lineRule="auto"/>
        <w:tabs>
          <w:tab w:leader="none" w:pos="43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actively traded over-the-counter, the fair market value shall be the product of (x) the average of the closing bid and asked prices quoted on the NASDAQ system (or similar system) over the five (5) day period ending three (3) days before the day the current fair market value of the securities is being determined and (y) the number of shares of Warrant Stock.</w:t>
      </w:r>
    </w:p>
    <w:p>
      <w:pPr>
        <w:spacing w:after="0" w:line="28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If this Warrant Agreement is exercised prior to or after Your initial public offering, and:</w:t>
      </w:r>
    </w:p>
    <w:p>
      <w:pPr>
        <w:spacing w:after="0" w:line="134" w:lineRule="exact"/>
        <w:rPr>
          <w:sz w:val="20"/>
          <w:szCs w:val="20"/>
          <w:color w:val="auto"/>
        </w:rPr>
      </w:pPr>
    </w:p>
    <w:p>
      <w:pPr>
        <w:ind w:left="430" w:right="20" w:hanging="322"/>
        <w:spacing w:after="0" w:line="254" w:lineRule="auto"/>
        <w:tabs>
          <w:tab w:leader="none" w:pos="43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Your Common Stock is not listed on any securities exchange or quoted in the NASDAQ System or the over-the-counter market, the current fair market value of Warrant Stock shall be the product of (x) the fair market value of a share of Your Common Stock (the highest price per share which You could obtain from a willing buyer (not a current employee or director) for shares of Common Stock sold, from authorized but unissued shares), as determined in good faith by Your Board of Directors and (y) the number of shares of Warrant Stock, unless You shall become subject to a merger, acquisition or other consolidation pursuant to which You are not the surviving party, in which case the fair market value of Warrant Stock shall be deemed to be the value received by the holders of Your Warrant Stock on a common equivalent basis pursuant to such merger or acquisition or other consolidation.</w:t>
      </w:r>
    </w:p>
    <w:p>
      <w:pPr>
        <w:spacing w:after="0" w:line="193" w:lineRule="exact"/>
        <w:rPr>
          <w:sz w:val="20"/>
          <w:szCs w:val="20"/>
          <w:color w:val="auto"/>
        </w:rPr>
      </w:pPr>
    </w:p>
    <w:p>
      <w:pPr>
        <w:ind w:left="10" w:right="160"/>
        <w:spacing w:after="0" w:line="277" w:lineRule="auto"/>
        <w:rPr>
          <w:sz w:val="20"/>
          <w:szCs w:val="20"/>
          <w:color w:val="auto"/>
        </w:rPr>
      </w:pPr>
      <w:r>
        <w:rPr>
          <w:rFonts w:ascii="Arial" w:cs="Arial" w:eastAsia="Arial" w:hAnsi="Arial"/>
          <w:sz w:val="18"/>
          <w:szCs w:val="18"/>
          <w:color w:val="auto"/>
        </w:rPr>
        <w:t>During the term of this Warrant Agreement, You will at all times from and after the Effective Date have authorized and reserved a sufficient number of shares of Warrant Stock to provide for the exercise of our rights to purchase Warrant Stock.</w:t>
      </w:r>
    </w:p>
    <w:p>
      <w:pPr>
        <w:spacing w:after="0" w:line="170" w:lineRule="exact"/>
        <w:rPr>
          <w:sz w:val="20"/>
          <w:szCs w:val="20"/>
          <w:color w:val="auto"/>
        </w:rPr>
      </w:pPr>
    </w:p>
    <w:p>
      <w:pPr>
        <w:ind w:left="10" w:right="200"/>
        <w:spacing w:after="0" w:line="263" w:lineRule="auto"/>
        <w:rPr>
          <w:sz w:val="20"/>
          <w:szCs w:val="20"/>
          <w:color w:val="auto"/>
        </w:rPr>
      </w:pPr>
      <w:r>
        <w:rPr>
          <w:rFonts w:ascii="Arial" w:cs="Arial" w:eastAsia="Arial" w:hAnsi="Arial"/>
          <w:sz w:val="18"/>
          <w:szCs w:val="18"/>
          <w:color w:val="auto"/>
        </w:rPr>
        <w:t>If We elect to exercise part of the Warrant Agreement, You will promptly issue to Us an amended Warrant Agreement stating the remaining number of shares that are available. All other terms and conditions of that amended Warrant Agreement shall be identical to those contained in this Warrant Agreement.</w:t>
      </w:r>
    </w:p>
    <w:p>
      <w:pPr>
        <w:spacing w:after="0" w:line="183" w:lineRule="exact"/>
        <w:rPr>
          <w:sz w:val="20"/>
          <w:szCs w:val="20"/>
          <w:color w:val="auto"/>
        </w:rPr>
      </w:pPr>
    </w:p>
    <w:p>
      <w:pPr>
        <w:ind w:left="10" w:right="160"/>
        <w:spacing w:after="0" w:line="256" w:lineRule="auto"/>
        <w:rPr>
          <w:sz w:val="20"/>
          <w:szCs w:val="20"/>
          <w:color w:val="auto"/>
        </w:rPr>
      </w:pPr>
      <w:r>
        <w:rPr>
          <w:rFonts w:ascii="Arial" w:cs="Arial" w:eastAsia="Arial" w:hAnsi="Arial"/>
          <w:sz w:val="18"/>
          <w:szCs w:val="18"/>
          <w:color w:val="auto"/>
        </w:rPr>
        <w:t>If at the end of the term of this Warrant Agreement, the fair market value of one share of Warrant Stock (or other security issuable upon the exercise hereof) as determined in accordance herewith is greater than the Exercise Price in effect on such date, then this Warrant Agreement shall automatically be deemed on and as of such date to be converted pursuant hereto as to all shares of Warrant Stock (or such other securities) for which it shall not previously have been exercised or converted, and You shall promptly deliver a certificate representing the shares of Warrant Stock (or such other securities) issued upon such conversion to Us.</w:t>
      </w:r>
    </w:p>
    <w:p>
      <w:pPr>
        <w:spacing w:after="0" w:line="335" w:lineRule="exact"/>
        <w:rPr>
          <w:sz w:val="20"/>
          <w:szCs w:val="20"/>
          <w:color w:val="auto"/>
        </w:rPr>
      </w:pPr>
    </w:p>
    <w:p>
      <w:pPr>
        <w:ind w:left="430" w:hanging="430"/>
        <w:spacing w:after="0"/>
        <w:tabs>
          <w:tab w:leader="none" w:pos="430" w:val="left"/>
        </w:tabs>
        <w:numPr>
          <w:ilvl w:val="0"/>
          <w:numId w:val="25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WHEN WILL THE NUMBER OF SHARES AND EXERCISE PRICE CHANGE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u w:val="single" w:color="auto"/>
          <w:color w:val="auto"/>
        </w:rPr>
      </w:pPr>
    </w:p>
    <w:p>
      <w:pPr>
        <w:ind w:left="430" w:hanging="322"/>
        <w:spacing w:after="0" w:line="288" w:lineRule="auto"/>
        <w:tabs>
          <w:tab w:leader="none" w:pos="430" w:val="left"/>
        </w:tabs>
        <w:numPr>
          <w:ilvl w:val="1"/>
          <w:numId w:val="256"/>
        </w:numPr>
        <w:rPr>
          <w:rFonts w:ascii="Arial" w:cs="Arial" w:eastAsia="Arial" w:hAnsi="Arial"/>
          <w:sz w:val="16"/>
          <w:szCs w:val="16"/>
          <w:color w:val="auto"/>
        </w:rPr>
      </w:pPr>
      <w:r>
        <w:rPr>
          <w:rFonts w:ascii="Arial" w:cs="Arial" w:eastAsia="Arial" w:hAnsi="Arial"/>
          <w:sz w:val="16"/>
          <w:szCs w:val="16"/>
          <w:b w:val="1"/>
          <w:bCs w:val="1"/>
          <w:color w:val="auto"/>
        </w:rPr>
        <w:t xml:space="preserve">If You are Acquired. </w:t>
      </w:r>
      <w:r>
        <w:rPr>
          <w:rFonts w:ascii="Arial" w:cs="Arial" w:eastAsia="Arial" w:hAnsi="Arial"/>
          <w:sz w:val="16"/>
          <w:szCs w:val="16"/>
          <w:color w:val="auto"/>
        </w:rPr>
        <w:t>If at any time: (i) there is a reorganization of Your stock (other than a reclassification, exchange or subdivision of Your stock</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for in this Warrant Agreement); (ii) You merge or consolidate with or into another entity, whether or not You are the surviving entity; (iii) You sell or convey, or grant an exclusive license with respect to, all or substantially all of Your assets to any other person; or (iv) there occurs any transaction or series of related transactions that result in the transfer of fifty percent (50%) or more of the outstanding voting power of the capital stock of You (each of the foregoing events are referred to as a “Merger Event”), then, as a part of such Merger Event, lawful provision shall be made so that We shall thereafter be entitled to receive, upon exercise of Our rights under this Warrant Agreement, the number of shares of common stock or other securities of the successor or surviving person resulting from such Merger Event, equal in value to that which would have been issuable if We had exercised Our rights under this Warrant Agreement immediately prior to the Merger Event. In any such case, appropriate adjustment (as determined in good faith by Your Board of Directors) shall be made in the application of the provisions of this Warrant Agreement with respect to Our rights and interest after the Merger Event so that the provisions of this Warrant Agreement (including adjustments of the Exercise Price and number of shares of Warrant Stock purchasable) shall be applicable to the greatest extent possible.</w:t>
      </w:r>
    </w:p>
    <w:p>
      <w:pPr>
        <w:spacing w:after="0" w:line="66" w:lineRule="exact"/>
        <w:rPr>
          <w:rFonts w:ascii="Arial" w:cs="Arial" w:eastAsia="Arial" w:hAnsi="Arial"/>
          <w:sz w:val="16"/>
          <w:szCs w:val="16"/>
          <w:color w:val="auto"/>
        </w:rPr>
      </w:pPr>
    </w:p>
    <w:p>
      <w:pPr>
        <w:ind w:left="430" w:right="120" w:hanging="322"/>
        <w:spacing w:after="0" w:line="276" w:lineRule="auto"/>
        <w:tabs>
          <w:tab w:leader="none" w:pos="430"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 xml:space="preserve">If You Reclassify Your Stock. </w:t>
      </w:r>
      <w:r>
        <w:rPr>
          <w:rFonts w:ascii="Arial" w:cs="Arial" w:eastAsia="Arial" w:hAnsi="Arial"/>
          <w:sz w:val="17"/>
          <w:szCs w:val="17"/>
          <w:color w:val="auto"/>
        </w:rPr>
        <w:t>If at any time You combine, reclassify, exchange or subdivide Your securities or otherwise change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as to which purchase rights under this Warrant Agreement exist into the same or a different number of securities of any other class or classes, this Warrant Agreement will thereafter represent the right to acquire such number and kind of securities as would have been issuable as the result of such change with respect to the securities which were subject to the purchase rights under this Warrant Agreement immediately prior to such combination, reclassification, exchange, subdivision or other change.</w:t>
      </w:r>
    </w:p>
    <w:p>
      <w:pPr>
        <w:spacing w:after="0" w:line="76" w:lineRule="exact"/>
        <w:rPr>
          <w:rFonts w:ascii="Arial" w:cs="Arial" w:eastAsia="Arial" w:hAnsi="Arial"/>
          <w:sz w:val="17"/>
          <w:szCs w:val="17"/>
          <w:color w:val="auto"/>
        </w:rPr>
      </w:pPr>
    </w:p>
    <w:p>
      <w:pPr>
        <w:ind w:left="430" w:right="1140" w:hanging="322"/>
        <w:spacing w:after="0" w:line="312" w:lineRule="auto"/>
        <w:tabs>
          <w:tab w:leader="none" w:pos="430"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 xml:space="preserve">If You Subdivide or Combine Your Shares. </w:t>
      </w:r>
      <w:r>
        <w:rPr>
          <w:rFonts w:ascii="Arial" w:cs="Arial" w:eastAsia="Arial" w:hAnsi="Arial"/>
          <w:sz w:val="17"/>
          <w:szCs w:val="17"/>
          <w:color w:val="auto"/>
        </w:rPr>
        <w:t>If at anytime You combine or subdivide the Warrant Stock, the Exercise Price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proportionately decreased in the case of a subdivision, or proportionately increased in the case of a combination.</w:t>
      </w:r>
    </w:p>
    <w:p>
      <w:pPr>
        <w:spacing w:after="0" w:line="7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4" w:right="439" w:bottom="1440" w:gutter="0" w:footer="0" w:header="0"/>
        </w:sectPr>
      </w:pPr>
    </w:p>
    <w:bookmarkStart w:id="377" w:name="page378"/>
    <w:bookmarkEnd w:id="377"/>
    <w:p>
      <w:pPr>
        <w:ind w:left="430" w:right="300" w:hanging="322"/>
        <w:spacing w:after="0" w:line="289" w:lineRule="auto"/>
        <w:tabs>
          <w:tab w:leader="none" w:pos="430" w:val="left"/>
        </w:tabs>
        <w:numPr>
          <w:ilvl w:val="1"/>
          <w:numId w:val="25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Pay Stock Dividends. </w:t>
      </w:r>
      <w:r>
        <w:rPr>
          <w:rFonts w:ascii="Arial" w:cs="Arial" w:eastAsia="Arial" w:hAnsi="Arial"/>
          <w:sz w:val="16"/>
          <w:szCs w:val="16"/>
          <w:color w:val="auto"/>
        </w:rPr>
        <w:t>If at any time You pay a dividend payable in, or make any other distribution (except any distribution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the above paragraphs) of the Warrant Stock, then the Exercise Price shall be adjusted, from and after the record date of such dividend or distribution, to that price determined by multiplying the Exercise Price in effect immediately prior to such record date by a fraction</w:t>
      </w:r>
    </w:p>
    <w:p>
      <w:pPr>
        <w:spacing w:after="0" w:line="1" w:lineRule="exact"/>
        <w:rPr>
          <w:rFonts w:ascii="Arial" w:cs="Arial" w:eastAsia="Arial" w:hAnsi="Arial"/>
          <w:sz w:val="16"/>
          <w:szCs w:val="16"/>
          <w:color w:val="auto"/>
        </w:rPr>
      </w:pPr>
    </w:p>
    <w:p>
      <w:pPr>
        <w:ind w:left="430" w:right="40"/>
        <w:spacing w:after="0" w:line="252" w:lineRule="auto"/>
        <w:rPr>
          <w:rFonts w:ascii="Arial" w:cs="Arial" w:eastAsia="Arial" w:hAnsi="Arial"/>
          <w:sz w:val="16"/>
          <w:szCs w:val="16"/>
          <w:color w:val="auto"/>
        </w:rPr>
      </w:pPr>
      <w:r>
        <w:rPr>
          <w:rFonts w:ascii="Arial" w:cs="Arial" w:eastAsia="Arial" w:hAnsi="Arial"/>
          <w:sz w:val="18"/>
          <w:szCs w:val="18"/>
          <w:color w:val="auto"/>
        </w:rPr>
        <w:t>(i) the numerator of which shall be the total number of all shares of the Warrant Stock outstanding immediately prior to such dividend or distribution, and (ii) the denominator of which shall be the total number of all shares of the Warrant Stock outstanding immediately after such dividend or distribution. We will thereafter be entitled to purchase, at the Exercise Price resulting from such adjustment, the number of shares of Warrant Stock (calculated to the nearest whole share) obtained by multiplying the Exercise Price in effect immediately prior to such adjustment by the number of shares of Warrant Stock issuable upon the exercise hereof immediately prior to such adjustment and dividing the product thereof by the Exercise Price resulting from such adjustment.</w:t>
      </w:r>
    </w:p>
    <w:p>
      <w:pPr>
        <w:spacing w:after="0" w:line="336" w:lineRule="exact"/>
        <w:rPr>
          <w:rFonts w:ascii="Arial" w:cs="Arial" w:eastAsia="Arial" w:hAnsi="Arial"/>
          <w:sz w:val="16"/>
          <w:szCs w:val="16"/>
          <w:color w:val="auto"/>
        </w:rPr>
      </w:pPr>
    </w:p>
    <w:p>
      <w:pPr>
        <w:ind w:left="430" w:hanging="430"/>
        <w:spacing w:after="0"/>
        <w:tabs>
          <w:tab w:leader="none" w:pos="430" w:val="left"/>
        </w:tabs>
        <w:numPr>
          <w:ilvl w:val="0"/>
          <w:numId w:val="25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WE CAN TRANSFER THIS PLAIN ENGLISH WARRANT AGREEMENT</w:t>
      </w:r>
      <w:r>
        <w:rPr>
          <w:rFonts w:ascii="Arial" w:cs="Arial" w:eastAsia="Arial" w:hAnsi="Arial"/>
          <w:sz w:val="18"/>
          <w:szCs w:val="18"/>
          <w:b w:val="1"/>
          <w:bCs w:val="1"/>
          <w:color w:val="auto"/>
        </w:rPr>
        <w:t>.</w:t>
      </w:r>
    </w:p>
    <w:p>
      <w:pPr>
        <w:spacing w:after="0" w:line="121" w:lineRule="exact"/>
        <w:rPr>
          <w:sz w:val="20"/>
          <w:szCs w:val="20"/>
          <w:color w:val="auto"/>
        </w:rPr>
      </w:pPr>
    </w:p>
    <w:p>
      <w:pPr>
        <w:ind w:left="10"/>
        <w:spacing w:after="0" w:line="263" w:lineRule="auto"/>
        <w:rPr>
          <w:sz w:val="20"/>
          <w:szCs w:val="20"/>
          <w:color w:val="auto"/>
        </w:rPr>
      </w:pPr>
      <w:r>
        <w:rPr>
          <w:rFonts w:ascii="Arial" w:cs="Arial" w:eastAsia="Arial" w:hAnsi="Arial"/>
          <w:sz w:val="18"/>
          <w:szCs w:val="18"/>
          <w:color w:val="auto"/>
        </w:rPr>
        <w:t>Subject to the terms and conditions contained in Section 7, We (or any successor transferee) may transfer in whole or in part this Warrant Agreement and all its rights. You will record the transfer on Your books when You receive Our Notice of Transfer in the form attached hereto as Exhibit III, and Our payment of all transfer taxes and other governmental charges involved in such transfer.</w:t>
      </w:r>
    </w:p>
    <w:p>
      <w:pPr>
        <w:spacing w:after="0" w:line="327" w:lineRule="exact"/>
        <w:rPr>
          <w:sz w:val="20"/>
          <w:szCs w:val="20"/>
          <w:color w:val="auto"/>
        </w:rPr>
      </w:pPr>
    </w:p>
    <w:p>
      <w:pPr>
        <w:ind w:left="430" w:hanging="430"/>
        <w:spacing w:after="0"/>
        <w:tabs>
          <w:tab w:leader="none" w:pos="430" w:val="left"/>
        </w:tabs>
        <w:numPr>
          <w:ilvl w:val="0"/>
          <w:numId w:val="25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REPRESENTATIONS, WARRANTIES, AND COVENANTS FROM YOU</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u w:val="single" w:color="auto"/>
          <w:color w:val="auto"/>
        </w:rPr>
      </w:pPr>
    </w:p>
    <w:p>
      <w:pPr>
        <w:ind w:left="430" w:right="40" w:hanging="322"/>
        <w:spacing w:after="0" w:line="272" w:lineRule="auto"/>
        <w:tabs>
          <w:tab w:leader="none" w:pos="430" w:val="left"/>
        </w:tabs>
        <w:numPr>
          <w:ilvl w:val="1"/>
          <w:numId w:val="258"/>
        </w:numPr>
        <w:rPr>
          <w:rFonts w:ascii="Arial" w:cs="Arial" w:eastAsia="Arial" w:hAnsi="Arial"/>
          <w:sz w:val="17"/>
          <w:szCs w:val="17"/>
          <w:color w:val="auto"/>
        </w:rPr>
      </w:pPr>
      <w:r>
        <w:rPr>
          <w:rFonts w:ascii="Arial" w:cs="Arial" w:eastAsia="Arial" w:hAnsi="Arial"/>
          <w:sz w:val="17"/>
          <w:szCs w:val="17"/>
          <w:b w:val="1"/>
          <w:bCs w:val="1"/>
          <w:color w:val="auto"/>
        </w:rPr>
        <w:t xml:space="preserve">Reservation of Warrant Stock. </w:t>
      </w:r>
      <w:r>
        <w:rPr>
          <w:rFonts w:ascii="Arial" w:cs="Arial" w:eastAsia="Arial" w:hAnsi="Arial"/>
          <w:sz w:val="17"/>
          <w:szCs w:val="17"/>
          <w:color w:val="auto"/>
        </w:rPr>
        <w:t>The Warrant Stock issuable upon exercise of Our rights under this Warrant Agreement will be duly and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reserved and when issued in accordance with the provisions of this Warrant Agreement will be validly issued, fully paid and non-assessable, and will be free of any taxes, liens, charges or encumbrances of any nature whatsoever; provided, however, that the Warrant Stock issuable pursuant to this Warrant Agreement may be subject to restrictions on transfer under state and/or Federal securities laws. Upon Our exercise, You will issue to Us certificates for shares of Warrant Stock without charging Us any tax, or other cost incurred by You in connection with such exercise and the related issuance of shares of Warrant Stock. You will not be required to pay any tax, which may be payable in respect of any transfer involved and the issuance and delivery of any certificate in a name other than TriplePoint Capital LLC.</w:t>
      </w:r>
    </w:p>
    <w:p>
      <w:pPr>
        <w:spacing w:after="0" w:line="81" w:lineRule="exact"/>
        <w:rPr>
          <w:rFonts w:ascii="Arial" w:cs="Arial" w:eastAsia="Arial" w:hAnsi="Arial"/>
          <w:sz w:val="17"/>
          <w:szCs w:val="17"/>
          <w:color w:val="auto"/>
        </w:rPr>
      </w:pPr>
    </w:p>
    <w:p>
      <w:pPr>
        <w:ind w:left="430" w:right="60" w:hanging="322"/>
        <w:spacing w:after="0" w:line="292" w:lineRule="auto"/>
        <w:tabs>
          <w:tab w:leader="none" w:pos="430" w:val="left"/>
        </w:tabs>
        <w:numPr>
          <w:ilvl w:val="1"/>
          <w:numId w:val="258"/>
        </w:numPr>
        <w:rPr>
          <w:rFonts w:ascii="Arial" w:cs="Arial" w:eastAsia="Arial" w:hAnsi="Arial"/>
          <w:sz w:val="16"/>
          <w:szCs w:val="16"/>
          <w:color w:val="auto"/>
        </w:rPr>
      </w:pPr>
      <w:r>
        <w:rPr>
          <w:rFonts w:ascii="Arial" w:cs="Arial" w:eastAsia="Arial" w:hAnsi="Arial"/>
          <w:sz w:val="16"/>
          <w:szCs w:val="16"/>
          <w:b w:val="1"/>
          <w:bCs w:val="1"/>
          <w:color w:val="auto"/>
        </w:rPr>
        <w:t xml:space="preserve">Due Authority. </w:t>
      </w:r>
      <w:r>
        <w:rPr>
          <w:rFonts w:ascii="Arial" w:cs="Arial" w:eastAsia="Arial" w:hAnsi="Arial"/>
          <w:sz w:val="16"/>
          <w:szCs w:val="16"/>
          <w:color w:val="auto"/>
        </w:rPr>
        <w:t>Your execution and delivery of this Warrant Agreement and the performance of Your obligations hereunder,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to Us of the right to acquire the shares of Warrant Stock, have been duly authorized by all necessary corporate action on Your part and this Warrant Agreement is not inconsistent with Your Certificate of Incorporation or Bylaws, do not contravene any law or governmental rule, regulation or order applicable to it, do not and will not contravene any provision of, or constitute a default under, any indenture, mortgage, contract or other instrument to which You are a party or by which You are bound, and this Warrant Agreement constitutes a legal, valid and binding agreement, enforceable in accordance with its respective terms, subject to laws of general application relating to bankruptcy, insolvency and the relief of debtors and the rules of law or principles at equity governing specific performance, injunctive relief and other equitable remedies.</w:t>
      </w:r>
    </w:p>
    <w:p>
      <w:pPr>
        <w:spacing w:after="0" w:line="65" w:lineRule="exact"/>
        <w:rPr>
          <w:rFonts w:ascii="Arial" w:cs="Arial" w:eastAsia="Arial" w:hAnsi="Arial"/>
          <w:sz w:val="16"/>
          <w:szCs w:val="16"/>
          <w:color w:val="auto"/>
        </w:rPr>
      </w:pPr>
    </w:p>
    <w:p>
      <w:pPr>
        <w:ind w:left="430" w:right="80" w:hanging="322"/>
        <w:spacing w:after="0" w:line="260" w:lineRule="auto"/>
        <w:tabs>
          <w:tab w:leader="none" w:pos="430" w:val="left"/>
        </w:tabs>
        <w:numPr>
          <w:ilvl w:val="1"/>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Consents and Approvals. </w:t>
      </w:r>
      <w:r>
        <w:rPr>
          <w:rFonts w:ascii="Arial" w:cs="Arial" w:eastAsia="Arial" w:hAnsi="Arial"/>
          <w:sz w:val="18"/>
          <w:szCs w:val="18"/>
          <w:color w:val="auto"/>
        </w:rPr>
        <w:t>No consent or approval of, giving of notice to, registration with, or taking of any other action in respect of any state,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other governmental authority or agency is required with respect to execution, delivery and Your performance of Your obligations under this Warrant Agreement, except for the filing of any required notices pursuant to Federal and state securities laws, which filings will be effective by the times required thereby.</w:t>
      </w:r>
    </w:p>
    <w:p>
      <w:pPr>
        <w:spacing w:after="0" w:line="87" w:lineRule="exact"/>
        <w:rPr>
          <w:rFonts w:ascii="Arial" w:cs="Arial" w:eastAsia="Arial" w:hAnsi="Arial"/>
          <w:sz w:val="18"/>
          <w:szCs w:val="18"/>
          <w:color w:val="auto"/>
        </w:rPr>
      </w:pPr>
    </w:p>
    <w:p>
      <w:pPr>
        <w:ind w:left="430" w:right="140" w:hanging="322"/>
        <w:spacing w:after="0" w:line="266" w:lineRule="auto"/>
        <w:tabs>
          <w:tab w:leader="none" w:pos="430" w:val="left"/>
        </w:tabs>
        <w:numPr>
          <w:ilvl w:val="1"/>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Issued Securities. </w:t>
      </w:r>
      <w:r>
        <w:rPr>
          <w:rFonts w:ascii="Arial" w:cs="Arial" w:eastAsia="Arial" w:hAnsi="Arial"/>
          <w:sz w:val="18"/>
          <w:szCs w:val="18"/>
          <w:color w:val="auto"/>
        </w:rPr>
        <w:t>All of Your issued and outstanding shares of Common Stock, Warrant Stock or any other securities have been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validly issued and are fully paid and nonassessable. All outstanding shares of Common Stock and Warrant Stock were issued in full compliance with all Federal and state securities laws. In addition as of the Effective Date:</w:t>
      </w:r>
    </w:p>
    <w:p>
      <w:pPr>
        <w:spacing w:after="0" w:line="179" w:lineRule="exact"/>
        <w:rPr>
          <w:sz w:val="20"/>
          <w:szCs w:val="20"/>
          <w:color w:val="auto"/>
        </w:rPr>
      </w:pPr>
    </w:p>
    <w:p>
      <w:pPr>
        <w:ind w:left="10" w:right="100"/>
        <w:spacing w:after="0" w:line="259" w:lineRule="auto"/>
        <w:rPr>
          <w:sz w:val="20"/>
          <w:szCs w:val="20"/>
          <w:color w:val="auto"/>
        </w:rPr>
      </w:pPr>
      <w:r>
        <w:rPr>
          <w:rFonts w:ascii="Arial" w:cs="Arial" w:eastAsia="Arial" w:hAnsi="Arial"/>
          <w:sz w:val="18"/>
          <w:szCs w:val="18"/>
          <w:color w:val="auto"/>
        </w:rPr>
        <w:t>Your authorized capital consists of (A) 105,700,000 shares of Common Stock, of which 12,649,640 shares of Common Stock are issued and outstanding, (B) 31,250,000 shares of Series A Preferred Stock, of which 31,249,991 shares are issued and outstanding, (C) 19,288,150 shares of Series B Preferred Stock, of which 19,198,194 shares are issued and outstanding and (D) 24,700,000 shares of Series C Preferred Stock, of which 23,450,790 shares are issued and outstanding.</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0" w:right="439" w:bottom="1440" w:gutter="0" w:footer="0" w:header="0"/>
        </w:sectPr>
      </w:pPr>
    </w:p>
    <w:bookmarkStart w:id="378" w:name="page379"/>
    <w:bookmarkEnd w:id="378"/>
    <w:p>
      <w:pPr>
        <w:ind w:left="10"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2018, You have reserved 19,968,000 shares of Common Stock for issuance under Your Stock Incentive Plan, under which 16,440,521 options have been granted and were outstanding. In addition You have reserved 754,573 shares of Common Stock for a warrant agreement, 89,956 shares of Series B Preferred Stock for a warrant agreement and 248,385 shares of Series C Preferred Stock for a warrant agreement. Except as otherwise provided in this Warrant Agreement and as noted above, there are no other options, warrants, conversion privileges or other rights presently outstanding to purchase or otherwise acquire any authorized but unissued shares of Your capital stock or other of Your securities.</w:t>
      </w:r>
    </w:p>
    <w:p>
      <w:pPr>
        <w:spacing w:after="0" w:line="160"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color w:val="auto"/>
        </w:rPr>
        <w:t>Except as set forth in Your Investors’ Rights Agreement, a true, correct and complete copy of which has been delivered to Us prior to the issuance of this Warrant, Your stockholders do not have preemptive rights to purchase new issuances of Your capital stock.</w:t>
      </w:r>
    </w:p>
    <w:p>
      <w:pPr>
        <w:spacing w:after="0" w:line="71" w:lineRule="exact"/>
        <w:rPr>
          <w:sz w:val="20"/>
          <w:szCs w:val="20"/>
          <w:color w:val="auto"/>
        </w:rPr>
      </w:pPr>
    </w:p>
    <w:p>
      <w:pPr>
        <w:ind w:left="430" w:right="260" w:hanging="322"/>
        <w:spacing w:after="0" w:line="266" w:lineRule="auto"/>
        <w:tabs>
          <w:tab w:leader="none" w:pos="430"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to Register Securities. </w:t>
      </w:r>
      <w:r>
        <w:rPr>
          <w:rFonts w:ascii="Arial" w:cs="Arial" w:eastAsia="Arial" w:hAnsi="Arial"/>
          <w:sz w:val="18"/>
          <w:szCs w:val="18"/>
          <w:color w:val="auto"/>
        </w:rPr>
        <w:t>Except as set forth in this Warrant Agreement and the Investors’ Rights Agreement, You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any other agreement currently in existence, under any obligation to register under the 1933 Act any of Your presently outstanding securities or any of Your securities which may hereafter be issued.</w:t>
      </w:r>
    </w:p>
    <w:p>
      <w:pPr>
        <w:spacing w:after="0" w:line="80" w:lineRule="exact"/>
        <w:rPr>
          <w:rFonts w:ascii="Arial" w:cs="Arial" w:eastAsia="Arial" w:hAnsi="Arial"/>
          <w:sz w:val="18"/>
          <w:szCs w:val="18"/>
          <w:color w:val="auto"/>
        </w:rPr>
      </w:pPr>
    </w:p>
    <w:p>
      <w:pPr>
        <w:ind w:left="430" w:right="140" w:hanging="322"/>
        <w:spacing w:after="0" w:line="266" w:lineRule="auto"/>
        <w:tabs>
          <w:tab w:leader="none" w:pos="430"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 xml:space="preserve">Exempt Transaction. </w:t>
      </w:r>
      <w:r>
        <w:rPr>
          <w:rFonts w:ascii="Arial" w:cs="Arial" w:eastAsia="Arial" w:hAnsi="Arial"/>
          <w:sz w:val="18"/>
          <w:szCs w:val="18"/>
          <w:color w:val="auto"/>
        </w:rPr>
        <w:t>Subject to the accuracy of Our representations in Section 7 hereof, the issuance of the Warrant Stock upon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Agreement will constitute a transaction exempt from (i) the registration requirements of Section 5 of the 1933 Act, in reliance upon Section 4(2) thereof, and (ii) the qualification requirements of the applicable state securities laws.</w:t>
      </w:r>
    </w:p>
    <w:p>
      <w:pPr>
        <w:spacing w:after="0" w:line="80" w:lineRule="exact"/>
        <w:rPr>
          <w:rFonts w:ascii="Arial" w:cs="Arial" w:eastAsia="Arial" w:hAnsi="Arial"/>
          <w:sz w:val="18"/>
          <w:szCs w:val="18"/>
          <w:color w:val="auto"/>
        </w:rPr>
      </w:pPr>
    </w:p>
    <w:p>
      <w:pPr>
        <w:jc w:val="both"/>
        <w:ind w:left="430" w:right="220" w:hanging="322"/>
        <w:spacing w:after="0" w:line="288" w:lineRule="auto"/>
        <w:tabs>
          <w:tab w:leader="none" w:pos="430" w:val="left"/>
        </w:tabs>
        <w:numPr>
          <w:ilvl w:val="1"/>
          <w:numId w:val="259"/>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Rule 144. </w:t>
      </w:r>
      <w:r>
        <w:rPr>
          <w:rFonts w:ascii="Arial" w:cs="Arial" w:eastAsia="Arial" w:hAnsi="Arial"/>
          <w:sz w:val="17"/>
          <w:szCs w:val="17"/>
          <w:color w:val="auto"/>
        </w:rPr>
        <w:t>We may sell the Warrant Stock issuable hereunder in compliance with Rule 144 promulgated by the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Commission. Within ten (10) days of Our request, You agree to furnish Us, a written statement confirming Your compliance with the filing requirements of the Securities and Exchange Commission as set forth in such Rule 144, as may be amended.</w:t>
      </w:r>
    </w:p>
    <w:p>
      <w:pPr>
        <w:spacing w:after="0" w:line="65" w:lineRule="exact"/>
        <w:rPr>
          <w:rFonts w:ascii="Arial" w:cs="Arial" w:eastAsia="Arial" w:hAnsi="Arial"/>
          <w:sz w:val="17"/>
          <w:szCs w:val="17"/>
          <w:color w:val="auto"/>
        </w:rPr>
      </w:pPr>
    </w:p>
    <w:p>
      <w:pPr>
        <w:ind w:left="430" w:right="60" w:hanging="322"/>
        <w:spacing w:after="0" w:line="288" w:lineRule="auto"/>
        <w:tabs>
          <w:tab w:leader="none" w:pos="430"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No Impairment. </w:t>
      </w:r>
      <w:r>
        <w:rPr>
          <w:rFonts w:ascii="Arial" w:cs="Arial" w:eastAsia="Arial" w:hAnsi="Arial"/>
          <w:sz w:val="16"/>
          <w:szCs w:val="16"/>
          <w:color w:val="auto"/>
        </w:rPr>
        <w:t>You agree not to, by amendment of Your Certificate of Incorporation, by-laws or other organizational or charter documents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through a reorganization, transfer of assets, consolidation, merger, dissolution, issue or sale of securities or any other voluntary action, avoid or seek to avoid the observance or performance of any of the terms to be observed or performed under this Warrant Agreement by You, but shall at all times in good faith assist in carrying out of all the provisions of this Warrant Agreement and in taking all such action as may be necessary or appropriate to protect Our rights under this Warrant Agreement against impairment. However, You shall not be deemed to have impaired Our rights if You amend Your Certificate of Incorporation, or the holders of Your preferred stock waive their rights thereunder, in a manner that does not (individually or when considered in the context of any other actions being taken in connection with such amendments or waivers) affect Us in a manner different from the effect that such amendments or waivers have on the rights of other holders of the same series and class as the Warrant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You shall not impose any restrictions on the transferability or alienability of the Warrant Stock other than in effect as of the Effective Date without the express written consent of Us.</w:t>
      </w:r>
    </w:p>
    <w:p>
      <w:pPr>
        <w:spacing w:after="0" w:line="314" w:lineRule="exact"/>
        <w:rPr>
          <w:rFonts w:ascii="Arial" w:cs="Arial" w:eastAsia="Arial" w:hAnsi="Arial"/>
          <w:sz w:val="16"/>
          <w:szCs w:val="16"/>
          <w:color w:val="auto"/>
        </w:rPr>
      </w:pPr>
    </w:p>
    <w:p>
      <w:pPr>
        <w:ind w:left="430" w:hanging="430"/>
        <w:spacing w:after="0"/>
        <w:tabs>
          <w:tab w:leader="none" w:pos="430" w:val="left"/>
        </w:tabs>
        <w:numPr>
          <w:ilvl w:val="0"/>
          <w:numId w:val="25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OUR REPRESENTATIONS AND COVENANTS TO YOU</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u w:val="single" w:color="auto"/>
          <w:color w:val="auto"/>
        </w:rPr>
      </w:pPr>
    </w:p>
    <w:p>
      <w:pPr>
        <w:jc w:val="both"/>
        <w:ind w:left="430" w:right="460" w:hanging="322"/>
        <w:spacing w:after="0" w:line="314" w:lineRule="auto"/>
        <w:tabs>
          <w:tab w:leader="none" w:pos="430"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Investment Purpose. </w:t>
      </w:r>
      <w:r>
        <w:rPr>
          <w:rFonts w:ascii="Arial" w:cs="Arial" w:eastAsia="Arial" w:hAnsi="Arial"/>
          <w:sz w:val="16"/>
          <w:szCs w:val="16"/>
          <w:color w:val="auto"/>
        </w:rPr>
        <w:t>The right to acquire Warrant Stock or the Warrant Stock issuable upon exercise of Our rights contained herein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will be acquired for investment purposes and not with a view to the sale or distribution of any part thereof, and We have no present intention of selling or engaging in any public distribution of the same in violation of the 1933 Act.</w:t>
      </w:r>
    </w:p>
    <w:p>
      <w:pPr>
        <w:spacing w:after="0" w:line="46" w:lineRule="exact"/>
        <w:rPr>
          <w:rFonts w:ascii="Arial" w:cs="Arial" w:eastAsia="Arial" w:hAnsi="Arial"/>
          <w:sz w:val="16"/>
          <w:szCs w:val="16"/>
          <w:color w:val="auto"/>
        </w:rPr>
      </w:pPr>
    </w:p>
    <w:p>
      <w:pPr>
        <w:ind w:left="430" w:hanging="322"/>
        <w:spacing w:after="0" w:line="303" w:lineRule="auto"/>
        <w:tabs>
          <w:tab w:leader="none" w:pos="430"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Private Issue. </w:t>
      </w:r>
      <w:r>
        <w:rPr>
          <w:rFonts w:ascii="Arial" w:cs="Arial" w:eastAsia="Arial" w:hAnsi="Arial"/>
          <w:sz w:val="16"/>
          <w:szCs w:val="16"/>
          <w:color w:val="auto"/>
        </w:rPr>
        <w:t>We understand (i) that this Warrant Agreement, the Warrant Stock issuable upon exercise of this Warrant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of the Warrant Stock are not registered under the 1933 Act or qualified under applicable state securities laws on the ground that the issuance contemplated by this Warrant Agreement will be exempt from the registration and qualifications requirements thereof, and (ii) that Your reliance on such exemption is predicated on the representations set forth in this Section 7.</w:t>
      </w:r>
    </w:p>
    <w:p>
      <w:pPr>
        <w:spacing w:after="0" w:line="55" w:lineRule="exact"/>
        <w:rPr>
          <w:rFonts w:ascii="Arial" w:cs="Arial" w:eastAsia="Arial" w:hAnsi="Arial"/>
          <w:sz w:val="16"/>
          <w:szCs w:val="16"/>
          <w:color w:val="auto"/>
        </w:rPr>
      </w:pPr>
    </w:p>
    <w:p>
      <w:pPr>
        <w:ind w:left="430" w:right="20" w:hanging="322"/>
        <w:spacing w:after="0" w:line="303" w:lineRule="auto"/>
        <w:tabs>
          <w:tab w:leader="none" w:pos="430"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Disposition of Our Rights. </w:t>
      </w:r>
      <w:r>
        <w:rPr>
          <w:rFonts w:ascii="Arial" w:cs="Arial" w:eastAsia="Arial" w:hAnsi="Arial"/>
          <w:sz w:val="16"/>
          <w:szCs w:val="16"/>
          <w:color w:val="auto"/>
        </w:rPr>
        <w:t>In no event will We make a disposition of any of Our rights to acquire Warrant Stock or Warrant Stock issuable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such rights or the Common Stock issuable upon conversion of the Warrant Stock unless and until (i) We shall have notified You in writing of the proposed disposition, and (ii) the transferee agrees to be bound in writing to the applicable terms and conditions of this Warrant Agreement, and (iii) if You request, We shall have furnished You with an opinion of counsel satisfactory to You and Your counsel to the effect that</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3" w:right="459" w:bottom="1440" w:gutter="0" w:footer="0" w:header="0"/>
        </w:sectPr>
      </w:pPr>
    </w:p>
    <w:bookmarkStart w:id="379" w:name="page380"/>
    <w:bookmarkEnd w:id="379"/>
    <w:p>
      <w:pPr>
        <w:ind w:left="45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appropriate action necessary for compliance with the 1933 Act has been taken, or (B) an exemption from the registration requirements of the 1933 Act is available. Notwithstanding the foregoing, the restrictions imposed upon the transferability of any of Our rights to acquire Warrant Stock or Warrant Stock issuable on the exercise of such rights or the Common Stock issuable upon conversion of the Warrant Stock do not apply to transfers from the beneficial owner of any of the aforementioned securities to its nominee or from such nominee to its beneficial owner, and shall terminate as to any particular share of Warrant Stock when (1) such security shall have been effectively registered under the 1933 Act and sold by the holder thereof in accordance with such registration or (2) such security shall have been sold without registration in compliance with Rule 144 under the 1933 Act, or (3) a letter shall have been issued to You at Our request by the staff of the Securities and Exchange Commission or a ruling shall have been issued to You at Our request by such Commission stating that no action shall be recommended by such staff or taken by such Commission, as the case may be, if such security is transferred without registration under the 1933 Act in accordance with the conditions set forth in such letter or ruling and such letter or ruling specifies that no subsequent restrictions on transfer are required. Whenever the restrictions imposed hereunder shall terminate, as hereinabove provided, the holder of a share of Warrant Stock then outstanding as to which such restrictions have terminated shall be entitled to receive from You, without expense to such holder, one or more new certificates for the Warrant or for such shares of Warrant Stock not bearing any restrictive legend referring to 1933 Act registration or exemption.</w:t>
      </w:r>
    </w:p>
    <w:p>
      <w:pPr>
        <w:spacing w:after="0" w:line="72" w:lineRule="exact"/>
        <w:rPr>
          <w:sz w:val="20"/>
          <w:szCs w:val="20"/>
          <w:color w:val="auto"/>
        </w:rPr>
      </w:pPr>
    </w:p>
    <w:p>
      <w:pPr>
        <w:ind w:left="430" w:right="60" w:hanging="322"/>
        <w:spacing w:after="0" w:line="347" w:lineRule="auto"/>
        <w:tabs>
          <w:tab w:leader="none" w:pos="430" w:val="left"/>
        </w:tabs>
        <w:numPr>
          <w:ilvl w:val="1"/>
          <w:numId w:val="260"/>
        </w:numPr>
        <w:rPr>
          <w:rFonts w:ascii="Arial" w:cs="Arial" w:eastAsia="Arial" w:hAnsi="Arial"/>
          <w:sz w:val="16"/>
          <w:szCs w:val="16"/>
          <w:color w:val="auto"/>
        </w:rPr>
      </w:pPr>
      <w:r>
        <w:rPr>
          <w:rFonts w:ascii="Arial" w:cs="Arial" w:eastAsia="Arial" w:hAnsi="Arial"/>
          <w:sz w:val="16"/>
          <w:szCs w:val="16"/>
          <w:b w:val="1"/>
          <w:bCs w:val="1"/>
          <w:color w:val="auto"/>
        </w:rPr>
        <w:t xml:space="preserve">Financial Risk. </w:t>
      </w:r>
      <w:r>
        <w:rPr>
          <w:rFonts w:ascii="Arial" w:cs="Arial" w:eastAsia="Arial" w:hAnsi="Arial"/>
          <w:sz w:val="16"/>
          <w:szCs w:val="16"/>
          <w:color w:val="auto"/>
        </w:rPr>
        <w:t>We have such knowledge and experience in financial and business matters and knowledge of Your business affairs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as to be capable of evaluating the merits and risks of Our investment, and have the ability to bear the economic risks of Our investment.</w:t>
      </w:r>
    </w:p>
    <w:p>
      <w:pPr>
        <w:spacing w:after="0" w:line="21" w:lineRule="exact"/>
        <w:rPr>
          <w:rFonts w:ascii="Arial" w:cs="Arial" w:eastAsia="Arial" w:hAnsi="Arial"/>
          <w:sz w:val="16"/>
          <w:szCs w:val="16"/>
          <w:color w:val="auto"/>
        </w:rPr>
      </w:pPr>
    </w:p>
    <w:p>
      <w:pPr>
        <w:ind w:left="430" w:hanging="322"/>
        <w:spacing w:after="0" w:line="272" w:lineRule="auto"/>
        <w:tabs>
          <w:tab w:leader="none" w:pos="430" w:val="left"/>
        </w:tabs>
        <w:numPr>
          <w:ilvl w:val="1"/>
          <w:numId w:val="260"/>
        </w:numPr>
        <w:rPr>
          <w:rFonts w:ascii="Arial" w:cs="Arial" w:eastAsia="Arial" w:hAnsi="Arial"/>
          <w:sz w:val="17"/>
          <w:szCs w:val="17"/>
          <w:color w:val="auto"/>
        </w:rPr>
      </w:pPr>
      <w:r>
        <w:rPr>
          <w:rFonts w:ascii="Arial" w:cs="Arial" w:eastAsia="Arial" w:hAnsi="Arial"/>
          <w:sz w:val="17"/>
          <w:szCs w:val="17"/>
          <w:b w:val="1"/>
          <w:bCs w:val="1"/>
          <w:color w:val="auto"/>
        </w:rPr>
        <w:t xml:space="preserve">Risk of No Registration. </w:t>
      </w:r>
      <w:r>
        <w:rPr>
          <w:rFonts w:ascii="Arial" w:cs="Arial" w:eastAsia="Arial" w:hAnsi="Arial"/>
          <w:sz w:val="17"/>
          <w:szCs w:val="17"/>
          <w:color w:val="auto"/>
        </w:rPr>
        <w:t>We understand that if You do not register with the Securities and Exchange Commission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(the “1934 Act”), or file reports pursuant to Section 15(d), of the 1934 Act, or if a registration statement covering the securities under the 1933 Act is not in effect when We desire to sell (i) the rights to purchase Warrant Stock pursuant to this Warrant Agreement, or (ii) the Warrant Stock issuable upon exercise of the right to purchase, or (iii) the Common Stock issuable upon conversion of the Warrant Stock, We may be required to hold such securities for an indefinite period. We also understand that any sale of Our right to purchase Warrant Stock or Warrant Stock or Common Stock issuable upon conversion of the Warrant Stock, which might be made by it in reliance upon Rule 144 under the 1933 Act may be made only in accordance with the terms and conditions of that Rule.</w:t>
      </w:r>
    </w:p>
    <w:p>
      <w:pPr>
        <w:spacing w:after="0" w:line="81" w:lineRule="exact"/>
        <w:rPr>
          <w:rFonts w:ascii="Arial" w:cs="Arial" w:eastAsia="Arial" w:hAnsi="Arial"/>
          <w:sz w:val="17"/>
          <w:szCs w:val="17"/>
          <w:color w:val="auto"/>
        </w:rPr>
      </w:pPr>
    </w:p>
    <w:p>
      <w:pPr>
        <w:ind w:left="430" w:right="220" w:hanging="322"/>
        <w:spacing w:after="0" w:line="281" w:lineRule="auto"/>
        <w:tabs>
          <w:tab w:leader="none" w:pos="430" w:val="left"/>
        </w:tabs>
        <w:numPr>
          <w:ilvl w:val="1"/>
          <w:numId w:val="260"/>
        </w:numPr>
        <w:rPr>
          <w:rFonts w:ascii="Arial" w:cs="Arial" w:eastAsia="Arial" w:hAnsi="Arial"/>
          <w:sz w:val="18"/>
          <w:szCs w:val="18"/>
          <w:color w:val="auto"/>
        </w:rPr>
      </w:pPr>
      <w:r>
        <w:rPr>
          <w:rFonts w:ascii="Arial" w:cs="Arial" w:eastAsia="Arial" w:hAnsi="Arial"/>
          <w:sz w:val="18"/>
          <w:szCs w:val="18"/>
          <w:b w:val="1"/>
          <w:bCs w:val="1"/>
          <w:color w:val="auto"/>
        </w:rPr>
        <w:t xml:space="preserve">Accredited Investor. </w:t>
      </w:r>
      <w:r>
        <w:rPr>
          <w:rFonts w:ascii="Arial" w:cs="Arial" w:eastAsia="Arial" w:hAnsi="Arial"/>
          <w:sz w:val="18"/>
          <w:szCs w:val="18"/>
          <w:color w:val="auto"/>
        </w:rPr>
        <w:t>We are an “accredited investor” within the meaning of the Securities and Exchange Rule 501 of Regulation D of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 as presently in effect.</w:t>
      </w:r>
    </w:p>
    <w:p>
      <w:pPr>
        <w:spacing w:after="0" w:line="311" w:lineRule="exact"/>
        <w:rPr>
          <w:rFonts w:ascii="Arial" w:cs="Arial" w:eastAsia="Arial" w:hAnsi="Arial"/>
          <w:sz w:val="18"/>
          <w:szCs w:val="18"/>
          <w:color w:val="auto"/>
        </w:rPr>
      </w:pPr>
    </w:p>
    <w:p>
      <w:pPr>
        <w:ind w:left="430" w:hanging="430"/>
        <w:spacing w:after="0"/>
        <w:tabs>
          <w:tab w:leader="none" w:pos="430" w:val="left"/>
        </w:tabs>
        <w:numPr>
          <w:ilvl w:val="0"/>
          <w:numId w:val="2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NOTICES YOU AGREE TO PROVIDE US</w:t>
      </w:r>
      <w:r>
        <w:rPr>
          <w:rFonts w:ascii="Arial" w:cs="Arial" w:eastAsia="Arial" w:hAnsi="Arial"/>
          <w:sz w:val="18"/>
          <w:szCs w:val="18"/>
          <w:b w:val="1"/>
          <w:bCs w:val="1"/>
          <w:color w:val="auto"/>
        </w:rPr>
        <w:t>.</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Prior to the date of Your initial public offering, You agree to give Us at least twenty (20) days prior written notice of the following events:</w:t>
      </w:r>
    </w:p>
    <w:p>
      <w:pPr>
        <w:spacing w:after="0" w:line="130" w:lineRule="exact"/>
        <w:rPr>
          <w:sz w:val="20"/>
          <w:szCs w:val="20"/>
          <w:color w:val="auto"/>
        </w:rPr>
      </w:pPr>
    </w:p>
    <w:p>
      <w:pPr>
        <w:ind w:left="430" w:hanging="322"/>
        <w:spacing w:after="0"/>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 pay a Dividend or distribution declaration upon Your stock.</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 offer for subscription pro-rata to the existing shareholders additional stock or other rights.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 consummate or sign definitive documents providing for a Merger Event.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 have an initial public offering.</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 dissolve or liquidate.</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4" w:right="459" w:bottom="1440" w:gutter="0" w:footer="0" w:header="0"/>
        </w:sectPr>
      </w:pPr>
    </w:p>
    <w:bookmarkStart w:id="380" w:name="page381"/>
    <w:bookmarkEnd w:id="380"/>
    <w:p>
      <w:pPr>
        <w:ind w:left="1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in this Section must set forth details of the event, how the event adjusts either Our number of shares or Our Exercise Price and the method used for such adjustment.</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covenants set forth in this Section 8 shall terminate upon the closing of Your initial public offering.</w:t>
      </w:r>
    </w:p>
    <w:p>
      <w:pPr>
        <w:spacing w:after="0" w:line="221" w:lineRule="exact"/>
        <w:rPr>
          <w:sz w:val="20"/>
          <w:szCs w:val="20"/>
          <w:color w:val="auto"/>
        </w:rPr>
      </w:pPr>
    </w:p>
    <w:p>
      <w:pPr>
        <w:ind w:left="10" w:right="920"/>
        <w:spacing w:after="0" w:line="281" w:lineRule="auto"/>
        <w:rPr>
          <w:sz w:val="20"/>
          <w:szCs w:val="20"/>
          <w:color w:val="auto"/>
        </w:rPr>
      </w:pPr>
      <w:r>
        <w:rPr>
          <w:rFonts w:ascii="Arial" w:cs="Arial" w:eastAsia="Arial" w:hAnsi="Arial"/>
          <w:sz w:val="18"/>
          <w:szCs w:val="18"/>
          <w:b w:val="1"/>
          <w:bCs w:val="1"/>
          <w:color w:val="auto"/>
        </w:rPr>
        <w:t xml:space="preserve">Timely Notice. </w:t>
      </w:r>
      <w:r>
        <w:rPr>
          <w:rFonts w:ascii="Arial" w:cs="Arial" w:eastAsia="Arial" w:hAnsi="Arial"/>
          <w:sz w:val="18"/>
          <w:szCs w:val="18"/>
          <w:color w:val="auto"/>
        </w:rPr>
        <w:t>Your failure to timely provide such notice required above shall entitle Us to retain the benefit of the applicable notice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any insufficient notice received by Us.</w:t>
      </w:r>
    </w:p>
    <w:p>
      <w:pPr>
        <w:spacing w:after="0" w:line="311" w:lineRule="exact"/>
        <w:rPr>
          <w:sz w:val="20"/>
          <w:szCs w:val="20"/>
          <w:color w:val="auto"/>
        </w:rPr>
      </w:pPr>
    </w:p>
    <w:p>
      <w:pPr>
        <w:ind w:left="430" w:hanging="430"/>
        <w:spacing w:after="0"/>
        <w:tabs>
          <w:tab w:leader="none" w:pos="430" w:val="left"/>
        </w:tabs>
        <w:numPr>
          <w:ilvl w:val="0"/>
          <w:numId w:val="2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DOCUMENTS YOU WILL PROVIDE US.</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Upon signing this Warrant Agreement You will provide Us with:</w:t>
      </w:r>
    </w:p>
    <w:p>
      <w:pPr>
        <w:spacing w:after="0" w:line="130" w:lineRule="exact"/>
        <w:rPr>
          <w:sz w:val="20"/>
          <w:szCs w:val="20"/>
          <w:color w:val="auto"/>
        </w:rPr>
      </w:pPr>
    </w:p>
    <w:p>
      <w:pPr>
        <w:ind w:left="430" w:hanging="322"/>
        <w:spacing w:after="0"/>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Executed originals of this Warrant Agreement, and all other documents and instruments that We may reasonably require</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Secretary’s certificate of incumbency and authority</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Certified copy of resolutions of Your board of directors approving this Warrant Agreement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Certified copy of Certificate of Incorporation and by-laws as amended through the Effective Date</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Current Investors’ Rights Agreement</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So long as this Warrant Agreement is in effect, You shall provide Us with the following:</w:t>
      </w:r>
    </w:p>
    <w:p>
      <w:pPr>
        <w:spacing w:after="0" w:line="130" w:lineRule="exact"/>
        <w:rPr>
          <w:sz w:val="20"/>
          <w:szCs w:val="20"/>
          <w:color w:val="auto"/>
        </w:rPr>
      </w:pPr>
    </w:p>
    <w:p>
      <w:pPr>
        <w:ind w:left="430" w:right="120" w:hanging="322"/>
        <w:spacing w:after="0" w:line="256" w:lineRule="auto"/>
        <w:tabs>
          <w:tab w:leader="none" w:pos="43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Within five (5) Business Days after the closing of any equity financing, or extension of an existing round of equity financing, occurring after the Effective Date, in which You issue preferred stock or other securities You will provide Us with copies of the fully executed equity financing documents, including without limitation the related stock purchase agreement, investors rights agreement, voting agreement, amended or restated Certificates of Incorporation, current capitalization table and other related documents. This requirement shall expire effective upon the consummation of Your initial public offering.</w:t>
      </w:r>
    </w:p>
    <w:p>
      <w:pPr>
        <w:spacing w:after="0" w:line="96" w:lineRule="exact"/>
        <w:rPr>
          <w:rFonts w:ascii="Arial" w:cs="Arial" w:eastAsia="Arial" w:hAnsi="Arial"/>
          <w:sz w:val="18"/>
          <w:szCs w:val="18"/>
          <w:color w:val="auto"/>
        </w:rPr>
      </w:pPr>
    </w:p>
    <w:p>
      <w:pPr>
        <w:ind w:left="430" w:right="320" w:hanging="322"/>
        <w:spacing w:after="0" w:line="277" w:lineRule="auto"/>
        <w:tabs>
          <w:tab w:leader="none" w:pos="43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Within thirty (30) days after completion You shall provide Us with any 409A Valuation Reports or other similar reports prepared for You. This requirement shall expire effective upon the consummation of Your initial public offering.</w:t>
      </w:r>
    </w:p>
    <w:p>
      <w:pPr>
        <w:spacing w:after="0" w:line="75" w:lineRule="exact"/>
        <w:rPr>
          <w:rFonts w:ascii="Arial" w:cs="Arial" w:eastAsia="Arial" w:hAnsi="Arial"/>
          <w:sz w:val="18"/>
          <w:szCs w:val="18"/>
          <w:color w:val="auto"/>
        </w:rPr>
      </w:pPr>
    </w:p>
    <w:p>
      <w:pPr>
        <w:ind w:left="430" w:hanging="322"/>
        <w:spacing w:after="0" w:line="288" w:lineRule="auto"/>
        <w:tabs>
          <w:tab w:leader="none" w:pos="43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After all obligations under the Loan Agreement have been finally paid in full, within thirty (30) days after the end of each quarter, You will provide Us with (1) an unaudited income statement, statement of cash flows, and an unaudited balance sheet prepared in accordance with GAAP accompanied by a report detailing any material contingencies, and (2) within one hundred eighty (180) days of the end of each fiscal year end, You will provide Us with audited financial statements accompanied by an audit report and an unqualified opinion of the independent certified public accountants. Upon the consummation of Your initial public offering, any financial statement required to be furnished pursuant to this Section 9 shall be deemed to have been furnished on the date on which We receive notice that You have filed such financial statement with the U.S. Securities and Exchange Commission and is available on the EDGAR website on the Internet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any successor government website that is freely and readily available to Us without charge; </w:t>
      </w:r>
      <w:r>
        <w:rPr>
          <w:rFonts w:ascii="Arial" w:cs="Arial" w:eastAsia="Arial" w:hAnsi="Arial"/>
          <w:sz w:val="16"/>
          <w:szCs w:val="16"/>
          <w:u w:val="single" w:color="auto"/>
          <w:color w:val="auto"/>
        </w:rPr>
        <w:t>provided</w:t>
      </w:r>
      <w:r>
        <w:rPr>
          <w:rFonts w:ascii="Arial" w:cs="Arial" w:eastAsia="Arial" w:hAnsi="Arial"/>
          <w:sz w:val="16"/>
          <w:szCs w:val="16"/>
          <w:color w:val="auto"/>
        </w:rPr>
        <w:t>, that You shall give notice of any such filing to Us. Notwithstanding the foregoing, You shall deliver paper or electronic copies of any such financial statement to Us if We request You to furnish such paper or electronic copies until written notice to cease delivering such paper or electronic copies is given by Us.</w:t>
      </w:r>
    </w:p>
    <w:p>
      <w:pPr>
        <w:spacing w:after="0" w:line="71" w:lineRule="exact"/>
        <w:rPr>
          <w:rFonts w:ascii="Arial" w:cs="Arial" w:eastAsia="Arial" w:hAnsi="Arial"/>
          <w:sz w:val="16"/>
          <w:szCs w:val="16"/>
          <w:color w:val="auto"/>
        </w:rPr>
      </w:pPr>
    </w:p>
    <w:p>
      <w:pPr>
        <w:ind w:left="430" w:right="640" w:hanging="322"/>
        <w:spacing w:after="0" w:line="277" w:lineRule="auto"/>
        <w:tabs>
          <w:tab w:leader="none" w:pos="43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You shall submit to Us any other documents and other information that We may reasonably request from time to time and are necessary to implement the provisions and purposes of this Warrant Agreement.</w:t>
      </w:r>
    </w:p>
    <w:p>
      <w:pPr>
        <w:spacing w:after="0" w:line="314" w:lineRule="exact"/>
        <w:rPr>
          <w:sz w:val="20"/>
          <w:szCs w:val="20"/>
          <w:color w:val="auto"/>
        </w:rPr>
      </w:pPr>
    </w:p>
    <w:p>
      <w:pPr>
        <w:ind w:left="430" w:hanging="430"/>
        <w:spacing w:after="0"/>
        <w:tabs>
          <w:tab w:leader="none" w:pos="430" w:val="left"/>
        </w:tabs>
        <w:numPr>
          <w:ilvl w:val="0"/>
          <w:numId w:val="26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PIGGYBACK REGISTRATION RIGHTS UNDER THE 1933 ACT</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200"/>
        <w:spacing w:after="0" w:line="277" w:lineRule="auto"/>
        <w:rPr>
          <w:sz w:val="20"/>
          <w:szCs w:val="20"/>
          <w:color w:val="auto"/>
        </w:rPr>
      </w:pPr>
      <w:r>
        <w:rPr>
          <w:rFonts w:ascii="Arial" w:cs="Arial" w:eastAsia="Arial" w:hAnsi="Arial"/>
          <w:sz w:val="18"/>
          <w:szCs w:val="18"/>
          <w:color w:val="auto"/>
        </w:rPr>
        <w:t>The shares of Your Common Stock shall have the piggyback registration rights set forth in Section 2.3 of the Amended and Restated Investors’ Rights Agreement, dated as of December 16, 2014 (as amended, the “Investors’ Rights Agreement”).</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0"/>
          </w:cols>
          <w:pgMar w:left="450" w:top="274" w:right="439" w:bottom="1440" w:gutter="0" w:footer="0" w:header="0"/>
        </w:sectPr>
      </w:pPr>
    </w:p>
    <w:bookmarkStart w:id="381" w:name="page382"/>
    <w:bookmarkEnd w:id="381"/>
    <w:p>
      <w:pPr>
        <w:ind w:left="430" w:hanging="430"/>
        <w:spacing w:after="0"/>
        <w:tabs>
          <w:tab w:leader="none" w:pos="430" w:val="left"/>
        </w:tabs>
        <w:numPr>
          <w:ilvl w:val="0"/>
          <w:numId w:val="26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LEGAL PROVISIONS THE PARTIES WILL ABIDE BY</w:t>
      </w:r>
      <w:r>
        <w:rPr>
          <w:rFonts w:ascii="Arial" w:cs="Arial" w:eastAsia="Arial" w:hAnsi="Arial"/>
          <w:sz w:val="18"/>
          <w:szCs w:val="18"/>
          <w:b w:val="1"/>
          <w:bCs w:val="1"/>
          <w:color w:val="auto"/>
        </w:rPr>
        <w:t>.</w:t>
      </w:r>
    </w:p>
    <w:p>
      <w:pPr>
        <w:spacing w:after="0" w:line="117" w:lineRule="exact"/>
        <w:rPr>
          <w:sz w:val="20"/>
          <w:szCs w:val="20"/>
          <w:color w:val="auto"/>
        </w:rPr>
      </w:pPr>
    </w:p>
    <w:p>
      <w:pPr>
        <w:ind w:left="10" w:right="480"/>
        <w:spacing w:after="0" w:line="312" w:lineRule="auto"/>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This Warrant Agreement shall be construed and shall be given effect in all respects as if it had been executed and delivered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on the date hereof. This Warrant Agreement shall be binding upon any of the successors or assigns of the Parties.</w:t>
      </w:r>
    </w:p>
    <w:p>
      <w:pPr>
        <w:spacing w:after="0" w:line="139" w:lineRule="exact"/>
        <w:rPr>
          <w:sz w:val="20"/>
          <w:szCs w:val="20"/>
          <w:color w:val="auto"/>
        </w:rPr>
      </w:pPr>
    </w:p>
    <w:p>
      <w:pPr>
        <w:ind w:left="10" w:right="180"/>
        <w:spacing w:after="0" w:line="281" w:lineRule="auto"/>
        <w:rPr>
          <w:sz w:val="20"/>
          <w:szCs w:val="20"/>
          <w:color w:val="auto"/>
        </w:rPr>
      </w:pP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In any litigation, arbitration or court proceeding between the Parties relating to this Warrant Agreement, the prevailing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attorneys’ fees and expenses and all costs of proceedings incurred in enforcing this Warrant Agreement.</w:t>
      </w:r>
    </w:p>
    <w:p>
      <w:pPr>
        <w:spacing w:after="0" w:line="163" w:lineRule="exact"/>
        <w:rPr>
          <w:sz w:val="20"/>
          <w:szCs w:val="20"/>
          <w:color w:val="auto"/>
        </w:rPr>
      </w:pPr>
    </w:p>
    <w:p>
      <w:pPr>
        <w:ind w:left="10" w:right="320"/>
        <w:spacing w:after="0" w:line="281"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Warrant Agreement shall be governed by and construed for all purposes under and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giving effect to that body of law pertaining to conflicts of laws.</w:t>
      </w:r>
    </w:p>
    <w:p>
      <w:pPr>
        <w:spacing w:after="0" w:line="163" w:lineRule="exact"/>
        <w:rPr>
          <w:sz w:val="20"/>
          <w:szCs w:val="20"/>
          <w:color w:val="auto"/>
        </w:rPr>
      </w:pPr>
    </w:p>
    <w:p>
      <w:pPr>
        <w:ind w:left="10" w:right="20"/>
        <w:spacing w:after="0" w:line="287" w:lineRule="auto"/>
        <w:rPr>
          <w:sz w:val="20"/>
          <w:szCs w:val="20"/>
          <w:color w:val="auto"/>
        </w:rPr>
      </w:pPr>
      <w:r>
        <w:rPr>
          <w:rFonts w:ascii="Arial" w:cs="Arial" w:eastAsia="Arial" w:hAnsi="Arial"/>
          <w:sz w:val="16"/>
          <w:szCs w:val="16"/>
          <w:b w:val="1"/>
          <w:bCs w:val="1"/>
          <w:color w:val="auto"/>
        </w:rPr>
        <w:t xml:space="preserve">Consent to Jurisdiction and Venue. </w:t>
      </w:r>
      <w:r>
        <w:rPr>
          <w:rFonts w:ascii="Arial" w:cs="Arial" w:eastAsia="Arial" w:hAnsi="Arial"/>
          <w:sz w:val="16"/>
          <w:szCs w:val="16"/>
          <w:color w:val="auto"/>
        </w:rPr>
        <w:t>All judicial proceedings arising in or under or related to this Warrant Agreement may be brought in any state or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court of competent jurisdiction located in the State of California. By execution and delivery of this Warrant Agreement, each party hereto generally and unconditionally: (a) consents to personal jurisdiction in San Mateo County, State of California; (b) waives any objection as to jurisdiction or venue in San Mateo County, State of California; (c) agrees not to assert any defense based on lack of jurisdiction or venue in the aforesaid courts; and</w:t>
      </w:r>
    </w:p>
    <w:p>
      <w:pPr>
        <w:spacing w:after="0" w:line="2" w:lineRule="exact"/>
        <w:rPr>
          <w:sz w:val="20"/>
          <w:szCs w:val="20"/>
          <w:color w:val="auto"/>
        </w:rPr>
      </w:pPr>
    </w:p>
    <w:p>
      <w:pPr>
        <w:ind w:left="10" w:right="20" w:hanging="10"/>
        <w:spacing w:after="0" w:line="273" w:lineRule="auto"/>
        <w:tabs>
          <w:tab w:leader="none" w:pos="26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irrevocably agrees to be bound by any judgment rendered thereby in connection with this Warrant Agreement. Service of process on any party hereto in any action arising out of or relating to this Warrant Agreement shall be effective if given in accordance with the requirements for notice set forth in this Section, and shall be deemed effective and received as set forth therein. Nothing herein shall affect the right to serve process in any other manner permitted by law or shall limit the right of either party to bring proceedings in the courts of any other jurisdiction.</w:t>
      </w:r>
    </w:p>
    <w:p>
      <w:pPr>
        <w:spacing w:after="0" w:line="171" w:lineRule="exact"/>
        <w:rPr>
          <w:sz w:val="20"/>
          <w:szCs w:val="20"/>
          <w:color w:val="auto"/>
        </w:rPr>
      </w:pPr>
    </w:p>
    <w:p>
      <w:pPr>
        <w:ind w:left="10"/>
        <w:spacing w:after="0" w:line="267" w:lineRule="auto"/>
        <w:rPr>
          <w:sz w:val="20"/>
          <w:szCs w:val="20"/>
          <w:color w:val="auto"/>
        </w:rPr>
      </w:pPr>
      <w:r>
        <w:rPr>
          <w:rFonts w:ascii="Arial" w:cs="Arial" w:eastAsia="Arial" w:hAnsi="Arial"/>
          <w:sz w:val="17"/>
          <w:szCs w:val="17"/>
          <w:b w:val="1"/>
          <w:bCs w:val="1"/>
          <w:color w:val="auto"/>
        </w:rPr>
        <w:t xml:space="preserve">Mutual Waiver of Jury Trial; Judicial Reference. </w:t>
      </w:r>
      <w:r>
        <w:rPr>
          <w:rFonts w:ascii="Arial" w:cs="Arial" w:eastAsia="Arial" w:hAnsi="Arial"/>
          <w:sz w:val="17"/>
          <w:szCs w:val="17"/>
          <w:color w:val="auto"/>
        </w:rPr>
        <w:t>Because disputes arising in connection with complex financial transactions are most quickly and</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economically resolved by an experienced and expert person and the Parties wish applicable state and federal laws to apply (rather than arbitration rules), The Parties desire that their disputes be resolved by a judge applying such applicable laws. EACH OF THE PARTIES SPECIFICALLY WAIVES ANY RIGHT THEY MAY HAVE TO TRIAL BY JURY OF ANY CAUSE OF ACTION, CLAIM, CROSS-CLAIM, COUNTERCLAIM, THIRD PARTY CLAIM OR ANY OTHER CLAIM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ASSERTED BY YOU AGAINST US OR OUR ASSIGNEE OR BY US OR OUR ASSIGNEE AGAINST YOU. IN THE EVENT THAT THE FOREGOING JURY TRIAL WAIVER IS NOT ENFORCEABLE, ALL CLAIMS, INCLUDING ANY AND ALL QUESTIONS OF LAW OR FACT RELATING THERETO, SHALL, AT THE WRITTEN REQUEST OF ANY PARTY, BE DETERMINED BY JUDICIAL REFERENCE PURSUANT TO THE CALIFORNIA CODE OF CIVIL PROCEDURE (“REFERENCE”). THE PARTIES SHALL SELECT A SINGLE NEUTRAL REFEREE, WHO SHALL BE A RETIRED STATE OR FEDERAL JUDGE. IN THE EVENT THAT THE PARTIES CANNOT AGREE UPON A REFEREE, THE REFEREE SHALL BE APPOINTED BY THE COURT. THE REFEREE SHALL REPORT A STATEMENT OF DECISION TO THE COURT. NOTHING IN THIS SECTION SHALL LIMIT THE RIGHT OF ANY PARTY AT ANY TIME TO EXERCISE LAWFUL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SECTION. THE PARTIES ACKNOWLEDGE THAT THE CLAIMS WILL NOT BE ADJUDICATED BY A JURY. This waiver extends to all such Claims, including Claims that involve persons other than You and Us; Claims that arise out of or are in any way connected to the relationship between You and Us; and any Claims for damages, breach of contract, specific performance, or any equitable or legal relief of any kind, arising out of this Warrant Agreement.</w:t>
      </w:r>
    </w:p>
    <w:p>
      <w:pPr>
        <w:spacing w:after="0" w:line="186" w:lineRule="exact"/>
        <w:rPr>
          <w:sz w:val="20"/>
          <w:szCs w:val="20"/>
          <w:color w:val="auto"/>
        </w:rPr>
      </w:pPr>
    </w:p>
    <w:p>
      <w:pPr>
        <w:ind w:left="10" w:right="440"/>
        <w:spacing w:after="0" w:line="281"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Warrant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3" w:lineRule="exact"/>
        <w:rPr>
          <w:sz w:val="20"/>
          <w:szCs w:val="20"/>
          <w:color w:val="auto"/>
        </w:rPr>
      </w:pPr>
    </w:p>
    <w:p>
      <w:pPr>
        <w:ind w:left="10" w:right="20"/>
        <w:spacing w:after="0" w:line="260"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or permitted under this Warrant Agreement shall be given in writing and shall be deemed effectively given upon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of (1) actual receipt or 3 days after mailing if mailed postage prepaid by regular or airmail to Us or You or (2) one day after it is sent by overnight mail via nationally recognized courier or (3) on the same day as sent via confirmed facsimile transmission, provided that the original is sent by personal delivery or mail by the sending party.</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0"/>
          </w:cols>
          <w:pgMar w:left="450" w:top="270" w:right="459" w:bottom="1440" w:gutter="0" w:footer="0" w:header="0"/>
        </w:sectPr>
      </w:pPr>
    </w:p>
    <w:bookmarkStart w:id="382" w:name="page383"/>
    <w:bookmarkEnd w:id="382"/>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Remedies. </w:t>
      </w:r>
      <w:r>
        <w:rPr>
          <w:rFonts w:ascii="Arial" w:cs="Arial" w:eastAsia="Arial" w:hAnsi="Arial"/>
          <w:sz w:val="17"/>
          <w:szCs w:val="17"/>
          <w:color w:val="auto"/>
        </w:rPr>
        <w:t>In the event of any default hereunder, the non-defaulting party may proceed to protect and enforce its rights either by suit in equity and/or by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at law, including but not limited to an action for damages as a result of any such default, and/or an action for specific performance for any default where such party will not have an adequate remedy at law and where damages will not be readily ascertainable. Each party expressly acknowledges and agrees that there is no adequate remedy at law for any breach of this Warrant Agreement and that in the event of any breach of this Warrant Agreement, the injured party shall be entitled to specific performance of any or all provisions hereof or an injunction prohibiting the other party from continuing to commit any such breach of this Warrant Agreement.</w:t>
      </w:r>
    </w:p>
    <w:p>
      <w:pPr>
        <w:spacing w:after="0" w:line="172"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representations, warranties, covenants, and conditions of the Parties contained herein or made pursuant to this Warrant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execution and delivery of this Warrant Agreement.</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one or more of the provisions of this Warrant Agreement shall for any reason be held invalid, illegal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Warrant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82"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Warrant Agreement constitutes the entire agreement between the Parties pertaining to the subject matter contained in it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agreements, representations and undertakings of the Parties, whether oral or written, with respect to such subject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Any provision of this Warrant Agreement may only be amended by a written instrument signed by the Parties.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Lost Warrants or Stock Certificates. </w:t>
      </w:r>
      <w:r>
        <w:rPr>
          <w:rFonts w:ascii="Arial" w:cs="Arial" w:eastAsia="Arial" w:hAnsi="Arial"/>
          <w:sz w:val="18"/>
          <w:szCs w:val="18"/>
          <w:color w:val="auto"/>
        </w:rPr>
        <w:t>You covenant to Us that, upon receipt of evidence reasonably satisfactory to You of the loss, theft, destruction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mutilation of this Warrant Agreement or any stock certificate and, in the case of any such loss, theft or destruction, upon receipt of an indemnity reasonably satisfactory to You, or in the case of any such mutilation upon surrender and cancellation of such Warrant Agreement or stock certificate, You will make and deliver a new Warrant Agreement or stock certificate, of like tenor, in lieu of the lost, stolen, destroyed or mutilated Warrant Agreement or stock certificate.</w:t>
      </w:r>
    </w:p>
    <w:p>
      <w:pPr>
        <w:spacing w:after="0" w:line="1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 xml:space="preserve">Rights as Stockholders. </w:t>
      </w:r>
      <w:r>
        <w:rPr>
          <w:rFonts w:ascii="Arial" w:cs="Arial" w:eastAsia="Arial" w:hAnsi="Arial"/>
          <w:sz w:val="17"/>
          <w:szCs w:val="17"/>
          <w:color w:val="auto"/>
        </w:rPr>
        <w:t>We shall not, as a party to this Warrant Agreement, be entitled to vote or receive dividends or be deemed the 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Stock or any of Your other securities which may at any time be issuable upon the exercise hereof for any purpose, nor shall anything contained herein be construed to confer upon Us any of the rights of one of Your stockholders or any right to vote for the election of directors or upon any matter submitted to stockholders at any meeting thereof, or to receive dividends or subscription rights or otherwise until this Warrant Agreement is exercised and the shares purchasable upon the exercise hereof shall have become deliverable, as provided herein.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Signatures. </w:t>
      </w:r>
      <w:r>
        <w:rPr>
          <w:rFonts w:ascii="Arial" w:cs="Arial" w:eastAsia="Arial" w:hAnsi="Arial"/>
          <w:sz w:val="16"/>
          <w:szCs w:val="16"/>
          <w:color w:val="auto"/>
        </w:rPr>
        <w:t>This Warrant Agreement may be executed and delivered by facsimile or transmitted electronically in either Tagged Image Format Files</w:t>
      </w:r>
    </w:p>
    <w:p>
      <w:pPr>
        <w:spacing w:after="0" w:line="5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“TIFF”</w:t>
      </w:r>
      <w:r>
        <w:rPr>
          <w:rFonts w:ascii="Arial" w:cs="Arial" w:eastAsia="Arial" w:hAnsi="Arial"/>
          <w:sz w:val="18"/>
          <w:szCs w:val="18"/>
          <w:color w:val="auto"/>
        </w:rPr>
        <w:t>) or Portable Document Format (</w:t>
      </w:r>
      <w:r>
        <w:rPr>
          <w:rFonts w:ascii="Arial" w:cs="Arial" w:eastAsia="Arial" w:hAnsi="Arial"/>
          <w:sz w:val="18"/>
          <w:szCs w:val="18"/>
          <w:b w:val="1"/>
          <w:bCs w:val="1"/>
          <w:color w:val="auto"/>
        </w:rPr>
        <w:t>“PDF”</w:t>
      </w:r>
      <w:r>
        <w:rPr>
          <w:rFonts w:ascii="Arial" w:cs="Arial" w:eastAsia="Arial" w:hAnsi="Arial"/>
          <w:sz w:val="18"/>
          <w:szCs w:val="18"/>
          <w:color w:val="auto"/>
        </w:rPr>
        <w:t>) and, upon such delivery, the facsimile, TIFF or PDF signature, as applicable, will be deemed to have the same effect as if the original signature had been delivered to the other party.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Follow)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60" w:top="270" w:right="499" w:bottom="1440" w:gutter="0" w:footer="0" w:header="0"/>
        </w:sectPr>
      </w:pPr>
    </w:p>
    <w:bookmarkStart w:id="383" w:name="page384"/>
    <w:bookmarkEnd w:id="383"/>
    <w:p>
      <w:pPr>
        <w:ind w:right="32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each of the Parties have caused this Warrant Agreement to be executed by its officers who are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90" w:lineRule="exact"/>
        <w:rPr>
          <w:sz w:val="20"/>
          <w:szCs w:val="20"/>
          <w:color w:val="auto"/>
        </w:rPr>
      </w:pPr>
    </w:p>
    <w:tbl>
      <w:tblPr>
        <w:tblLayout w:type="fixed"/>
        <w:tblInd w:w="660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You:</w:t>
            </w:r>
          </w:p>
        </w:tc>
        <w:tc>
          <w:tcPr>
            <w:tcW w:w="3380" w:type="dxa"/>
            <w:vAlign w:val="bottom"/>
          </w:tcPr>
          <w:p>
            <w:pPr>
              <w:spacing w:after="0"/>
              <w:rPr>
                <w:sz w:val="20"/>
                <w:szCs w:val="20"/>
                <w:color w:val="auto"/>
              </w:rPr>
            </w:pPr>
            <w:r>
              <w:rPr>
                <w:rFonts w:ascii="Arial" w:cs="Arial" w:eastAsia="Arial" w:hAnsi="Arial"/>
                <w:sz w:val="18"/>
                <w:szCs w:val="18"/>
                <w:b w:val="1"/>
                <w:bCs w:val="1"/>
                <w:color w:val="auto"/>
              </w:rPr>
              <w:t>PERSONALIS, INC.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WEST</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380" w:type="dxa"/>
            <w:vAlign w:val="bottom"/>
          </w:tcPr>
          <w:p>
            <w:pPr>
              <w:spacing w:after="0"/>
              <w:rPr>
                <w:sz w:val="20"/>
                <w:szCs w:val="20"/>
                <w:color w:val="auto"/>
              </w:rPr>
            </w:pPr>
            <w:r>
              <w:rPr>
                <w:rFonts w:ascii="Arial" w:cs="Arial" w:eastAsia="Arial" w:hAnsi="Arial"/>
                <w:sz w:val="18"/>
                <w:szCs w:val="18"/>
                <w:color w:val="auto"/>
              </w:rPr>
              <w:t>JOHN WEST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3380" w:type="dxa"/>
            <w:vAlign w:val="bottom"/>
          </w:tcPr>
          <w:p>
            <w:pPr>
              <w:spacing w:after="0"/>
              <w:rPr>
                <w:sz w:val="20"/>
                <w:szCs w:val="20"/>
                <w:color w:val="auto"/>
              </w:rPr>
            </w:pPr>
            <w:r>
              <w:rPr>
                <w:rFonts w:ascii="Arial" w:cs="Arial" w:eastAsia="Arial" w:hAnsi="Arial"/>
                <w:sz w:val="18"/>
                <w:szCs w:val="18"/>
                <w:b w:val="1"/>
                <w:bCs w:val="1"/>
                <w:color w:val="auto"/>
              </w:rPr>
              <w:t>TRIPLEPOINT CAPITAL LLC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Olson</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380" w:type="dxa"/>
            <w:vAlign w:val="bottom"/>
          </w:tcPr>
          <w:p>
            <w:pPr>
              <w:spacing w:after="0"/>
              <w:rPr>
                <w:sz w:val="20"/>
                <w:szCs w:val="20"/>
                <w:color w:val="auto"/>
              </w:rPr>
            </w:pPr>
            <w:r>
              <w:rPr>
                <w:rFonts w:ascii="Arial" w:cs="Arial" w:eastAsia="Arial" w:hAnsi="Arial"/>
                <w:sz w:val="18"/>
                <w:szCs w:val="18"/>
                <w:color w:val="auto"/>
              </w:rPr>
              <w:t>Andrew Olson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WARRANT AGREEMENT 1115-W-02]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69" w:right="439" w:bottom="1440" w:gutter="0" w:footer="0" w:header="0"/>
        </w:sectPr>
      </w:pPr>
    </w:p>
    <w:bookmarkStart w:id="384" w:name="page385"/>
    <w:bookmarkEnd w:id="384"/>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25"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10970"/>
          </w:cols>
          <w:pgMar w:left="450" w:top="270" w:right="479" w:bottom="1440" w:gutter="0" w:footer="0" w:header="0"/>
        </w:sectPr>
      </w:pPr>
    </w:p>
    <w:p>
      <w:pPr>
        <w:spacing w:after="0" w:line="225"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 xml:space="preserve">To: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ectPr>
          <w:pgSz w:w="11900" w:h="16838" w:orient="portrait"/>
          <w:cols w:equalWidth="0" w:num="2">
            <w:col w:w="890" w:space="720"/>
            <w:col w:w="9360"/>
          </w:cols>
          <w:pgMar w:left="450" w:top="270" w:right="479" w:bottom="1440" w:gutter="0" w:footer="0" w:header="0"/>
          <w:type w:val="continuous"/>
        </w:sectPr>
      </w:pPr>
    </w:p>
    <w:p>
      <w:pPr>
        <w:ind w:left="430" w:right="140" w:hanging="419"/>
        <w:spacing w:after="0" w:line="273" w:lineRule="auto"/>
        <w:tabs>
          <w:tab w:leader="none" w:pos="409"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We hereby elect to purchase [ ] shares of the Series [ ] Preferred Stock of [ ], pursuant to the terms of the Plain English Warrant Agreement dated the [ ] day of [ ], [20] (the “Plain English Warrant Agreement”) between You and Us, We hereby tender here payment</w:t>
      </w:r>
    </w:p>
    <w:p>
      <w:pPr>
        <w:sectPr>
          <w:pgSz w:w="11900" w:h="16838" w:orient="portrait"/>
          <w:cols w:equalWidth="0" w:num="1">
            <w:col w:w="10970"/>
          </w:cols>
          <w:pgMar w:left="450" w:top="270" w:right="479" w:bottom="1440" w:gutter="0" w:footer="0" w:header="0"/>
          <w:type w:val="continuous"/>
        </w:sectPr>
      </w:pPr>
    </w:p>
    <w:p>
      <w:pPr>
        <w:spacing w:after="0" w:line="1" w:lineRule="exact"/>
        <w:rPr>
          <w:sz w:val="20"/>
          <w:szCs w:val="20"/>
          <w:color w:val="auto"/>
        </w:rPr>
      </w:pPr>
    </w:p>
    <w:p>
      <w:pPr>
        <w:ind w:left="430"/>
        <w:spacing w:after="0"/>
        <w:rPr>
          <w:sz w:val="20"/>
          <w:szCs w:val="20"/>
          <w:color w:val="auto"/>
        </w:rPr>
      </w:pPr>
      <w:r>
        <w:rPr>
          <w:rFonts w:ascii="Arial" w:cs="Arial" w:eastAsia="Arial" w:hAnsi="Arial"/>
          <w:sz w:val="18"/>
          <w:szCs w:val="18"/>
          <w:color w:val="auto"/>
        </w:rPr>
        <w:t>of the purchase price for such shares in full, together with all applicable transfer taxes, if any.</w:t>
      </w:r>
    </w:p>
    <w:p>
      <w:pPr>
        <w:spacing w:after="0" w:line="116" w:lineRule="exact"/>
        <w:rPr>
          <w:sz w:val="20"/>
          <w:szCs w:val="20"/>
          <w:color w:val="auto"/>
        </w:rPr>
      </w:pPr>
    </w:p>
    <w:p>
      <w:pPr>
        <w:ind w:left="430" w:hanging="430"/>
        <w:spacing w:after="0"/>
        <w:tabs>
          <w:tab w:leader="none" w:pos="43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Method of Exercise (Please initial the applicable blank)</w:t>
      </w:r>
    </w:p>
    <w:p>
      <w:pPr>
        <w:spacing w:after="0" w:line="130" w:lineRule="exact"/>
        <w:rPr>
          <w:rFonts w:ascii="Arial" w:cs="Arial" w:eastAsia="Arial" w:hAnsi="Arial"/>
          <w:sz w:val="18"/>
          <w:szCs w:val="18"/>
          <w:color w:val="auto"/>
        </w:rPr>
      </w:pPr>
    </w:p>
    <w:p>
      <w:pPr>
        <w:ind w:left="870" w:right="160" w:hanging="438"/>
        <w:spacing w:after="0" w:line="277" w:lineRule="auto"/>
        <w:tabs>
          <w:tab w:leader="none" w:pos="145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undersigned elects to exercise the Plain English Warrant Agreement by means of a cash payment, and gives You full payment for the purchase price of the shares being purchased, together with all applicable transfer taxes, if any.</w:t>
      </w:r>
    </w:p>
    <w:p>
      <w:pPr>
        <w:spacing w:after="0" w:line="75" w:lineRule="exact"/>
        <w:rPr>
          <w:rFonts w:ascii="Arial" w:cs="Arial" w:eastAsia="Arial" w:hAnsi="Arial"/>
          <w:sz w:val="18"/>
          <w:szCs w:val="18"/>
          <w:color w:val="auto"/>
        </w:rPr>
      </w:pPr>
    </w:p>
    <w:p>
      <w:pPr>
        <w:ind w:left="870" w:hanging="438"/>
        <w:spacing w:after="0" w:line="277" w:lineRule="auto"/>
        <w:tabs>
          <w:tab w:leader="none" w:pos="145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undersigned elects to exercise the Plain English Warrant Agreement by means of the Net Issuance Exercise method of Section 3 of the Plain English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-533400</wp:posOffset>
            </wp:positionV>
            <wp:extent cx="34226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26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-182245</wp:posOffset>
            </wp:positionV>
            <wp:extent cx="34226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55" w:lineRule="exact"/>
        <w:rPr>
          <w:sz w:val="20"/>
          <w:szCs w:val="20"/>
          <w:color w:val="auto"/>
        </w:rPr>
      </w:pPr>
    </w:p>
    <w:p>
      <w:pPr>
        <w:ind w:left="430" w:right="120" w:hanging="419"/>
        <w:spacing w:after="0" w:line="277" w:lineRule="auto"/>
        <w:tabs>
          <w:tab w:leader="none" w:pos="409"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In exercising Our rights to purchase the Series [ ] Preferred Stock of [ ], We hereby confirm and acknowledge the investment representations, warranties and covenants made in Section 7 of the Plain English Warrant Agreement.</w:t>
      </w:r>
    </w:p>
    <w:p>
      <w:pPr>
        <w:sectPr>
          <w:pgSz w:w="11900" w:h="16838" w:orient="portrait"/>
          <w:cols w:equalWidth="0" w:num="1">
            <w:col w:w="10970"/>
          </w:cols>
          <w:pgMar w:left="450" w:top="270" w:right="479" w:bottom="1440" w:gutter="0" w:footer="0" w:header="0"/>
          <w:type w:val="continuous"/>
        </w:sectPr>
      </w:pPr>
    </w:p>
    <w:p>
      <w:pPr>
        <w:spacing w:after="0" w:line="170" w:lineRule="exact"/>
        <w:rPr>
          <w:sz w:val="20"/>
          <w:szCs w:val="20"/>
          <w:color w:val="auto"/>
        </w:rPr>
      </w:pPr>
    </w:p>
    <w:p>
      <w:pPr>
        <w:ind w:left="10"/>
        <w:spacing w:after="0" w:line="277" w:lineRule="auto"/>
        <w:rPr>
          <w:sz w:val="20"/>
          <w:szCs w:val="20"/>
          <w:color w:val="auto"/>
        </w:rPr>
      </w:pPr>
      <w:r>
        <w:rPr>
          <w:rFonts w:ascii="Arial" w:cs="Arial" w:eastAsia="Arial" w:hAnsi="Arial"/>
          <w:sz w:val="18"/>
          <w:szCs w:val="18"/>
          <w:color w:val="auto"/>
        </w:rPr>
        <w:t>Please issue a certificate or certificates representing these purchased shares of Series [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27927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Preferred Stock in Our name or in such other name as is</w:t>
      </w:r>
    </w:p>
    <w:p>
      <w:pPr>
        <w:spacing w:after="0" w:line="493" w:lineRule="exact"/>
        <w:rPr>
          <w:sz w:val="20"/>
          <w:szCs w:val="20"/>
          <w:color w:val="auto"/>
        </w:rPr>
      </w:pPr>
    </w:p>
    <w:p>
      <w:pPr>
        <w:sectPr>
          <w:pgSz w:w="11900" w:h="16838" w:orient="portrait"/>
          <w:cols w:equalWidth="0" w:num="2">
            <w:col w:w="6190" w:space="400"/>
            <w:col w:w="4380"/>
          </w:cols>
          <w:pgMar w:left="450" w:top="270" w:right="479" w:bottom="1440" w:gutter="0" w:footer="0" w:header="0"/>
          <w:type w:val="continuous"/>
        </w:sectPr>
      </w:pP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279273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b w:val="1"/>
          <w:bCs w:val="1"/>
          <w:color w:val="auto"/>
        </w:rPr>
        <w:t>US:</w:t>
        <w:tab/>
        <w:t>TRIPLEPOINT CAPITAL LLC</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4983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4983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4983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164" w:lineRule="exact"/>
        <w:rPr>
          <w:sz w:val="20"/>
          <w:szCs w:val="20"/>
          <w:color w:val="auto"/>
        </w:rPr>
      </w:pPr>
    </w:p>
    <w:p>
      <w:pPr>
        <w:jc w:val="center"/>
        <w:ind w:right="-2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70"/>
          </w:cols>
          <w:pgMar w:left="450" w:top="270" w:right="479" w:bottom="1440" w:gutter="0" w:footer="0" w:header="0"/>
          <w:type w:val="continuous"/>
        </w:sectPr>
      </w:pPr>
    </w:p>
    <w:bookmarkStart w:id="385" w:name="page386"/>
    <w:bookmarkEnd w:id="385"/>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6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EXHIBIT II</w:t>
            </w:r>
          </w:p>
        </w:tc>
        <w:tc>
          <w:tcPr>
            <w:tcW w:w="90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6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ACKNOWLEDGMENT OF EXERCISE</w:t>
            </w:r>
          </w:p>
        </w:tc>
        <w:tc>
          <w:tcPr>
            <w:tcW w:w="90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920" w:type="dxa"/>
            <w:vAlign w:val="bottom"/>
            <w:gridSpan w:val="3"/>
          </w:tcPr>
          <w:p>
            <w:pPr>
              <w:ind w:left="72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hereby acknowledges receipt of the “Notice of Exercise” from TRIPLEPOINT CAPITAL LLC, to purchase [</w:t>
            </w: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tc>
      </w:tr>
      <w:tr>
        <w:trPr>
          <w:trHeight w:val="220"/>
        </w:trPr>
        <w:tc>
          <w:tcPr>
            <w:tcW w:w="1180" w:type="dxa"/>
            <w:vAlign w:val="bottom"/>
          </w:tcPr>
          <w:p>
            <w:pPr>
              <w:spacing w:after="0"/>
              <w:rPr>
                <w:sz w:val="20"/>
                <w:szCs w:val="20"/>
                <w:color w:val="auto"/>
              </w:rPr>
            </w:pPr>
            <w:r>
              <w:rPr>
                <w:rFonts w:ascii="Arial" w:cs="Arial" w:eastAsia="Arial" w:hAnsi="Arial"/>
                <w:sz w:val="18"/>
                <w:szCs w:val="18"/>
                <w:color w:val="auto"/>
              </w:rPr>
              <w:t>of the Series [</w:t>
            </w:r>
          </w:p>
        </w:tc>
        <w:tc>
          <w:tcPr>
            <w:tcW w:w="206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of</w:t>
            </w:r>
            <w:r>
              <w:rPr>
                <w:rFonts w:ascii="Arial" w:cs="Arial" w:eastAsia="Arial" w:hAnsi="Arial"/>
                <w:sz w:val="18"/>
                <w:szCs w:val="18"/>
                <w:b w:val="1"/>
                <w:bCs w:val="1"/>
                <w:color w:val="auto"/>
              </w:rPr>
              <w:t xml:space="preserve"> [</w:t>
            </w:r>
          </w:p>
        </w:tc>
        <w:tc>
          <w:tcPr>
            <w:tcW w:w="7760" w:type="dxa"/>
            <w:vAlign w:val="bottom"/>
            <w:gridSpan w:val="3"/>
          </w:tcPr>
          <w:p>
            <w:pPr>
              <w:ind w:left="36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pursuant to the terms of the Plain English Warrant Agreement, and further acknowledges that [</w:t>
            </w:r>
          </w:p>
        </w:tc>
      </w:tr>
      <w:tr>
        <w:trPr>
          <w:trHeight w:val="230"/>
        </w:trPr>
        <w:tc>
          <w:tcPr>
            <w:tcW w:w="10100" w:type="dxa"/>
            <w:vAlign w:val="bottom"/>
            <w:gridSpan w:val="4"/>
          </w:tcPr>
          <w:p>
            <w:pPr>
              <w:ind w:left="340"/>
              <w:spacing w:after="0"/>
              <w:rPr>
                <w:sz w:val="20"/>
                <w:szCs w:val="20"/>
                <w:color w:val="auto"/>
              </w:rPr>
            </w:pPr>
            <w:r>
              <w:rPr>
                <w:rFonts w:ascii="Arial" w:cs="Arial" w:eastAsia="Arial" w:hAnsi="Arial"/>
                <w:sz w:val="18"/>
                <w:szCs w:val="18"/>
                <w:color w:val="auto"/>
              </w:rPr>
              <w:t>] shares remain subject to purchase under the terms of the Plain English Warrant Agreement.</w:t>
            </w:r>
          </w:p>
        </w:tc>
        <w:tc>
          <w:tcPr>
            <w:tcW w:w="900" w:type="dxa"/>
            <w:vAlign w:val="bottom"/>
          </w:tcPr>
          <w:p>
            <w:pPr>
              <w:spacing w:after="0"/>
              <w:rPr>
                <w:sz w:val="20"/>
                <w:szCs w:val="20"/>
                <w:color w:val="auto"/>
              </w:rPr>
            </w:pPr>
          </w:p>
        </w:tc>
      </w:tr>
      <w:tr>
        <w:trPr>
          <w:trHeight w:val="459"/>
        </w:trPr>
        <w:tc>
          <w:tcPr>
            <w:tcW w:w="1180" w:type="dxa"/>
            <w:vAlign w:val="bottom"/>
          </w:tcPr>
          <w:p>
            <w:pPr>
              <w:ind w:left="340"/>
              <w:spacing w:after="0"/>
              <w:rPr>
                <w:sz w:val="20"/>
                <w:szCs w:val="20"/>
                <w:color w:val="auto"/>
              </w:rPr>
            </w:pPr>
            <w:r>
              <w:rPr>
                <w:rFonts w:ascii="Arial" w:cs="Arial" w:eastAsia="Arial" w:hAnsi="Arial"/>
                <w:sz w:val="18"/>
                <w:szCs w:val="18"/>
                <w:b w:val="1"/>
                <w:bCs w:val="1"/>
                <w:color w:val="auto"/>
              </w:rPr>
              <w:t>YOU:</w:t>
            </w:r>
          </w:p>
        </w:tc>
        <w:tc>
          <w:tcPr>
            <w:tcW w:w="2060" w:type="dxa"/>
            <w:vAlign w:val="bottom"/>
          </w:tcPr>
          <w:p>
            <w:pPr>
              <w:spacing w:after="0"/>
              <w:rPr>
                <w:sz w:val="24"/>
                <w:szCs w:val="24"/>
                <w:color w:val="auto"/>
              </w:rPr>
            </w:pPr>
          </w:p>
        </w:tc>
        <w:tc>
          <w:tcPr>
            <w:tcW w:w="6860" w:type="dxa"/>
            <w:vAlign w:val="bottom"/>
            <w:gridSpan w:val="2"/>
          </w:tcPr>
          <w:p>
            <w:pPr>
              <w:ind w:left="2500"/>
              <w:spacing w:after="0"/>
              <w:rPr>
                <w:sz w:val="20"/>
                <w:szCs w:val="20"/>
                <w:color w:val="auto"/>
              </w:rPr>
            </w:pPr>
            <w:r>
              <w:rPr>
                <w:rFonts w:ascii="Arial" w:cs="Arial" w:eastAsia="Arial" w:hAnsi="Arial"/>
                <w:sz w:val="18"/>
                <w:szCs w:val="18"/>
                <w:b w:val="1"/>
                <w:bCs w:val="1"/>
                <w:color w:val="auto"/>
              </w:rPr>
              <w:t>PERSONALIS, INC.</w:t>
            </w:r>
          </w:p>
        </w:tc>
        <w:tc>
          <w:tcPr>
            <w:tcW w:w="9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ind w:left="25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439"/>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ind w:left="2500"/>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14605</wp:posOffset>
            </wp:positionV>
            <wp:extent cx="2997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997835"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0" w:right="439" w:bottom="1440" w:gutter="0" w:footer="0" w:header="0"/>
        </w:sectPr>
      </w:pPr>
    </w:p>
    <w:bookmarkStart w:id="386" w:name="page387"/>
    <w:bookmarkEnd w:id="3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TRANSFER NOTICE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the foregoing Plain English Warrant Agreement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434340</wp:posOffset>
            </wp:positionV>
            <wp:extent cx="33966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-7620</wp:posOffset>
            </wp:positionV>
            <wp:extent cx="425259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2525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419735</wp:posOffset>
            </wp:positionV>
            <wp:extent cx="513778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37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17145</wp:posOffset>
            </wp:positionV>
            <wp:extent cx="286131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23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signature to this Transfer Notice must correspond with the name as it appears on the face of the Plain English Warrant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 or enlargement or any change whatever. Officers of corporations and those acting in a fiduciary or other representative capacity should file proper evidence of authority to assign the foregoing Plain English Warrant Agreement.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60" w:top="270" w:right="55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2011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18, 2011</w:t>
      </w:r>
    </w:p>
    <w:p>
      <w:pPr>
        <w:spacing w:after="0" w:line="3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N</w:t>
      </w:r>
      <w:r>
        <w:rPr>
          <w:rFonts w:ascii="Arial" w:cs="Arial" w:eastAsia="Arial" w:hAnsi="Arial"/>
          <w:sz w:val="14"/>
          <w:szCs w:val="14"/>
          <w:b w:val="1"/>
          <w:bCs w:val="1"/>
          <w:color w:val="auto"/>
        </w:rPr>
        <w:t>OVEMBER</w:t>
      </w:r>
      <w:r>
        <w:rPr>
          <w:rFonts w:ascii="Arial" w:cs="Arial" w:eastAsia="Arial" w:hAnsi="Arial"/>
          <w:sz w:val="18"/>
          <w:szCs w:val="18"/>
          <w:b w:val="1"/>
          <w:bCs w:val="1"/>
          <w:color w:val="auto"/>
        </w:rPr>
        <w:t xml:space="preserve"> 2, 2011</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S</w:t>
      </w:r>
      <w:r>
        <w:rPr>
          <w:rFonts w:ascii="Arial" w:cs="Arial" w:eastAsia="Arial" w:hAnsi="Arial"/>
          <w:sz w:val="14"/>
          <w:szCs w:val="14"/>
          <w:b w:val="1"/>
          <w:bCs w:val="1"/>
          <w:color w:val="auto"/>
        </w:rPr>
        <w:t>EPTEMBER</w:t>
      </w:r>
      <w:r>
        <w:rPr>
          <w:rFonts w:ascii="Arial" w:cs="Arial" w:eastAsia="Arial" w:hAnsi="Arial"/>
          <w:sz w:val="18"/>
          <w:szCs w:val="18"/>
          <w:b w:val="1"/>
          <w:bCs w:val="1"/>
          <w:color w:val="auto"/>
        </w:rPr>
        <w:t xml:space="preserve"> 30, 2013</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1, 2013</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10, 2014</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15, 2014</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11, 2016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6, 2016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6, 2018</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15, 2018</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14, 2018</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24, 2018</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26, 2019</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21, 2019</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18, 2021</w:t>
      </w:r>
    </w:p>
    <w:p>
      <w:pPr>
        <w:spacing w:after="0" w:line="206" w:lineRule="exact"/>
        <w:rPr>
          <w:sz w:val="20"/>
          <w:szCs w:val="20"/>
          <w:color w:val="auto"/>
        </w:rPr>
      </w:pPr>
    </w:p>
    <w:p>
      <w:pPr>
        <w:ind w:left="310" w:hanging="310"/>
        <w:spacing w:after="0"/>
        <w:tabs>
          <w:tab w:leader="none" w:pos="31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830" w:hanging="390"/>
        <w:spacing w:after="0"/>
        <w:tabs>
          <w:tab w:leader="none" w:pos="830"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116" w:lineRule="exact"/>
        <w:rPr>
          <w:rFonts w:ascii="Arial" w:cs="Arial" w:eastAsia="Arial" w:hAnsi="Arial"/>
          <w:sz w:val="18"/>
          <w:szCs w:val="18"/>
          <w:b w:val="1"/>
          <w:bCs w:val="1"/>
          <w:color w:val="auto"/>
        </w:rPr>
      </w:pPr>
    </w:p>
    <w:p>
      <w:pPr>
        <w:ind w:left="10" w:right="440" w:firstLine="430"/>
        <w:spacing w:after="0" w:line="281" w:lineRule="auto"/>
        <w:tabs>
          <w:tab w:leader="none" w:pos="849"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Stock Awards: (i) Incentive Stock Options, (ii)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(iii) Stock Appreciation Rights, (iv) Restricted Stock Awards, and (v) Restricted Stock Unit Awards.</w:t>
      </w:r>
    </w:p>
    <w:p>
      <w:pPr>
        <w:spacing w:after="0" w:line="54" w:lineRule="exact"/>
        <w:rPr>
          <w:rFonts w:ascii="Arial" w:cs="Arial" w:eastAsia="Arial" w:hAnsi="Arial"/>
          <w:sz w:val="18"/>
          <w:szCs w:val="18"/>
          <w:b w:val="1"/>
          <w:bCs w:val="1"/>
          <w:color w:val="auto"/>
        </w:rPr>
      </w:pPr>
    </w:p>
    <w:p>
      <w:pPr>
        <w:ind w:left="10" w:right="140" w:firstLine="430"/>
        <w:spacing w:after="0" w:line="260" w:lineRule="auto"/>
        <w:tabs>
          <w:tab w:leader="none" w:pos="829"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as set 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90" w:lineRule="exact"/>
        <w:rPr>
          <w:rFonts w:ascii="Arial" w:cs="Arial" w:eastAsia="Arial" w:hAnsi="Arial"/>
          <w:sz w:val="18"/>
          <w:szCs w:val="18"/>
          <w:b w:val="1"/>
          <w:bCs w:val="1"/>
          <w:color w:val="auto"/>
        </w:rPr>
      </w:pPr>
    </w:p>
    <w:p>
      <w:pPr>
        <w:ind w:left="310" w:hanging="310"/>
        <w:spacing w:after="0"/>
        <w:tabs>
          <w:tab w:leader="none" w:pos="31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720" w:firstLine="430"/>
        <w:spacing w:after="0" w:line="281" w:lineRule="auto"/>
        <w:tabs>
          <w:tab w:leader="none" w:pos="839"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Section 2(c).</w:t>
      </w:r>
    </w:p>
    <w:p>
      <w:pPr>
        <w:spacing w:after="0" w:line="54" w:lineRule="exact"/>
        <w:rPr>
          <w:rFonts w:ascii="Arial" w:cs="Arial" w:eastAsia="Arial" w:hAnsi="Arial"/>
          <w:sz w:val="18"/>
          <w:szCs w:val="18"/>
          <w:b w:val="1"/>
          <w:bCs w:val="1"/>
          <w:color w:val="auto"/>
        </w:rPr>
      </w:pPr>
    </w:p>
    <w:p>
      <w:pPr>
        <w:ind w:left="830" w:hanging="390"/>
        <w:spacing w:after="0"/>
        <w:tabs>
          <w:tab w:leader="none" w:pos="830"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20" w:lineRule="exact"/>
        <w:rPr>
          <w:rFonts w:ascii="Arial" w:cs="Arial" w:eastAsia="Arial" w:hAnsi="Arial"/>
          <w:sz w:val="18"/>
          <w:szCs w:val="18"/>
          <w:b w:val="1"/>
          <w:bCs w:val="1"/>
          <w:color w:val="auto"/>
        </w:rPr>
      </w:pPr>
    </w:p>
    <w:p>
      <w:pPr>
        <w:ind w:left="10" w:firstLine="871"/>
        <w:spacing w:after="0" w:line="256" w:lineRule="auto"/>
        <w:tabs>
          <w:tab w:leader="none" w:pos="1236" w:val="left"/>
        </w:tabs>
        <w:numPr>
          <w:ilvl w:val="2"/>
          <w:numId w:val="269"/>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388" w:name="page389"/>
    <w:bookmarkEnd w:id="388"/>
    <w:p>
      <w:pPr>
        <w:ind w:left="10" w:firstLine="871"/>
        <w:spacing w:after="0" w:line="286" w:lineRule="auto"/>
        <w:tabs>
          <w:tab w:leader="none" w:pos="1286" w:val="left"/>
        </w:tabs>
        <w:numPr>
          <w:ilvl w:val="1"/>
          <w:numId w:val="27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56" w:lineRule="exact"/>
        <w:rPr>
          <w:rFonts w:ascii="Arial" w:cs="Arial" w:eastAsia="Arial" w:hAnsi="Arial"/>
          <w:sz w:val="17"/>
          <w:szCs w:val="17"/>
          <w:b w:val="1"/>
          <w:bCs w:val="1"/>
          <w:color w:val="auto"/>
        </w:rPr>
      </w:pPr>
    </w:p>
    <w:p>
      <w:pPr>
        <w:ind w:left="1330" w:hanging="449"/>
        <w:spacing w:after="0"/>
        <w:tabs>
          <w:tab w:leader="none" w:pos="1330"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116" w:lineRule="exact"/>
        <w:rPr>
          <w:rFonts w:ascii="Arial" w:cs="Arial" w:eastAsia="Arial" w:hAnsi="Arial"/>
          <w:sz w:val="18"/>
          <w:szCs w:val="18"/>
          <w:b w:val="1"/>
          <w:bCs w:val="1"/>
          <w:color w:val="auto"/>
        </w:rPr>
      </w:pPr>
    </w:p>
    <w:p>
      <w:pPr>
        <w:ind w:left="10" w:right="20" w:firstLine="871"/>
        <w:spacing w:after="0" w:line="263" w:lineRule="auto"/>
        <w:tabs>
          <w:tab w:leader="none" w:pos="1326"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74" w:lineRule="exact"/>
        <w:rPr>
          <w:rFonts w:ascii="Arial" w:cs="Arial" w:eastAsia="Arial" w:hAnsi="Arial"/>
          <w:sz w:val="18"/>
          <w:szCs w:val="18"/>
          <w:b w:val="1"/>
          <w:bCs w:val="1"/>
          <w:color w:val="auto"/>
        </w:rPr>
      </w:pPr>
    </w:p>
    <w:p>
      <w:pPr>
        <w:ind w:left="10" w:right="180" w:firstLine="871"/>
        <w:spacing w:after="0" w:line="277" w:lineRule="auto"/>
        <w:tabs>
          <w:tab w:leader="none" w:pos="1276"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61" w:lineRule="exact"/>
        <w:rPr>
          <w:rFonts w:ascii="Arial" w:cs="Arial" w:eastAsia="Arial" w:hAnsi="Arial"/>
          <w:sz w:val="18"/>
          <w:szCs w:val="18"/>
          <w:b w:val="1"/>
          <w:bCs w:val="1"/>
          <w:color w:val="auto"/>
        </w:rPr>
      </w:pPr>
    </w:p>
    <w:p>
      <w:pPr>
        <w:ind w:left="10" w:right="220" w:firstLine="871"/>
        <w:spacing w:after="0" w:line="284" w:lineRule="auto"/>
        <w:tabs>
          <w:tab w:leader="none" w:pos="1326"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w:t>
      </w:r>
    </w:p>
    <w:p>
      <w:pPr>
        <w:spacing w:after="0" w:line="1" w:lineRule="exact"/>
        <w:rPr>
          <w:rFonts w:ascii="Arial" w:cs="Arial" w:eastAsia="Arial" w:hAnsi="Arial"/>
          <w:sz w:val="16"/>
          <w:szCs w:val="16"/>
          <w:b w:val="1"/>
          <w:bCs w:val="1"/>
          <w:color w:val="auto"/>
        </w:rPr>
      </w:pPr>
    </w:p>
    <w:p>
      <w:pPr>
        <w:ind w:left="10" w:right="20" w:hanging="10"/>
        <w:spacing w:after="0" w:line="281" w:lineRule="auto"/>
        <w:tabs>
          <w:tab w:leader="none" w:pos="28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w:t>
      </w:r>
    </w:p>
    <w:p>
      <w:pPr>
        <w:ind w:left="10"/>
        <w:spacing w:after="0"/>
        <w:rPr>
          <w:rFonts w:ascii="Arial" w:cs="Arial" w:eastAsia="Arial" w:hAnsi="Arial"/>
          <w:sz w:val="16"/>
          <w:szCs w:val="16"/>
          <w:color w:val="auto"/>
        </w:rPr>
      </w:pPr>
      <w:r>
        <w:rPr>
          <w:rFonts w:ascii="Arial" w:cs="Arial" w:eastAsia="Arial" w:hAnsi="Arial"/>
          <w:sz w:val="18"/>
          <w:szCs w:val="18"/>
          <w:color w:val="auto"/>
        </w:rPr>
        <w:t>(2) such Participant consents in writing.</w:t>
      </w:r>
    </w:p>
    <w:p>
      <w:pPr>
        <w:spacing w:after="0" w:line="102" w:lineRule="exact"/>
        <w:rPr>
          <w:rFonts w:ascii="Arial" w:cs="Arial" w:eastAsia="Arial" w:hAnsi="Arial"/>
          <w:sz w:val="16"/>
          <w:szCs w:val="16"/>
          <w:color w:val="auto"/>
        </w:rPr>
      </w:pPr>
    </w:p>
    <w:p>
      <w:pPr>
        <w:ind w:left="10" w:right="320" w:firstLine="871"/>
        <w:spacing w:after="0" w:line="277" w:lineRule="auto"/>
        <w:tabs>
          <w:tab w:leader="none" w:pos="1376"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61" w:lineRule="exact"/>
        <w:rPr>
          <w:rFonts w:ascii="Arial" w:cs="Arial" w:eastAsia="Arial" w:hAnsi="Arial"/>
          <w:sz w:val="18"/>
          <w:szCs w:val="18"/>
          <w:b w:val="1"/>
          <w:bCs w:val="1"/>
          <w:color w:val="auto"/>
        </w:rPr>
      </w:pPr>
    </w:p>
    <w:p>
      <w:pPr>
        <w:ind w:left="10" w:right="100" w:firstLine="871"/>
        <w:spacing w:after="0" w:line="279" w:lineRule="auto"/>
        <w:tabs>
          <w:tab w:leader="none" w:pos="1426"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rights under any Stock Award shall not be impaired by any such amendment unless (i) the Company requests the consent of the affected Participant, and (ii) such</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4" w:right="459" w:bottom="1440" w:gutter="0" w:footer="0" w:header="0"/>
        </w:sectPr>
      </w:pPr>
    </w:p>
    <w:bookmarkStart w:id="389" w:name="page390"/>
    <w:bookmarkEnd w:id="389"/>
    <w:p>
      <w:pPr>
        <w:ind w:left="1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spacing w:after="0" w:line="75" w:lineRule="exact"/>
        <w:rPr>
          <w:sz w:val="20"/>
          <w:szCs w:val="20"/>
          <w:color w:val="auto"/>
        </w:rPr>
      </w:pPr>
    </w:p>
    <w:p>
      <w:pPr>
        <w:ind w:left="10" w:right="120" w:firstLine="871"/>
        <w:spacing w:after="0" w:line="277" w:lineRule="auto"/>
        <w:tabs>
          <w:tab w:leader="none" w:pos="1330" w:val="left"/>
        </w:tabs>
        <w:numPr>
          <w:ilvl w:val="2"/>
          <w:numId w:val="27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61" w:lineRule="exact"/>
        <w:rPr>
          <w:rFonts w:ascii="Arial" w:cs="Arial" w:eastAsia="Arial" w:hAnsi="Arial"/>
          <w:sz w:val="18"/>
          <w:szCs w:val="18"/>
          <w:b w:val="1"/>
          <w:bCs w:val="1"/>
          <w:color w:val="auto"/>
        </w:rPr>
      </w:pPr>
    </w:p>
    <w:p>
      <w:pPr>
        <w:ind w:left="10" w:right="60" w:firstLine="871"/>
        <w:spacing w:after="0" w:line="277" w:lineRule="auto"/>
        <w:tabs>
          <w:tab w:leader="none" w:pos="1276" w:val="left"/>
        </w:tabs>
        <w:numPr>
          <w:ilvl w:val="2"/>
          <w:numId w:val="27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61" w:lineRule="exact"/>
        <w:rPr>
          <w:rFonts w:ascii="Arial" w:cs="Arial" w:eastAsia="Arial" w:hAnsi="Arial"/>
          <w:sz w:val="18"/>
          <w:szCs w:val="18"/>
          <w:b w:val="1"/>
          <w:bCs w:val="1"/>
          <w:color w:val="auto"/>
        </w:rPr>
      </w:pPr>
    </w:p>
    <w:p>
      <w:pPr>
        <w:ind w:left="10" w:right="80" w:firstLine="871"/>
        <w:spacing w:after="0" w:line="291" w:lineRule="auto"/>
        <w:tabs>
          <w:tab w:leader="none" w:pos="1326" w:val="left"/>
        </w:tabs>
        <w:numPr>
          <w:ilvl w:val="2"/>
          <w:numId w:val="272"/>
        </w:numPr>
        <w:rPr>
          <w:rFonts w:ascii="Arial" w:cs="Arial" w:eastAsia="Arial" w:hAnsi="Arial"/>
          <w:sz w:val="16"/>
          <w:szCs w:val="16"/>
          <w:b w:val="1"/>
          <w:bCs w:val="1"/>
          <w:color w:val="auto"/>
        </w:rPr>
      </w:pPr>
      <w:r>
        <w:rPr>
          <w:rFonts w:ascii="Arial" w:cs="Arial" w:eastAsia="Arial" w:hAnsi="Arial"/>
          <w:sz w:val="16"/>
          <w:szCs w:val="16"/>
          <w:color w:val="auto"/>
        </w:rPr>
        <w:t xml:space="preserve">To effect, at any time and from time to time, with the consent of any adversely affected Participant, (A) the reduction of the exercise price (or strike price) of any outstanding Option or SAR under the Plan, (B) the cancellation of any outstanding Option or SAR under the Plan and the grant in substitution therefore of (1) a new Option or SAR under the Plan or another equity plan of the Company covering the same or a different number of shares of Common Stock, (2) a Restricted Stock Award, (3) a Restricted Stock Unit Award, (4) cash and/or (5) other valuable consideration (as determined by the Board, in its sole discretion), or (C) any other action that is treated as a repricing under generally accepted accounting principles;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reduction or cancellation may be effected if it is determined, in the Company’s sole discretion, that such reduction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would result in any such outstanding Option becoming subject to the requirements of Section 409A of the Code.</w:t>
      </w:r>
    </w:p>
    <w:p>
      <w:pPr>
        <w:spacing w:after="0" w:line="53" w:lineRule="exact"/>
        <w:rPr>
          <w:rFonts w:ascii="Arial" w:cs="Arial" w:eastAsia="Arial" w:hAnsi="Arial"/>
          <w:sz w:val="16"/>
          <w:szCs w:val="16"/>
          <w:b w:val="1"/>
          <w:bCs w:val="1"/>
          <w:color w:val="auto"/>
        </w:rPr>
      </w:pPr>
    </w:p>
    <w:p>
      <w:pPr>
        <w:ind w:left="10" w:firstLine="430"/>
        <w:spacing w:after="0" w:line="255" w:lineRule="auto"/>
        <w:tabs>
          <w:tab w:leader="none" w:pos="829" w:val="left"/>
        </w:tabs>
        <w:numPr>
          <w:ilvl w:val="1"/>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79" w:lineRule="exact"/>
        <w:rPr>
          <w:rFonts w:ascii="Arial" w:cs="Arial" w:eastAsia="Arial" w:hAnsi="Arial"/>
          <w:sz w:val="18"/>
          <w:szCs w:val="18"/>
          <w:b w:val="1"/>
          <w:bCs w:val="1"/>
          <w:color w:val="auto"/>
        </w:rPr>
      </w:pPr>
    </w:p>
    <w:p>
      <w:pPr>
        <w:ind w:left="830" w:hanging="390"/>
        <w:spacing w:after="0"/>
        <w:tabs>
          <w:tab w:leader="none" w:pos="830"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ind w:left="10" w:hanging="10"/>
        <w:spacing w:after="0" w:line="252" w:lineRule="auto"/>
        <w:tabs>
          <w:tab w:leader="none" w:pos="22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spacing w:after="0" w:line="12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50"/>
          </w:cols>
          <w:pgMar w:left="450" w:top="273" w:right="499" w:bottom="1440" w:gutter="0" w:footer="0" w:header="0"/>
        </w:sectPr>
      </w:pPr>
    </w:p>
    <w:bookmarkStart w:id="390" w:name="page391"/>
    <w:bookmarkEnd w:id="390"/>
    <w:p>
      <w:pPr>
        <w:ind w:left="10" w:right="340" w:firstLine="430"/>
        <w:spacing w:after="0" w:line="281" w:lineRule="auto"/>
        <w:tabs>
          <w:tab w:leader="none" w:pos="829"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270" w:lineRule="exact"/>
        <w:rPr>
          <w:rFonts w:ascii="Arial" w:cs="Arial" w:eastAsia="Arial" w:hAnsi="Arial"/>
          <w:sz w:val="18"/>
          <w:szCs w:val="18"/>
          <w:b w:val="1"/>
          <w:bCs w:val="1"/>
          <w:color w:val="auto"/>
        </w:rPr>
      </w:pPr>
    </w:p>
    <w:p>
      <w:pPr>
        <w:ind w:left="310" w:hanging="310"/>
        <w:spacing w:after="0"/>
        <w:tabs>
          <w:tab w:leader="none" w:pos="31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86" w:lineRule="auto"/>
        <w:tabs>
          <w:tab w:leader="none" w:pos="839" w:val="left"/>
        </w:tabs>
        <w:numPr>
          <w:ilvl w:val="1"/>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Share Reserve</w:t>
      </w:r>
      <w:r>
        <w:rPr>
          <w:rFonts w:ascii="Arial" w:cs="Arial" w:eastAsia="Arial" w:hAnsi="Arial"/>
          <w:sz w:val="16"/>
          <w:szCs w:val="16"/>
          <w:color w:val="auto"/>
        </w:rPr>
        <w:t>. Subject to the provisions of Section 9(a) relating to Capitalization Adjustments, the aggregate number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that may be issued pursuant to Stock Awards beginning on the Effective Date shall not exceed twenty three million nine hundred sixty eight thousand (23,968,000) shares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 Furthermore, if a Stock Award (i) expires or otherwise terminates without having been exercised in full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holder of the Stock Award receives cash rather than stock), such expiration, termination or settlement shall not reduce (or otherwise offset) the number of shares of Common Stock that may be issued pursuant to the Plan. For clarity, the limitation in this</w:t>
      </w:r>
    </w:p>
    <w:p>
      <w:pPr>
        <w:spacing w:after="0" w:line="1" w:lineRule="exact"/>
        <w:rPr>
          <w:rFonts w:ascii="Arial" w:cs="Arial" w:eastAsia="Arial" w:hAnsi="Arial"/>
          <w:sz w:val="16"/>
          <w:szCs w:val="16"/>
          <w:b w:val="1"/>
          <w:bCs w:val="1"/>
          <w:color w:val="auto"/>
        </w:rPr>
      </w:pPr>
    </w:p>
    <w:p>
      <w:pPr>
        <w:ind w:left="10" w:right="2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Section 3(a) is a limitation in the number of shares of Common Stock that may be issued pursuant to the Plan. Accordingly, this Section 3(a) does not limit the granting of Stock Awards except as provided in Section 7(a).</w:t>
      </w:r>
    </w:p>
    <w:p>
      <w:pPr>
        <w:spacing w:after="0" w:line="72" w:lineRule="exact"/>
        <w:rPr>
          <w:rFonts w:ascii="Arial" w:cs="Arial" w:eastAsia="Arial" w:hAnsi="Arial"/>
          <w:sz w:val="16"/>
          <w:szCs w:val="16"/>
          <w:b w:val="1"/>
          <w:bCs w:val="1"/>
          <w:color w:val="auto"/>
        </w:rPr>
      </w:pPr>
    </w:p>
    <w:p>
      <w:pPr>
        <w:ind w:left="10" w:firstLine="430"/>
        <w:spacing w:after="0" w:line="276" w:lineRule="auto"/>
        <w:tabs>
          <w:tab w:leader="none" w:pos="849"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Reversion of Shares to the Share Reserve</w:t>
      </w:r>
      <w:r>
        <w:rPr>
          <w:rFonts w:ascii="Arial" w:cs="Arial" w:eastAsia="Arial" w:hAnsi="Arial"/>
          <w:sz w:val="17"/>
          <w:szCs w:val="17"/>
          <w:color w:val="auto"/>
        </w:rPr>
        <w:t>. If any shares of Common Stock issued pursuant to a Stock Award are forfeited back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spacing w:after="0" w:line="63" w:lineRule="exact"/>
        <w:rPr>
          <w:rFonts w:ascii="Arial" w:cs="Arial" w:eastAsia="Arial" w:hAnsi="Arial"/>
          <w:sz w:val="17"/>
          <w:szCs w:val="17"/>
          <w:b w:val="1"/>
          <w:bCs w:val="1"/>
          <w:color w:val="auto"/>
        </w:rPr>
      </w:pPr>
    </w:p>
    <w:p>
      <w:pPr>
        <w:jc w:val="both"/>
        <w:ind w:left="10" w:right="480" w:firstLine="430"/>
        <w:spacing w:after="0" w:line="288" w:lineRule="auto"/>
        <w:tabs>
          <w:tab w:leader="none" w:pos="829"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 </w:t>
      </w:r>
      <w:r>
        <w:rPr>
          <w:rFonts w:ascii="Arial" w:cs="Arial" w:eastAsia="Arial" w:hAnsi="Arial"/>
          <w:sz w:val="17"/>
          <w:szCs w:val="17"/>
          <w:color w:val="auto"/>
        </w:rPr>
        <w:t>Notwithstanding anything to the contrary in this Section 3(c), subject to the provisions of Section 9(a)</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Capitalization Adjustments, the aggregate maximum number of shares of Common Stock that may be issued pursuant to the exercise of Incentive Stock Options shall be twenty three million nine hundred sixty eight thousand (23,968,000) shares of Common Stock.</w:t>
      </w:r>
    </w:p>
    <w:p>
      <w:pPr>
        <w:spacing w:after="0" w:line="51" w:lineRule="exact"/>
        <w:rPr>
          <w:rFonts w:ascii="Arial" w:cs="Arial" w:eastAsia="Arial" w:hAnsi="Arial"/>
          <w:sz w:val="17"/>
          <w:szCs w:val="17"/>
          <w:b w:val="1"/>
          <w:bCs w:val="1"/>
          <w:color w:val="auto"/>
        </w:rPr>
      </w:pPr>
    </w:p>
    <w:p>
      <w:pPr>
        <w:ind w:left="10" w:right="400" w:firstLine="430"/>
        <w:spacing w:after="0" w:line="281" w:lineRule="auto"/>
        <w:tabs>
          <w:tab w:leader="none" w:pos="849"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270" w:lineRule="exact"/>
        <w:rPr>
          <w:rFonts w:ascii="Arial" w:cs="Arial" w:eastAsia="Arial" w:hAnsi="Arial"/>
          <w:sz w:val="18"/>
          <w:szCs w:val="18"/>
          <w:b w:val="1"/>
          <w:bCs w:val="1"/>
          <w:color w:val="auto"/>
        </w:rPr>
      </w:pPr>
    </w:p>
    <w:p>
      <w:pPr>
        <w:ind w:left="310" w:hanging="310"/>
        <w:spacing w:after="0"/>
        <w:tabs>
          <w:tab w:leader="none" w:pos="31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85" w:lineRule="auto"/>
        <w:tabs>
          <w:tab w:leader="none" w:pos="839" w:val="left"/>
        </w:tabs>
        <w:numPr>
          <w:ilvl w:val="1"/>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Nonstatutory Stock Options and SARs may not be granted to Employees, Directors and Consultants who are providing Continuous Service 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w:t>
      </w:r>
    </w:p>
    <w:p>
      <w:pPr>
        <w:spacing w:after="0" w:line="2"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Section 409A of the Code.</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0" w:right="439" w:bottom="1440" w:gutter="0" w:footer="0" w:header="0"/>
        </w:sectPr>
      </w:pPr>
    </w:p>
    <w:bookmarkStart w:id="391" w:name="page392"/>
    <w:bookmarkEnd w:id="391"/>
    <w:p>
      <w:pPr>
        <w:ind w:left="10" w:right="160" w:firstLine="430"/>
        <w:spacing w:after="0" w:line="266" w:lineRule="auto"/>
        <w:tabs>
          <w:tab w:leader="none" w:pos="84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 Percent Stockholders</w:t>
      </w:r>
      <w:r>
        <w:rPr>
          <w:rFonts w:ascii="Arial" w:cs="Arial" w:eastAsia="Arial" w:hAnsi="Arial"/>
          <w:sz w:val="18"/>
          <w:szCs w:val="18"/>
          <w:color w:val="auto"/>
        </w:rPr>
        <w:t>. A Ten Percent Stockholder shall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one hundred ten percent (110%) of the Fair Market Value on the date of grant and the Option is not exercisable after the expiration of five (5) years from the date of grant.</w:t>
      </w:r>
    </w:p>
    <w:p>
      <w:pPr>
        <w:spacing w:after="0" w:line="67" w:lineRule="exact"/>
        <w:rPr>
          <w:rFonts w:ascii="Arial" w:cs="Arial" w:eastAsia="Arial" w:hAnsi="Arial"/>
          <w:sz w:val="18"/>
          <w:szCs w:val="18"/>
          <w:b w:val="1"/>
          <w:bCs w:val="1"/>
          <w:color w:val="auto"/>
        </w:rPr>
      </w:pPr>
    </w:p>
    <w:p>
      <w:pPr>
        <w:ind w:left="10" w:right="20" w:firstLine="430"/>
        <w:spacing w:after="0" w:line="258" w:lineRule="auto"/>
        <w:tabs>
          <w:tab w:leader="none" w:pos="82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 A Consultant shall not be eligible for the grant of a Stock Award if, at the time of grant, either the offer or the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90" w:lineRule="exact"/>
        <w:rPr>
          <w:sz w:val="20"/>
          <w:szCs w:val="20"/>
          <w:color w:val="auto"/>
        </w:rPr>
      </w:pPr>
    </w:p>
    <w:p>
      <w:pPr>
        <w:ind w:left="310" w:hanging="310"/>
        <w:spacing w:after="0"/>
        <w:tabs>
          <w:tab w:leader="none" w:pos="31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440"/>
        <w:spacing w:after="0" w:line="293" w:lineRule="auto"/>
        <w:rPr>
          <w:sz w:val="20"/>
          <w:szCs w:val="20"/>
          <w:color w:val="auto"/>
        </w:rPr>
      </w:pPr>
      <w:r>
        <w:rPr>
          <w:rFonts w:ascii="Arial" w:cs="Arial" w:eastAsia="Arial" w:hAnsi="Arial"/>
          <w:sz w:val="16"/>
          <w:szCs w:val="16"/>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Option Agreement or Stock Appreciation Right Agreement shall conform to (through incorporation of provisions hereof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applicable Stock Award Agreement or otherwise) the substance of each of the following provisions:</w:t>
      </w:r>
    </w:p>
    <w:p>
      <w:pPr>
        <w:spacing w:after="0" w:line="51" w:lineRule="exact"/>
        <w:rPr>
          <w:sz w:val="20"/>
          <w:szCs w:val="20"/>
          <w:color w:val="auto"/>
        </w:rPr>
      </w:pPr>
    </w:p>
    <w:p>
      <w:pPr>
        <w:ind w:left="10" w:right="640" w:firstLine="430"/>
        <w:spacing w:after="0" w:line="312" w:lineRule="auto"/>
        <w:tabs>
          <w:tab w:leader="none" w:pos="839"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Subject to the provisions of Section 4(b) regarding Ten Percent Stockholders, no Option or SAR shall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its grant or such shorter period specified in the Stock Award Agreement.</w:t>
      </w:r>
    </w:p>
    <w:p>
      <w:pPr>
        <w:spacing w:after="0" w:line="31" w:lineRule="exact"/>
        <w:rPr>
          <w:rFonts w:ascii="Arial" w:cs="Arial" w:eastAsia="Arial" w:hAnsi="Arial"/>
          <w:sz w:val="17"/>
          <w:szCs w:val="17"/>
          <w:b w:val="1"/>
          <w:bCs w:val="1"/>
          <w:color w:val="auto"/>
        </w:rPr>
      </w:pPr>
    </w:p>
    <w:p>
      <w:pPr>
        <w:ind w:left="10" w:right="60" w:firstLine="430"/>
        <w:spacing w:after="0" w:line="272" w:lineRule="auto"/>
        <w:tabs>
          <w:tab w:leader="none" w:pos="849"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Incentive Stock Options granted to Ten Percent Stockholders,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0" w:right="459" w:bottom="1440" w:gutter="0" w:footer="0" w:header="0"/>
        </w:sectPr>
      </w:pPr>
    </w:p>
    <w:bookmarkStart w:id="392" w:name="page393"/>
    <w:bookmarkEnd w:id="392"/>
    <w:p>
      <w:pPr>
        <w:ind w:right="20" w:firstLine="430"/>
        <w:spacing w:after="0" w:line="258" w:lineRule="auto"/>
        <w:tabs>
          <w:tab w:leader="none" w:pos="81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Consideration for Options. </w:t>
      </w:r>
      <w:r>
        <w:rPr>
          <w:rFonts w:ascii="Arial" w:cs="Arial" w:eastAsia="Arial" w:hAnsi="Arial"/>
          <w:sz w:val="18"/>
          <w:szCs w:val="18"/>
          <w:color w:val="auto"/>
        </w:rPr>
        <w:t>The purchase price of Common Stock acquired pursuant to the exercise of an Option shall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78" w:lineRule="exact"/>
        <w:rPr>
          <w:rFonts w:ascii="Arial" w:cs="Arial" w:eastAsia="Arial" w:hAnsi="Arial"/>
          <w:sz w:val="18"/>
          <w:szCs w:val="18"/>
          <w:b w:val="1"/>
          <w:bCs w:val="1"/>
          <w:color w:val="auto"/>
        </w:rPr>
      </w:pPr>
    </w:p>
    <w:p>
      <w:pPr>
        <w:ind w:left="1220" w:hanging="349"/>
        <w:spacing w:after="0"/>
        <w:tabs>
          <w:tab w:leader="none" w:pos="122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6" w:lineRule="exact"/>
        <w:rPr>
          <w:rFonts w:ascii="Arial" w:cs="Arial" w:eastAsia="Arial" w:hAnsi="Arial"/>
          <w:sz w:val="18"/>
          <w:szCs w:val="18"/>
          <w:b w:val="1"/>
          <w:bCs w:val="1"/>
          <w:color w:val="auto"/>
        </w:rPr>
      </w:pPr>
    </w:p>
    <w:p>
      <w:pPr>
        <w:ind w:right="80" w:firstLine="871"/>
        <w:spacing w:after="0" w:line="263" w:lineRule="auto"/>
        <w:tabs>
          <w:tab w:leader="none" w:pos="128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4" w:lineRule="exact"/>
        <w:rPr>
          <w:rFonts w:ascii="Arial" w:cs="Arial" w:eastAsia="Arial" w:hAnsi="Arial"/>
          <w:sz w:val="18"/>
          <w:szCs w:val="18"/>
          <w:b w:val="1"/>
          <w:bCs w:val="1"/>
          <w:color w:val="auto"/>
        </w:rPr>
      </w:pPr>
    </w:p>
    <w:p>
      <w:pPr>
        <w:ind w:left="1320" w:hanging="449"/>
        <w:spacing w:after="0"/>
        <w:tabs>
          <w:tab w:leader="none" w:pos="132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6" w:lineRule="exact"/>
        <w:rPr>
          <w:rFonts w:ascii="Arial" w:cs="Arial" w:eastAsia="Arial" w:hAnsi="Arial"/>
          <w:sz w:val="18"/>
          <w:szCs w:val="18"/>
          <w:b w:val="1"/>
          <w:bCs w:val="1"/>
          <w:color w:val="auto"/>
        </w:rPr>
      </w:pPr>
    </w:p>
    <w:p>
      <w:pPr>
        <w:ind w:right="20" w:firstLine="871"/>
        <w:spacing w:after="0" w:line="254" w:lineRule="auto"/>
        <w:tabs>
          <w:tab w:leader="none" w:pos="132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spacing w:after="0" w:line="85" w:lineRule="exact"/>
        <w:rPr>
          <w:rFonts w:ascii="Arial" w:cs="Arial" w:eastAsia="Arial" w:hAnsi="Arial"/>
          <w:sz w:val="18"/>
          <w:szCs w:val="18"/>
          <w:b w:val="1"/>
          <w:bCs w:val="1"/>
          <w:color w:val="auto"/>
        </w:rPr>
      </w:pPr>
    </w:p>
    <w:p>
      <w:pPr>
        <w:ind w:firstLine="871"/>
        <w:spacing w:after="0" w:line="259" w:lineRule="auto"/>
        <w:tabs>
          <w:tab w:leader="none" w:pos="127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77" w:lineRule="exact"/>
        <w:rPr>
          <w:rFonts w:ascii="Arial" w:cs="Arial" w:eastAsia="Arial" w:hAnsi="Arial"/>
          <w:sz w:val="18"/>
          <w:szCs w:val="18"/>
          <w:b w:val="1"/>
          <w:bCs w:val="1"/>
          <w:color w:val="auto"/>
        </w:rPr>
      </w:pPr>
    </w:p>
    <w:p>
      <w:pPr>
        <w:ind w:left="1320" w:hanging="449"/>
        <w:spacing w:after="0"/>
        <w:tabs>
          <w:tab w:leader="none" w:pos="132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12" w:lineRule="exact"/>
        <w:rPr>
          <w:rFonts w:ascii="Arial" w:cs="Arial" w:eastAsia="Arial" w:hAnsi="Arial"/>
          <w:sz w:val="18"/>
          <w:szCs w:val="18"/>
          <w:b w:val="1"/>
          <w:bCs w:val="1"/>
          <w:color w:val="auto"/>
        </w:rPr>
      </w:pPr>
    </w:p>
    <w:p>
      <w:pPr>
        <w:ind w:right="80" w:firstLine="430"/>
        <w:spacing w:after="0" w:line="255" w:lineRule="auto"/>
        <w:tabs>
          <w:tab w:leader="none" w:pos="8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Stock Appreciation Right, the Participant must provide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69" w:right="459" w:bottom="1440" w:gutter="0" w:footer="0" w:header="0"/>
        </w:sectPr>
      </w:pPr>
    </w:p>
    <w:bookmarkStart w:id="393" w:name="page394"/>
    <w:bookmarkEnd w:id="393"/>
    <w:p>
      <w:pPr>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appreciation distribution in respect to a Stock Appreciation Right may be paid in Common Stock, in cash, in any combination of the two or in any other form of consideration, as determined by the Board and contained in the Stock Appreciation Right Agreement evidencing such Stock Appreciation Right.</w:t>
      </w:r>
    </w:p>
    <w:p>
      <w:pPr>
        <w:spacing w:after="0" w:line="13" w:lineRule="exact"/>
        <w:rPr>
          <w:sz w:val="20"/>
          <w:szCs w:val="20"/>
          <w:color w:val="auto"/>
        </w:rPr>
      </w:pPr>
    </w:p>
    <w:p>
      <w:pPr>
        <w:jc w:val="both"/>
        <w:ind w:right="120" w:firstLine="430"/>
        <w:spacing w:after="0" w:line="266" w:lineRule="auto"/>
        <w:tabs>
          <w:tab w:leader="none" w:pos="81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shall determine. In the absence of such a determination by the Board to the contrary, the following restrictions on the transferability of Options and SARs shall apply:</w:t>
      </w:r>
    </w:p>
    <w:p>
      <w:pPr>
        <w:spacing w:after="0" w:line="67" w:lineRule="exact"/>
        <w:rPr>
          <w:rFonts w:ascii="Arial" w:cs="Arial" w:eastAsia="Arial" w:hAnsi="Arial"/>
          <w:sz w:val="18"/>
          <w:szCs w:val="18"/>
          <w:b w:val="1"/>
          <w:bCs w:val="1"/>
          <w:color w:val="auto"/>
        </w:rPr>
      </w:pPr>
    </w:p>
    <w:p>
      <w:pPr>
        <w:jc w:val="both"/>
        <w:ind w:right="260" w:firstLine="871"/>
        <w:spacing w:after="0" w:line="260" w:lineRule="auto"/>
        <w:tabs>
          <w:tab w:leader="none" w:pos="1230"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shall not be transferable except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exercisable during the lifetime of the Participant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or SAR to such extent as permitted by Rule 701 and in a manner consistent with applicable tax and securities laws upon the Participant’s request.</w:t>
      </w:r>
    </w:p>
    <w:p>
      <w:pPr>
        <w:spacing w:after="0" w:line="74" w:lineRule="exact"/>
        <w:rPr>
          <w:rFonts w:ascii="Arial" w:cs="Arial" w:eastAsia="Arial" w:hAnsi="Arial"/>
          <w:sz w:val="18"/>
          <w:szCs w:val="18"/>
          <w:b w:val="1"/>
          <w:bCs w:val="1"/>
          <w:color w:val="auto"/>
        </w:rPr>
      </w:pPr>
    </w:p>
    <w:p>
      <w:pPr>
        <w:jc w:val="both"/>
        <w:ind w:right="220" w:firstLine="871"/>
        <w:spacing w:after="0" w:line="266" w:lineRule="auto"/>
        <w:tabs>
          <w:tab w:leader="none" w:pos="1280"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an Option or SAR may be transferred pursuant to a domestic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Option is an Incentive Stock Option, such Option may be deemed to be a Nonstatutory Stock Option as a result of such transfer.</w:t>
      </w:r>
    </w:p>
    <w:p>
      <w:pPr>
        <w:spacing w:after="0" w:line="67" w:lineRule="exact"/>
        <w:rPr>
          <w:rFonts w:ascii="Arial" w:cs="Arial" w:eastAsia="Arial" w:hAnsi="Arial"/>
          <w:sz w:val="18"/>
          <w:szCs w:val="18"/>
          <w:b w:val="1"/>
          <w:bCs w:val="1"/>
          <w:color w:val="auto"/>
        </w:rPr>
      </w:pPr>
    </w:p>
    <w:p>
      <w:pPr>
        <w:ind w:right="40" w:firstLine="871"/>
        <w:spacing w:after="0" w:line="276" w:lineRule="auto"/>
        <w:tabs>
          <w:tab w:leader="none" w:pos="1330"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Notwithstanding the foregoing, the Participant may, by delivering written notice to the Company,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63" w:lineRule="exact"/>
        <w:rPr>
          <w:rFonts w:ascii="Arial" w:cs="Arial" w:eastAsia="Arial" w:hAnsi="Arial"/>
          <w:sz w:val="17"/>
          <w:szCs w:val="17"/>
          <w:b w:val="1"/>
          <w:bCs w:val="1"/>
          <w:color w:val="auto"/>
        </w:rPr>
      </w:pPr>
    </w:p>
    <w:p>
      <w:pPr>
        <w:ind w:right="40" w:firstLine="430"/>
        <w:spacing w:after="0" w:line="276" w:lineRule="auto"/>
        <w:tabs>
          <w:tab w:leader="none" w:pos="800"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63" w:lineRule="exact"/>
        <w:rPr>
          <w:rFonts w:ascii="Arial" w:cs="Arial" w:eastAsia="Arial" w:hAnsi="Arial"/>
          <w:sz w:val="17"/>
          <w:szCs w:val="17"/>
          <w:b w:val="1"/>
          <w:bCs w:val="1"/>
          <w:color w:val="auto"/>
        </w:rPr>
      </w:pPr>
    </w:p>
    <w:p>
      <w:pPr>
        <w:ind w:right="20" w:firstLine="430"/>
        <w:spacing w:after="0" w:line="297" w:lineRule="auto"/>
        <w:tabs>
          <w:tab w:leader="none" w:pos="829"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Stock Award Agreement or other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and the Company, in the event that a Participant’s Continuous Service terminates (other than upon the Participant’s death or Disability), the Participant may exercise his or her Option or SAR (to the extent that the Participant was entitled to exercise such Stock Award as of the date of termination of Continuous Service) but only within such period of time ending on the earlier of (i) the date three (3) months following the termination of the Participant’s Continuous Service (or such longer or shorter period specified in the Stock Award Agreement, which period shall not be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394" w:name="page395"/>
    <w:bookmarkEnd w:id="394"/>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thirty (30) days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71" w:lineRule="exact"/>
        <w:rPr>
          <w:sz w:val="20"/>
          <w:szCs w:val="20"/>
          <w:color w:val="auto"/>
        </w:rPr>
      </w:pPr>
    </w:p>
    <w:p>
      <w:pPr>
        <w:ind w:firstLine="430"/>
        <w:spacing w:after="0" w:line="269" w:lineRule="auto"/>
        <w:tabs>
          <w:tab w:leader="none" w:pos="84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the exercise of an Option or SAR following the termination of the Participant’s Continuous Service (other than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 (ii) the expiration of the term of the Option or SAR as set forth in the applicable Stock Award Agreement.</w:t>
      </w:r>
    </w:p>
    <w:p>
      <w:pPr>
        <w:spacing w:after="0" w:line="72" w:lineRule="exact"/>
        <w:rPr>
          <w:rFonts w:ascii="Arial" w:cs="Arial" w:eastAsia="Arial" w:hAnsi="Arial"/>
          <w:sz w:val="17"/>
          <w:szCs w:val="17"/>
          <w:b w:val="1"/>
          <w:bCs w:val="1"/>
          <w:color w:val="auto"/>
        </w:rPr>
      </w:pPr>
    </w:p>
    <w:p>
      <w:pPr>
        <w:ind w:right="220" w:firstLine="430"/>
        <w:spacing w:after="0" w:line="271" w:lineRule="auto"/>
        <w:tabs>
          <w:tab w:leader="none" w:pos="79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Disability of Participant. </w:t>
      </w:r>
      <w:r>
        <w:rPr>
          <w:rFonts w:ascii="Arial" w:cs="Arial" w:eastAsia="Arial" w:hAnsi="Arial"/>
          <w:sz w:val="17"/>
          <w:szCs w:val="17"/>
          <w:color w:val="auto"/>
        </w:rPr>
        <w:t>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76" w:lineRule="exact"/>
        <w:rPr>
          <w:rFonts w:ascii="Arial" w:cs="Arial" w:eastAsia="Arial" w:hAnsi="Arial"/>
          <w:sz w:val="17"/>
          <w:szCs w:val="17"/>
          <w:b w:val="1"/>
          <w:bCs w:val="1"/>
          <w:color w:val="auto"/>
        </w:rPr>
      </w:pPr>
    </w:p>
    <w:p>
      <w:pPr>
        <w:ind w:firstLine="430"/>
        <w:spacing w:after="0" w:line="255" w:lineRule="auto"/>
        <w:tabs>
          <w:tab w:leader="none" w:pos="8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in the event that (i) a Participant’s Continuous Service terminates as a result of the Participant’s death, or (ii) 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3" w:right="479" w:bottom="1440" w:gutter="0" w:footer="0" w:header="0"/>
        </w:sectPr>
      </w:pPr>
    </w:p>
    <w:bookmarkStart w:id="395" w:name="page396"/>
    <w:bookmarkEnd w:id="395"/>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spacing w:after="0" w:line="53" w:lineRule="exact"/>
        <w:rPr>
          <w:sz w:val="20"/>
          <w:szCs w:val="20"/>
          <w:color w:val="auto"/>
        </w:rPr>
      </w:pPr>
    </w:p>
    <w:p>
      <w:pPr>
        <w:ind w:right="260" w:firstLine="430"/>
        <w:spacing w:after="0" w:line="314" w:lineRule="auto"/>
        <w:tabs>
          <w:tab w:leader="none" w:pos="840"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Stock Award Agreement, if a Participant’s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spacing w:after="0" w:line="33" w:lineRule="exact"/>
        <w:rPr>
          <w:rFonts w:ascii="Arial" w:cs="Arial" w:eastAsia="Arial" w:hAnsi="Arial"/>
          <w:sz w:val="16"/>
          <w:szCs w:val="16"/>
          <w:b w:val="1"/>
          <w:bCs w:val="1"/>
          <w:color w:val="auto"/>
        </w:rPr>
      </w:pPr>
    </w:p>
    <w:p>
      <w:pPr>
        <w:ind w:firstLine="430"/>
        <w:spacing w:after="0" w:line="271" w:lineRule="auto"/>
        <w:tabs>
          <w:tab w:leader="none" w:pos="79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No Option or SAR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68" w:lineRule="exact"/>
        <w:rPr>
          <w:rFonts w:ascii="Arial" w:cs="Arial" w:eastAsia="Arial" w:hAnsi="Arial"/>
          <w:sz w:val="17"/>
          <w:szCs w:val="17"/>
          <w:b w:val="1"/>
          <w:bCs w:val="1"/>
          <w:color w:val="auto"/>
        </w:rPr>
      </w:pPr>
    </w:p>
    <w:p>
      <w:pPr>
        <w:ind w:right="160" w:firstLine="430"/>
        <w:spacing w:after="0" w:line="272" w:lineRule="auto"/>
        <w:tabs>
          <w:tab w:leader="none" w:pos="889"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of Options. </w:t>
      </w:r>
      <w:r>
        <w:rPr>
          <w:rFonts w:ascii="Arial" w:cs="Arial" w:eastAsia="Arial" w:hAnsi="Arial"/>
          <w:sz w:val="17"/>
          <w:szCs w:val="17"/>
          <w:color w:val="auto"/>
        </w:rPr>
        <w:t>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67" w:lineRule="exact"/>
        <w:rPr>
          <w:rFonts w:ascii="Arial" w:cs="Arial" w:eastAsia="Arial" w:hAnsi="Arial"/>
          <w:sz w:val="17"/>
          <w:szCs w:val="17"/>
          <w:b w:val="1"/>
          <w:bCs w:val="1"/>
          <w:color w:val="auto"/>
        </w:rPr>
      </w:pPr>
    </w:p>
    <w:p>
      <w:pPr>
        <w:jc w:val="both"/>
        <w:ind w:right="420" w:firstLine="430"/>
        <w:spacing w:after="0" w:line="266" w:lineRule="auto"/>
        <w:tabs>
          <w:tab w:leader="none" w:pos="8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67" w:lineRule="exact"/>
        <w:rPr>
          <w:rFonts w:ascii="Arial" w:cs="Arial" w:eastAsia="Arial" w:hAnsi="Arial"/>
          <w:sz w:val="18"/>
          <w:szCs w:val="18"/>
          <w:b w:val="1"/>
          <w:bCs w:val="1"/>
          <w:color w:val="auto"/>
        </w:rPr>
      </w:pPr>
    </w:p>
    <w:p>
      <w:pPr>
        <w:ind w:right="120" w:firstLine="430"/>
        <w:spacing w:after="0" w:line="258" w:lineRule="auto"/>
        <w:tabs>
          <w:tab w:leader="none" w:pos="82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shall be subject to the “Repurchase Limitation” in Section 8(l). Except as expressly provided in this Section 5(o) or in the Stock Award Agreement, such right of first refusal shall otherwise comply with any applicable provisions of the Bylaws of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96" w:name="page397"/>
    <w:bookmarkEnd w:id="396"/>
    <w:p>
      <w:pPr>
        <w:ind w:left="310" w:hanging="310"/>
        <w:spacing w:after="0"/>
        <w:tabs>
          <w:tab w:leader="none" w:pos="31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40" w:firstLine="430"/>
        <w:spacing w:after="0" w:line="272" w:lineRule="auto"/>
        <w:tabs>
          <w:tab w:leader="none" w:pos="839" w:val="left"/>
        </w:tabs>
        <w:numPr>
          <w:ilvl w:val="1"/>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shall be in such form and shall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Restricted Stock Award Agreement shall conform to (through incorporation of the provisions hereof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67" w:lineRule="exact"/>
        <w:rPr>
          <w:rFonts w:ascii="Arial" w:cs="Arial" w:eastAsia="Arial" w:hAnsi="Arial"/>
          <w:sz w:val="17"/>
          <w:szCs w:val="17"/>
          <w:b w:val="1"/>
          <w:bCs w:val="1"/>
          <w:color w:val="auto"/>
        </w:rPr>
      </w:pPr>
    </w:p>
    <w:p>
      <w:pPr>
        <w:ind w:left="10" w:firstLine="871"/>
        <w:spacing w:after="0" w:line="266" w:lineRule="auto"/>
        <w:tabs>
          <w:tab w:leader="none" w:pos="1240"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or cash equivalents, (B) past or future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or to be rendered to the Company or an Affiliate, or (C) any other form of legal consideration that may be acceptable to the Board in its sole discretion and permissible under applicable law.</w:t>
      </w:r>
    </w:p>
    <w:p>
      <w:pPr>
        <w:spacing w:after="0" w:line="67" w:lineRule="exact"/>
        <w:rPr>
          <w:rFonts w:ascii="Arial" w:cs="Arial" w:eastAsia="Arial" w:hAnsi="Arial"/>
          <w:sz w:val="18"/>
          <w:szCs w:val="18"/>
          <w:b w:val="1"/>
          <w:bCs w:val="1"/>
          <w:color w:val="auto"/>
        </w:rPr>
      </w:pPr>
    </w:p>
    <w:p>
      <w:pPr>
        <w:ind w:left="10" w:right="120" w:firstLine="871"/>
        <w:spacing w:after="0" w:line="312" w:lineRule="auto"/>
        <w:tabs>
          <w:tab w:leader="none" w:pos="1290" w:val="left"/>
        </w:tabs>
        <w:numPr>
          <w:ilvl w:val="2"/>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31" w:lineRule="exact"/>
        <w:rPr>
          <w:rFonts w:ascii="Arial" w:cs="Arial" w:eastAsia="Arial" w:hAnsi="Arial"/>
          <w:sz w:val="17"/>
          <w:szCs w:val="17"/>
          <w:b w:val="1"/>
          <w:bCs w:val="1"/>
          <w:color w:val="auto"/>
        </w:rPr>
      </w:pPr>
    </w:p>
    <w:p>
      <w:pPr>
        <w:ind w:left="10" w:right="100" w:firstLine="871"/>
        <w:spacing w:after="0" w:line="266" w:lineRule="auto"/>
        <w:tabs>
          <w:tab w:leader="none" w:pos="1340"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67" w:lineRule="exact"/>
        <w:rPr>
          <w:rFonts w:ascii="Arial" w:cs="Arial" w:eastAsia="Arial" w:hAnsi="Arial"/>
          <w:sz w:val="18"/>
          <w:szCs w:val="18"/>
          <w:b w:val="1"/>
          <w:bCs w:val="1"/>
          <w:color w:val="auto"/>
        </w:rPr>
      </w:pPr>
    </w:p>
    <w:p>
      <w:pPr>
        <w:ind w:left="10" w:right="40" w:firstLine="871"/>
        <w:spacing w:after="0" w:line="260" w:lineRule="auto"/>
        <w:tabs>
          <w:tab w:leader="none" w:pos="1330"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74" w:lineRule="exact"/>
        <w:rPr>
          <w:rFonts w:ascii="Arial" w:cs="Arial" w:eastAsia="Arial" w:hAnsi="Arial"/>
          <w:sz w:val="18"/>
          <w:szCs w:val="18"/>
          <w:b w:val="1"/>
          <w:bCs w:val="1"/>
          <w:color w:val="auto"/>
        </w:rPr>
      </w:pPr>
    </w:p>
    <w:p>
      <w:pPr>
        <w:ind w:left="10" w:right="60" w:firstLine="871"/>
        <w:spacing w:after="0" w:line="281" w:lineRule="auto"/>
        <w:tabs>
          <w:tab w:leader="none" w:pos="1280"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0" w:right="459" w:bottom="1440" w:gutter="0" w:footer="0" w:header="0"/>
        </w:sectPr>
      </w:pPr>
    </w:p>
    <w:bookmarkStart w:id="397" w:name="page398"/>
    <w:bookmarkEnd w:id="397"/>
    <w:p>
      <w:pPr>
        <w:ind w:left="-20" w:right="140" w:firstLine="430"/>
        <w:spacing w:after="0" w:line="258" w:lineRule="auto"/>
        <w:tabs>
          <w:tab w:leader="none" w:pos="82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conform to (through incorporation of the provisions hereof by reference in the Agreement or otherwise) the substance of each of the following provisions:</w:t>
      </w:r>
    </w:p>
    <w:p>
      <w:pPr>
        <w:spacing w:after="0" w:line="74" w:lineRule="exact"/>
        <w:rPr>
          <w:rFonts w:ascii="Arial" w:cs="Arial" w:eastAsia="Arial" w:hAnsi="Arial"/>
          <w:sz w:val="18"/>
          <w:szCs w:val="18"/>
          <w:b w:val="1"/>
          <w:bCs w:val="1"/>
          <w:color w:val="auto"/>
        </w:rPr>
      </w:pPr>
    </w:p>
    <w:p>
      <w:pPr>
        <w:ind w:left="-20" w:right="40" w:firstLine="871"/>
        <w:spacing w:after="0" w:line="260" w:lineRule="auto"/>
        <w:tabs>
          <w:tab w:leader="none" w:pos="1210"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4" w:lineRule="exact"/>
        <w:rPr>
          <w:rFonts w:ascii="Arial" w:cs="Arial" w:eastAsia="Arial" w:hAnsi="Arial"/>
          <w:sz w:val="18"/>
          <w:szCs w:val="18"/>
          <w:b w:val="1"/>
          <w:bCs w:val="1"/>
          <w:color w:val="auto"/>
        </w:rPr>
      </w:pPr>
    </w:p>
    <w:p>
      <w:pPr>
        <w:ind w:left="-20" w:firstLine="871"/>
        <w:spacing w:after="0" w:line="281" w:lineRule="auto"/>
        <w:tabs>
          <w:tab w:leader="none" w:pos="1260"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54" w:lineRule="exact"/>
        <w:rPr>
          <w:rFonts w:ascii="Arial" w:cs="Arial" w:eastAsia="Arial" w:hAnsi="Arial"/>
          <w:sz w:val="18"/>
          <w:szCs w:val="18"/>
          <w:b w:val="1"/>
          <w:bCs w:val="1"/>
          <w:color w:val="auto"/>
        </w:rPr>
      </w:pPr>
    </w:p>
    <w:p>
      <w:pPr>
        <w:ind w:left="-20" w:right="260" w:firstLine="871"/>
        <w:spacing w:after="0" w:line="347" w:lineRule="auto"/>
        <w:tabs>
          <w:tab w:leader="none" w:pos="1310"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7" w:lineRule="exact"/>
        <w:rPr>
          <w:rFonts w:ascii="Arial" w:cs="Arial" w:eastAsia="Arial" w:hAnsi="Arial"/>
          <w:sz w:val="16"/>
          <w:szCs w:val="16"/>
          <w:b w:val="1"/>
          <w:bCs w:val="1"/>
          <w:color w:val="auto"/>
        </w:rPr>
      </w:pPr>
    </w:p>
    <w:p>
      <w:pPr>
        <w:ind w:left="-20" w:right="20" w:firstLine="871"/>
        <w:spacing w:after="0" w:line="266" w:lineRule="auto"/>
        <w:tabs>
          <w:tab w:leader="none" w:pos="1300"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67" w:lineRule="exact"/>
        <w:rPr>
          <w:rFonts w:ascii="Arial" w:cs="Arial" w:eastAsia="Arial" w:hAnsi="Arial"/>
          <w:sz w:val="18"/>
          <w:szCs w:val="18"/>
          <w:b w:val="1"/>
          <w:bCs w:val="1"/>
          <w:color w:val="auto"/>
        </w:rPr>
      </w:pPr>
    </w:p>
    <w:p>
      <w:pPr>
        <w:ind w:left="-20" w:right="240" w:firstLine="871"/>
        <w:spacing w:after="0" w:line="297" w:lineRule="auto"/>
        <w:tabs>
          <w:tab w:leader="none" w:pos="1250"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48" w:lineRule="exact"/>
        <w:rPr>
          <w:rFonts w:ascii="Arial" w:cs="Arial" w:eastAsia="Arial" w:hAnsi="Arial"/>
          <w:sz w:val="16"/>
          <w:szCs w:val="16"/>
          <w:b w:val="1"/>
          <w:bCs w:val="1"/>
          <w:color w:val="auto"/>
        </w:rPr>
      </w:pPr>
    </w:p>
    <w:p>
      <w:pPr>
        <w:ind w:left="-20" w:right="360" w:firstLine="871"/>
        <w:spacing w:after="0" w:line="266" w:lineRule="auto"/>
        <w:tabs>
          <w:tab w:leader="none" w:pos="1300"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67" w:lineRule="exact"/>
        <w:rPr>
          <w:rFonts w:ascii="Arial" w:cs="Arial" w:eastAsia="Arial" w:hAnsi="Arial"/>
          <w:sz w:val="18"/>
          <w:szCs w:val="18"/>
          <w:b w:val="1"/>
          <w:bCs w:val="1"/>
          <w:color w:val="auto"/>
        </w:rPr>
      </w:pPr>
    </w:p>
    <w:p>
      <w:pPr>
        <w:ind w:left="-20" w:right="20" w:firstLine="871"/>
        <w:spacing w:after="0" w:line="274" w:lineRule="auto"/>
        <w:tabs>
          <w:tab w:leader="none" w:pos="1350" w:val="left"/>
        </w:tabs>
        <w:numPr>
          <w:ilvl w:val="1"/>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80" w:top="269" w:right="479" w:bottom="1440" w:gutter="0" w:footer="0" w:header="0"/>
        </w:sectPr>
      </w:pPr>
    </w:p>
    <w:bookmarkStart w:id="398" w:name="page399"/>
    <w:bookmarkEnd w:id="398"/>
    <w:p>
      <w:pPr>
        <w:ind w:left="310" w:hanging="310"/>
        <w:spacing w:after="0"/>
        <w:tabs>
          <w:tab w:leader="none" w:pos="31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20" w:firstLine="430"/>
        <w:spacing w:after="0" w:line="281" w:lineRule="auto"/>
        <w:tabs>
          <w:tab w:leader="none" w:pos="839"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reasonably required to satisfy such Stock Awards.</w:t>
      </w:r>
    </w:p>
    <w:p>
      <w:pPr>
        <w:spacing w:after="0" w:line="54" w:lineRule="exact"/>
        <w:rPr>
          <w:rFonts w:ascii="Arial" w:cs="Arial" w:eastAsia="Arial" w:hAnsi="Arial"/>
          <w:sz w:val="18"/>
          <w:szCs w:val="18"/>
          <w:b w:val="1"/>
          <w:bCs w:val="1"/>
          <w:color w:val="auto"/>
        </w:rPr>
      </w:pPr>
    </w:p>
    <w:p>
      <w:pPr>
        <w:ind w:left="10" w:right="180" w:firstLine="430"/>
        <w:spacing w:after="0" w:line="290" w:lineRule="auto"/>
        <w:tabs>
          <w:tab w:leader="none" w:pos="849" w:val="left"/>
        </w:tabs>
        <w:numPr>
          <w:ilvl w:val="1"/>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shall seek to obtain from each regulatory commission or agency having jurisdiction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such authority as may be required to grant Stock Awards and to issue and sell shares of Common Stock upon exercise of the Stock Awards;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this undertaking shall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56" w:lineRule="exact"/>
        <w:rPr>
          <w:rFonts w:ascii="Arial" w:cs="Arial" w:eastAsia="Arial" w:hAnsi="Arial"/>
          <w:sz w:val="16"/>
          <w:szCs w:val="16"/>
          <w:b w:val="1"/>
          <w:bCs w:val="1"/>
          <w:color w:val="auto"/>
        </w:rPr>
      </w:pPr>
    </w:p>
    <w:p>
      <w:pPr>
        <w:ind w:left="10" w:right="20" w:firstLine="430"/>
        <w:spacing w:after="0" w:line="260" w:lineRule="auto"/>
        <w:tabs>
          <w:tab w:leader="none" w:pos="829"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w:t>
      </w:r>
      <w:r>
        <w:rPr>
          <w:rFonts w:ascii="Arial" w:cs="Arial" w:eastAsia="Arial" w:hAnsi="Arial"/>
          <w:sz w:val="18"/>
          <w:szCs w:val="18"/>
          <w:color w:val="auto"/>
        </w:rPr>
        <w:t>The Company shall have no duty or obligation to any Participant to advise such holder as to the time or manner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290" w:lineRule="exact"/>
        <w:rPr>
          <w:rFonts w:ascii="Arial" w:cs="Arial" w:eastAsia="Arial" w:hAnsi="Arial"/>
          <w:sz w:val="18"/>
          <w:szCs w:val="18"/>
          <w:b w:val="1"/>
          <w:bCs w:val="1"/>
          <w:color w:val="auto"/>
        </w:rPr>
      </w:pPr>
    </w:p>
    <w:p>
      <w:pPr>
        <w:ind w:left="310" w:hanging="310"/>
        <w:spacing w:after="0"/>
        <w:tabs>
          <w:tab w:leader="none" w:pos="31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20" w:firstLine="430"/>
        <w:spacing w:after="0" w:line="281" w:lineRule="auto"/>
        <w:tabs>
          <w:tab w:leader="none" w:pos="839"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54" w:lineRule="exact"/>
        <w:rPr>
          <w:rFonts w:ascii="Arial" w:cs="Arial" w:eastAsia="Arial" w:hAnsi="Arial"/>
          <w:sz w:val="18"/>
          <w:szCs w:val="18"/>
          <w:b w:val="1"/>
          <w:bCs w:val="1"/>
          <w:color w:val="auto"/>
        </w:rPr>
      </w:pPr>
    </w:p>
    <w:p>
      <w:pPr>
        <w:ind w:left="10" w:right="240" w:firstLine="430"/>
        <w:spacing w:after="0" w:line="288" w:lineRule="auto"/>
        <w:tabs>
          <w:tab w:leader="none" w:pos="849"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Stock Awards. </w:t>
      </w:r>
      <w:r>
        <w:rPr>
          <w:rFonts w:ascii="Arial" w:cs="Arial" w:eastAsia="Arial" w:hAnsi="Arial"/>
          <w:sz w:val="17"/>
          <w:szCs w:val="17"/>
          <w:color w:val="auto"/>
        </w:rPr>
        <w:t>Corporate action constituting a grant by the Company of a Stock Award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51" w:lineRule="exact"/>
        <w:rPr>
          <w:rFonts w:ascii="Arial" w:cs="Arial" w:eastAsia="Arial" w:hAnsi="Arial"/>
          <w:sz w:val="17"/>
          <w:szCs w:val="17"/>
          <w:b w:val="1"/>
          <w:bCs w:val="1"/>
          <w:color w:val="auto"/>
        </w:rPr>
      </w:pPr>
    </w:p>
    <w:p>
      <w:pPr>
        <w:ind w:left="10" w:firstLine="430"/>
        <w:spacing w:after="0" w:line="260" w:lineRule="auto"/>
        <w:tabs>
          <w:tab w:leader="none" w:pos="829"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82" w:lineRule="exact"/>
        <w:rPr>
          <w:rFonts w:ascii="Arial" w:cs="Arial" w:eastAsia="Arial" w:hAnsi="Arial"/>
          <w:sz w:val="18"/>
          <w:szCs w:val="18"/>
          <w:b w:val="1"/>
          <w:bCs w:val="1"/>
          <w:color w:val="auto"/>
        </w:rPr>
      </w:pPr>
    </w:p>
    <w:p>
      <w:pPr>
        <w:ind w:left="10" w:right="140" w:firstLine="430"/>
        <w:spacing w:after="0" w:line="312" w:lineRule="auto"/>
        <w:tabs>
          <w:tab w:leader="none" w:pos="849"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Stock Award Agreement or any other instrument executed thereunder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or in connection with any Stock Award granted pursuant thereto shall confer upon any Participant any right to continue to serve</w:t>
      </w:r>
    </w:p>
    <w:p>
      <w:pPr>
        <w:spacing w:after="0" w:line="7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0" w:right="459" w:bottom="1440" w:gutter="0" w:footer="0" w:header="0"/>
        </w:sectPr>
      </w:pPr>
    </w:p>
    <w:bookmarkStart w:id="399" w:name="page400"/>
    <w:bookmarkEnd w:id="399"/>
    <w:p>
      <w:pPr>
        <w:jc w:val="both"/>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44" w:lineRule="exact"/>
        <w:rPr>
          <w:sz w:val="20"/>
          <w:szCs w:val="20"/>
          <w:color w:val="auto"/>
        </w:rPr>
      </w:pPr>
    </w:p>
    <w:p>
      <w:pPr>
        <w:ind w:right="60" w:firstLine="430"/>
        <w:spacing w:after="0" w:line="258" w:lineRule="auto"/>
        <w:tabs>
          <w:tab w:leader="none" w:pos="819"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74" w:lineRule="exact"/>
        <w:rPr>
          <w:rFonts w:ascii="Arial" w:cs="Arial" w:eastAsia="Arial" w:hAnsi="Arial"/>
          <w:sz w:val="18"/>
          <w:szCs w:val="18"/>
          <w:b w:val="1"/>
          <w:bCs w:val="1"/>
          <w:color w:val="auto"/>
        </w:rPr>
      </w:pPr>
    </w:p>
    <w:p>
      <w:pPr>
        <w:ind w:firstLine="430"/>
        <w:spacing w:after="0" w:line="269" w:lineRule="auto"/>
        <w:tabs>
          <w:tab w:leader="none" w:pos="80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Assurances. </w:t>
      </w:r>
      <w:r>
        <w:rPr>
          <w:rFonts w:ascii="Arial" w:cs="Arial" w:eastAsia="Arial" w:hAnsi="Arial"/>
          <w:sz w:val="17"/>
          <w:szCs w:val="17"/>
          <w:color w:val="auto"/>
        </w:rPr>
        <w:t>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68" w:lineRule="exact"/>
        <w:rPr>
          <w:rFonts w:ascii="Arial" w:cs="Arial" w:eastAsia="Arial" w:hAnsi="Arial"/>
          <w:sz w:val="17"/>
          <w:szCs w:val="17"/>
          <w:b w:val="1"/>
          <w:bCs w:val="1"/>
          <w:color w:val="auto"/>
        </w:rPr>
      </w:pPr>
    </w:p>
    <w:p>
      <w:pPr>
        <w:ind w:firstLine="430"/>
        <w:spacing w:after="0" w:line="292" w:lineRule="auto"/>
        <w:tabs>
          <w:tab w:leader="none" w:pos="829"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Unless prohibited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payment from any amounts otherwise payable to the Participant; (iv) withholding cash from a Stock Award settled in cash; or (v) by such other method as may be set forth in the Stock Award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400" w:name="page401"/>
    <w:bookmarkEnd w:id="400"/>
    <w:p>
      <w:pPr>
        <w:ind w:left="10" w:right="580" w:firstLine="430"/>
        <w:spacing w:after="0" w:line="281" w:lineRule="auto"/>
        <w:tabs>
          <w:tab w:leader="none" w:pos="849"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54" w:lineRule="exact"/>
        <w:rPr>
          <w:rFonts w:ascii="Arial" w:cs="Arial" w:eastAsia="Arial" w:hAnsi="Arial"/>
          <w:sz w:val="18"/>
          <w:szCs w:val="18"/>
          <w:b w:val="1"/>
          <w:bCs w:val="1"/>
          <w:color w:val="auto"/>
        </w:rPr>
      </w:pPr>
    </w:p>
    <w:p>
      <w:pPr>
        <w:ind w:left="10" w:right="80" w:firstLine="430"/>
        <w:spacing w:after="0" w:line="272" w:lineRule="auto"/>
        <w:tabs>
          <w:tab w:leader="none" w:pos="799"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67" w:lineRule="exact"/>
        <w:rPr>
          <w:rFonts w:ascii="Arial" w:cs="Arial" w:eastAsia="Arial" w:hAnsi="Arial"/>
          <w:sz w:val="17"/>
          <w:szCs w:val="17"/>
          <w:b w:val="1"/>
          <w:bCs w:val="1"/>
          <w:color w:val="auto"/>
        </w:rPr>
      </w:pPr>
    </w:p>
    <w:p>
      <w:pPr>
        <w:ind w:left="10" w:right="40" w:firstLine="430"/>
        <w:spacing w:after="0" w:line="260" w:lineRule="auto"/>
        <w:tabs>
          <w:tab w:leader="none" w:pos="809"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w:t>
      </w:r>
      <w:r>
        <w:rPr>
          <w:rFonts w:ascii="Arial" w:cs="Arial" w:eastAsia="Arial" w:hAnsi="Arial"/>
          <w:sz w:val="18"/>
          <w:szCs w:val="18"/>
          <w:color w:val="auto"/>
        </w:rPr>
        <w:t>To the extent that the Board determines that any Stock Award granted hereunder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182" w:lineRule="exact"/>
        <w:rPr>
          <w:rFonts w:ascii="Arial" w:cs="Arial" w:eastAsia="Arial" w:hAnsi="Arial"/>
          <w:sz w:val="18"/>
          <w:szCs w:val="18"/>
          <w:b w:val="1"/>
          <w:bCs w:val="1"/>
          <w:color w:val="auto"/>
        </w:rPr>
      </w:pPr>
    </w:p>
    <w:p>
      <w:pPr>
        <w:ind w:left="10" w:firstLine="430"/>
        <w:spacing w:after="0" w:line="283" w:lineRule="auto"/>
        <w:tabs>
          <w:tab w:leader="none" w:pos="849" w:val="left"/>
        </w:tabs>
        <w:numPr>
          <w:ilvl w:val="1"/>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Exemption Provided by Rule 12h-1(f)</w:t>
      </w:r>
      <w:r>
        <w:rPr>
          <w:rFonts w:ascii="Arial" w:cs="Arial" w:eastAsia="Arial" w:hAnsi="Arial"/>
          <w:sz w:val="16"/>
          <w:szCs w:val="16"/>
          <w:color w:val="auto"/>
        </w:rPr>
        <w:t>. If: (i) the aggregate of the number of Optionholders and the number of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12h-1(f) promulgated under the Exchange Act (“</w:t>
      </w:r>
      <w:r>
        <w:rPr>
          <w:rFonts w:ascii="Arial" w:cs="Arial" w:eastAsia="Arial" w:hAnsi="Arial"/>
          <w:sz w:val="16"/>
          <w:szCs w:val="16"/>
          <w:b w:val="1"/>
          <w:bCs w:val="1"/>
          <w:i w:val="1"/>
          <w:iCs w:val="1"/>
          <w:color w:val="auto"/>
        </w:rPr>
        <w:t>Rule 12h-1(f)</w:t>
      </w:r>
      <w:r>
        <w:rPr>
          <w:rFonts w:ascii="Arial" w:cs="Arial" w:eastAsia="Arial" w:hAnsi="Arial"/>
          <w:sz w:val="16"/>
          <w:szCs w:val="16"/>
          <w:color w:val="auto"/>
        </w:rPr>
        <w:t>”), except: (1) as permitted by Rule 701(c) promulgated under the Securities Act, (2) to a guardian upon the disability of the Optionholder, or (3) to an executor upon the death of the Optionholder (collectively, the “</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12h-1(f);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Permitted Transferees may not further transfer the Options; (B) except as otherwise provided in</w:t>
      </w:r>
    </w:p>
    <w:p>
      <w:pPr>
        <w:spacing w:after="0" w:line="6" w:lineRule="exact"/>
        <w:rPr>
          <w:rFonts w:ascii="Arial" w:cs="Arial" w:eastAsia="Arial" w:hAnsi="Arial"/>
          <w:sz w:val="16"/>
          <w:szCs w:val="16"/>
          <w:b w:val="1"/>
          <w:bCs w:val="1"/>
          <w:color w:val="auto"/>
        </w:rPr>
      </w:pPr>
    </w:p>
    <w:p>
      <w:pPr>
        <w:ind w:left="10" w:right="460" w:hanging="10"/>
        <w:spacing w:after="0" w:line="281" w:lineRule="auto"/>
        <w:tabs>
          <w:tab w:leader="none" w:pos="30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above, the Options and shares of Common Stock acquired upon exercise of the Options are restricted as to any pledge, hypothecation, or other transfer, including any short position, any “put equivalent position” as defined by Rule 16a-1(h) promulgated under the Exchange Act, or any</w:t>
      </w:r>
    </w:p>
    <w:p>
      <w:pPr>
        <w:ind w:left="10" w:right="80"/>
        <w:spacing w:after="0" w:line="289" w:lineRule="auto"/>
        <w:rPr>
          <w:rFonts w:ascii="Arial" w:cs="Arial" w:eastAsia="Arial" w:hAnsi="Arial"/>
          <w:sz w:val="16"/>
          <w:szCs w:val="16"/>
          <w:color w:val="auto"/>
        </w:rPr>
      </w:pPr>
      <w:r>
        <w:rPr>
          <w:rFonts w:ascii="Arial" w:cs="Arial" w:eastAsia="Arial" w:hAnsi="Arial"/>
          <w:sz w:val="17"/>
          <w:szCs w:val="17"/>
          <w:color w:val="auto"/>
        </w:rPr>
        <w:t>“call equivalent position” as defined by Rule 16a-1(b) promulgated under the Exchange Act by the Optionholder prior to exercise of an Option until the Company is no longer relying on the exemption provided by Rule 12h-1(f); and (C) at any time that the Company is relying on the</w:t>
      </w:r>
    </w:p>
    <w:p>
      <w:pPr>
        <w:spacing w:after="0" w:line="9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0"/>
          </w:cols>
          <w:pgMar w:left="450" w:top="270" w:right="459" w:bottom="1440" w:gutter="0" w:footer="0" w:header="0"/>
        </w:sectPr>
      </w:pPr>
    </w:p>
    <w:bookmarkStart w:id="401" w:name="page402"/>
    <w:bookmarkEnd w:id="401"/>
    <w:p>
      <w:pPr>
        <w:ind w:left="1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exemption provided by Rule 12h-1(f),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condition the delivery of such information upon the Optionholder’s agreement to maintain its confidentiality.</w:t>
      </w:r>
    </w:p>
    <w:p>
      <w:pPr>
        <w:spacing w:after="0" w:line="58" w:lineRule="exact"/>
        <w:rPr>
          <w:sz w:val="20"/>
          <w:szCs w:val="20"/>
          <w:color w:val="auto"/>
        </w:rPr>
      </w:pPr>
    </w:p>
    <w:p>
      <w:pPr>
        <w:ind w:left="10" w:firstLine="430"/>
        <w:spacing w:after="0" w:line="274" w:lineRule="auto"/>
        <w:tabs>
          <w:tab w:leader="none" w:pos="799"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right shall be specified in the Stock Award Agreement. The repurchase price for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79" w:lineRule="exact"/>
        <w:rPr>
          <w:rFonts w:ascii="Arial" w:cs="Arial" w:eastAsia="Arial" w:hAnsi="Arial"/>
          <w:sz w:val="17"/>
          <w:szCs w:val="17"/>
          <w:b w:val="1"/>
          <w:bCs w:val="1"/>
          <w:color w:val="auto"/>
        </w:rPr>
      </w:pPr>
    </w:p>
    <w:p>
      <w:pPr>
        <w:ind w:left="310" w:hanging="310"/>
        <w:spacing w:after="0"/>
        <w:tabs>
          <w:tab w:leader="none" w:pos="31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jc w:val="both"/>
        <w:ind w:left="10" w:right="20" w:firstLine="430"/>
        <w:spacing w:after="0" w:line="303" w:lineRule="auto"/>
        <w:tabs>
          <w:tab w:leader="none" w:pos="839"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42" w:lineRule="exact"/>
        <w:rPr>
          <w:rFonts w:ascii="Arial" w:cs="Arial" w:eastAsia="Arial" w:hAnsi="Arial"/>
          <w:sz w:val="16"/>
          <w:szCs w:val="16"/>
          <w:b w:val="1"/>
          <w:bCs w:val="1"/>
          <w:color w:val="auto"/>
        </w:rPr>
      </w:pPr>
    </w:p>
    <w:p>
      <w:pPr>
        <w:ind w:left="10" w:right="20" w:firstLine="430"/>
        <w:spacing w:after="0" w:line="292" w:lineRule="auto"/>
        <w:tabs>
          <w:tab w:leader="none" w:pos="849"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9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0"/>
          </w:cols>
          <w:pgMar w:left="450" w:top="274" w:right="459" w:bottom="1440" w:gutter="0" w:footer="0" w:header="0"/>
        </w:sectPr>
      </w:pPr>
    </w:p>
    <w:bookmarkStart w:id="402" w:name="page403"/>
    <w:bookmarkEnd w:id="402"/>
    <w:p>
      <w:pPr>
        <w:ind w:left="10" w:right="120" w:firstLine="430"/>
        <w:spacing w:after="0" w:line="276" w:lineRule="auto"/>
        <w:tabs>
          <w:tab w:leader="none" w:pos="829"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Corporate Transaction. </w:t>
      </w:r>
      <w:r>
        <w:rPr>
          <w:rFonts w:ascii="Arial" w:cs="Arial" w:eastAsia="Arial" w:hAnsi="Arial"/>
          <w:sz w:val="17"/>
          <w:szCs w:val="17"/>
          <w:color w:val="auto"/>
        </w:rPr>
        <w:t>The following provisions shall apply to Stock Awards in the event of a Corporate Transaction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spacing w:after="0" w:line="67" w:lineRule="exact"/>
        <w:rPr>
          <w:rFonts w:ascii="Arial" w:cs="Arial" w:eastAsia="Arial" w:hAnsi="Arial"/>
          <w:sz w:val="17"/>
          <w:szCs w:val="17"/>
          <w:b w:val="1"/>
          <w:bCs w:val="1"/>
          <w:color w:val="auto"/>
        </w:rPr>
      </w:pPr>
    </w:p>
    <w:p>
      <w:pPr>
        <w:ind w:left="10" w:right="140" w:firstLine="871"/>
        <w:spacing w:after="0" w:line="263" w:lineRule="auto"/>
        <w:tabs>
          <w:tab w:leader="none" w:pos="124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74" w:lineRule="exact"/>
        <w:rPr>
          <w:rFonts w:ascii="Arial" w:cs="Arial" w:eastAsia="Arial" w:hAnsi="Arial"/>
          <w:sz w:val="18"/>
          <w:szCs w:val="18"/>
          <w:b w:val="1"/>
          <w:bCs w:val="1"/>
          <w:color w:val="auto"/>
        </w:rPr>
      </w:pPr>
    </w:p>
    <w:p>
      <w:pPr>
        <w:ind w:left="10" w:firstLine="871"/>
        <w:spacing w:after="0" w:line="307" w:lineRule="auto"/>
        <w:tabs>
          <w:tab w:leader="none" w:pos="1290"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39" w:lineRule="exact"/>
        <w:rPr>
          <w:rFonts w:ascii="Arial" w:cs="Arial" w:eastAsia="Arial" w:hAnsi="Arial"/>
          <w:sz w:val="17"/>
          <w:szCs w:val="17"/>
          <w:b w:val="1"/>
          <w:bCs w:val="1"/>
          <w:color w:val="auto"/>
        </w:rPr>
      </w:pPr>
    </w:p>
    <w:p>
      <w:pPr>
        <w:ind w:left="10" w:right="280" w:firstLine="871"/>
        <w:spacing w:after="0" w:line="259" w:lineRule="auto"/>
        <w:tabs>
          <w:tab w:leader="none" w:pos="134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77" w:lineRule="exact"/>
        <w:rPr>
          <w:rFonts w:ascii="Arial" w:cs="Arial" w:eastAsia="Arial" w:hAnsi="Arial"/>
          <w:sz w:val="18"/>
          <w:szCs w:val="18"/>
          <w:b w:val="1"/>
          <w:bCs w:val="1"/>
          <w:color w:val="auto"/>
        </w:rPr>
      </w:pPr>
    </w:p>
    <w:p>
      <w:pPr>
        <w:ind w:left="1330" w:hanging="449"/>
        <w:spacing w:after="0"/>
        <w:tabs>
          <w:tab w:leader="none" w:pos="133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arrange for the lapse of any reacquisition or repurchase rights held by the Company with respect to the Stock Award;</w:t>
      </w:r>
    </w:p>
    <w:p>
      <w:pPr>
        <w:spacing w:after="0" w:line="116" w:lineRule="exact"/>
        <w:rPr>
          <w:rFonts w:ascii="Arial" w:cs="Arial" w:eastAsia="Arial" w:hAnsi="Arial"/>
          <w:sz w:val="18"/>
          <w:szCs w:val="18"/>
          <w:b w:val="1"/>
          <w:bCs w:val="1"/>
          <w:color w:val="auto"/>
        </w:rPr>
      </w:pPr>
    </w:p>
    <w:p>
      <w:pPr>
        <w:ind w:left="10" w:right="320" w:firstLine="871"/>
        <w:spacing w:after="0" w:line="341" w:lineRule="auto"/>
        <w:tabs>
          <w:tab w:leader="none" w:pos="1280" w:val="left"/>
        </w:tabs>
        <w:numPr>
          <w:ilvl w:val="1"/>
          <w:numId w:val="292"/>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6" w:lineRule="exact"/>
        <w:rPr>
          <w:rFonts w:ascii="Arial" w:cs="Arial" w:eastAsia="Arial" w:hAnsi="Arial"/>
          <w:sz w:val="16"/>
          <w:szCs w:val="16"/>
          <w:b w:val="1"/>
          <w:bCs w:val="1"/>
          <w:color w:val="auto"/>
        </w:rPr>
      </w:pPr>
    </w:p>
    <w:p>
      <w:pPr>
        <w:ind w:left="10" w:right="60" w:firstLine="871"/>
        <w:spacing w:after="0" w:line="263" w:lineRule="auto"/>
        <w:tabs>
          <w:tab w:leader="none" w:pos="133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Board need not take the same action with respect to all Stock Awards or with respect to all Participants.</w:t>
      </w:r>
    </w:p>
    <w:p>
      <w:pPr>
        <w:spacing w:after="0" w:line="113" w:lineRule="exact"/>
        <w:rPr>
          <w:sz w:val="20"/>
          <w:szCs w:val="20"/>
          <w:color w:val="auto"/>
        </w:rPr>
      </w:pPr>
    </w:p>
    <w:p>
      <w:pPr>
        <w:ind w:left="10" w:firstLine="430"/>
        <w:spacing w:after="0" w:line="288" w:lineRule="auto"/>
        <w:tabs>
          <w:tab w:leader="none" w:pos="849"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267" w:lineRule="exact"/>
        <w:rPr>
          <w:rFonts w:ascii="Arial" w:cs="Arial" w:eastAsia="Arial" w:hAnsi="Arial"/>
          <w:sz w:val="17"/>
          <w:szCs w:val="17"/>
          <w:b w:val="1"/>
          <w:bCs w:val="1"/>
          <w:color w:val="auto"/>
        </w:rPr>
      </w:pPr>
    </w:p>
    <w:p>
      <w:pPr>
        <w:ind w:left="410" w:hanging="410"/>
        <w:spacing w:after="0"/>
        <w:tabs>
          <w:tab w:leader="none" w:pos="41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60" w:lineRule="auto"/>
        <w:tabs>
          <w:tab w:leader="none" w:pos="839"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90"/>
          </w:cols>
          <w:pgMar w:left="450" w:top="269" w:right="459" w:bottom="1440" w:gutter="0" w:footer="0" w:header="0"/>
        </w:sectPr>
      </w:pPr>
    </w:p>
    <w:bookmarkStart w:id="403" w:name="page404"/>
    <w:bookmarkEnd w:id="403"/>
    <w:p>
      <w:pPr>
        <w:ind w:left="10" w:right="220" w:firstLine="430"/>
        <w:spacing w:after="0" w:line="281" w:lineRule="auto"/>
        <w:tabs>
          <w:tab w:leader="none" w:pos="849"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Impairment of Rights. </w:t>
      </w:r>
      <w:r>
        <w:rPr>
          <w:rFonts w:ascii="Arial" w:cs="Arial" w:eastAsia="Arial" w:hAnsi="Arial"/>
          <w:sz w:val="18"/>
          <w:szCs w:val="18"/>
          <w:color w:val="auto"/>
        </w:rPr>
        <w:t>Suspension or termination of the Plan shall not impair rights and obligations under any Stock Award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Plan is in effect except with the written consent of the affected Participant.</w:t>
      </w:r>
    </w:p>
    <w:p>
      <w:pPr>
        <w:spacing w:after="0" w:line="270" w:lineRule="exact"/>
        <w:rPr>
          <w:rFonts w:ascii="Arial" w:cs="Arial" w:eastAsia="Arial" w:hAnsi="Arial"/>
          <w:sz w:val="18"/>
          <w:szCs w:val="18"/>
          <w:b w:val="1"/>
          <w:bCs w:val="1"/>
          <w:color w:val="auto"/>
        </w:rPr>
      </w:pPr>
    </w:p>
    <w:p>
      <w:pPr>
        <w:ind w:left="390" w:hanging="390"/>
        <w:spacing w:after="0"/>
        <w:tabs>
          <w:tab w:leader="none" w:pos="39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This Plan shall become effective on the Effective Date.</w:t>
      </w:r>
    </w:p>
    <w:p>
      <w:pPr>
        <w:spacing w:after="0" w:line="329" w:lineRule="exact"/>
        <w:rPr>
          <w:sz w:val="20"/>
          <w:szCs w:val="20"/>
          <w:color w:val="auto"/>
        </w:rPr>
      </w:pPr>
    </w:p>
    <w:p>
      <w:pPr>
        <w:ind w:left="410" w:hanging="410"/>
        <w:spacing w:after="0"/>
        <w:tabs>
          <w:tab w:leader="none" w:pos="41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440"/>
        <w:spacing w:after="0" w:line="277" w:lineRule="auto"/>
        <w:rPr>
          <w:sz w:val="20"/>
          <w:szCs w:val="20"/>
          <w:color w:val="auto"/>
        </w:rPr>
      </w:pPr>
      <w:r>
        <w:rPr>
          <w:rFonts w:ascii="Arial" w:cs="Arial" w:eastAsia="Arial" w:hAnsi="Arial"/>
          <w:sz w:val="18"/>
          <w:szCs w:val="18"/>
          <w:color w:val="auto"/>
        </w:rPr>
        <w:t>The law of the State of Delaware shall govern all questions concerning the construction, validity and interpretation of this Plan, without regard to that state’s conflict of laws rules.</w:t>
      </w:r>
    </w:p>
    <w:p>
      <w:pPr>
        <w:spacing w:after="0" w:line="274" w:lineRule="exact"/>
        <w:rPr>
          <w:sz w:val="20"/>
          <w:szCs w:val="20"/>
          <w:color w:val="auto"/>
        </w:rPr>
      </w:pPr>
    </w:p>
    <w:p>
      <w:pPr>
        <w:ind w:left="410" w:hanging="410"/>
        <w:spacing w:after="0"/>
        <w:tabs>
          <w:tab w:leader="none" w:pos="41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20" w:lineRule="exact"/>
        <w:rPr>
          <w:rFonts w:ascii="Arial" w:cs="Arial" w:eastAsia="Arial" w:hAnsi="Arial"/>
          <w:sz w:val="18"/>
          <w:szCs w:val="18"/>
          <w:b w:val="1"/>
          <w:bCs w:val="1"/>
          <w:color w:val="auto"/>
        </w:rPr>
      </w:pPr>
    </w:p>
    <w:p>
      <w:pPr>
        <w:ind w:left="10" w:right="80" w:firstLine="430"/>
        <w:spacing w:after="0" w:line="263" w:lineRule="auto"/>
        <w:tabs>
          <w:tab w:leader="none" w:pos="839"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74" w:lineRule="exact"/>
        <w:rPr>
          <w:rFonts w:ascii="Arial" w:cs="Arial" w:eastAsia="Arial" w:hAnsi="Arial"/>
          <w:sz w:val="18"/>
          <w:szCs w:val="18"/>
          <w:b w:val="1"/>
          <w:bCs w:val="1"/>
          <w:color w:val="auto"/>
        </w:rPr>
      </w:pPr>
    </w:p>
    <w:p>
      <w:pPr>
        <w:ind w:left="830" w:hanging="390"/>
        <w:spacing w:after="0"/>
        <w:tabs>
          <w:tab w:leader="none" w:pos="830"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6" w:lineRule="exact"/>
        <w:rPr>
          <w:rFonts w:ascii="Arial" w:cs="Arial" w:eastAsia="Arial" w:hAnsi="Arial"/>
          <w:sz w:val="18"/>
          <w:szCs w:val="18"/>
          <w:b w:val="1"/>
          <w:bCs w:val="1"/>
          <w:color w:val="auto"/>
        </w:rPr>
      </w:pPr>
    </w:p>
    <w:p>
      <w:pPr>
        <w:ind w:left="10" w:right="20" w:firstLine="430"/>
        <w:spacing w:after="0" w:line="255" w:lineRule="auto"/>
        <w:tabs>
          <w:tab w:leader="none" w:pos="829"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spacing w:after="0" w:line="83" w:lineRule="exact"/>
        <w:rPr>
          <w:rFonts w:ascii="Arial" w:cs="Arial" w:eastAsia="Arial" w:hAnsi="Arial"/>
          <w:sz w:val="18"/>
          <w:szCs w:val="18"/>
          <w:b w:val="1"/>
          <w:bCs w:val="1"/>
          <w:color w:val="auto"/>
        </w:rPr>
      </w:pPr>
    </w:p>
    <w:p>
      <w:pPr>
        <w:ind w:left="10" w:right="60" w:firstLine="430"/>
        <w:spacing w:after="0" w:line="269" w:lineRule="auto"/>
        <w:tabs>
          <w:tab w:leader="none" w:pos="849" w:val="left"/>
        </w:tabs>
        <w:numPr>
          <w:ilvl w:val="1"/>
          <w:numId w:val="29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116" w:lineRule="exact"/>
        <w:rPr>
          <w:sz w:val="20"/>
          <w:szCs w:val="20"/>
          <w:color w:val="auto"/>
        </w:rPr>
      </w:pPr>
    </w:p>
    <w:p>
      <w:pPr>
        <w:jc w:val="center"/>
        <w:ind w:right="-12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90"/>
          </w:cols>
          <w:pgMar w:left="450" w:top="270" w:right="559" w:bottom="1440" w:gutter="0" w:footer="0" w:header="0"/>
        </w:sectPr>
      </w:pPr>
    </w:p>
    <w:bookmarkStart w:id="404" w:name="page405"/>
    <w:bookmarkEnd w:id="404"/>
    <w:p>
      <w:pPr>
        <w:ind w:left="800" w:hanging="370"/>
        <w:spacing w:after="0"/>
        <w:tabs>
          <w:tab w:leader="none" w:pos="800"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sz w:val="20"/>
          <w:szCs w:val="20"/>
          <w:color w:val="auto"/>
        </w:rPr>
      </w:pPr>
    </w:p>
    <w:p>
      <w:pPr>
        <w:ind w:left="1220" w:hanging="349"/>
        <w:spacing w:after="0"/>
        <w:tabs>
          <w:tab w:leader="none" w:pos="122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59" w:lineRule="exact"/>
        <w:rPr>
          <w:sz w:val="20"/>
          <w:szCs w:val="20"/>
          <w:color w:val="auto"/>
        </w:rPr>
      </w:pPr>
    </w:p>
    <w:p>
      <w:pPr>
        <w:ind w:right="60" w:firstLine="871"/>
        <w:spacing w:after="0" w:line="273" w:lineRule="auto"/>
        <w:tabs>
          <w:tab w:leader="none" w:pos="1280"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8" w:lineRule="exact"/>
        <w:rPr>
          <w:rFonts w:ascii="Arial" w:cs="Arial" w:eastAsia="Arial" w:hAnsi="Arial"/>
          <w:sz w:val="17"/>
          <w:szCs w:val="17"/>
          <w:b w:val="1"/>
          <w:bCs w:val="1"/>
          <w:color w:val="auto"/>
        </w:rPr>
      </w:pPr>
    </w:p>
    <w:p>
      <w:pPr>
        <w:ind w:right="60" w:firstLine="871"/>
        <w:spacing w:after="0" w:line="256" w:lineRule="auto"/>
        <w:tabs>
          <w:tab w:leader="none" w:pos="133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405" w:name="page406"/>
    <w:bookmarkEnd w:id="405"/>
    <w:p>
      <w:pPr>
        <w:ind w:right="180" w:firstLine="871"/>
        <w:spacing w:after="0" w:line="279" w:lineRule="auto"/>
        <w:tabs>
          <w:tab w:leader="none" w:pos="1320" w:val="left"/>
        </w:tabs>
        <w:numPr>
          <w:ilvl w:val="0"/>
          <w:numId w:val="30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on the date this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shall apply.</w:t>
      </w:r>
    </w:p>
    <w:p>
      <w:pPr>
        <w:spacing w:after="0" w:line="67" w:lineRule="exact"/>
        <w:rPr>
          <w:sz w:val="20"/>
          <w:szCs w:val="20"/>
          <w:color w:val="auto"/>
        </w:rPr>
      </w:pPr>
    </w:p>
    <w:p>
      <w:pPr>
        <w:ind w:left="780" w:hanging="350"/>
        <w:spacing w:after="0"/>
        <w:tabs>
          <w:tab w:leader="none" w:pos="780"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as well as any applicable regulations and guidance thereunder.</w:t>
      </w:r>
    </w:p>
    <w:p>
      <w:pPr>
        <w:spacing w:after="0" w:line="128" w:lineRule="exact"/>
        <w:rPr>
          <w:rFonts w:ascii="Arial" w:cs="Arial" w:eastAsia="Arial" w:hAnsi="Arial"/>
          <w:sz w:val="17"/>
          <w:szCs w:val="17"/>
          <w:b w:val="1"/>
          <w:bCs w:val="1"/>
          <w:color w:val="auto"/>
        </w:rPr>
      </w:pPr>
    </w:p>
    <w:p>
      <w:pPr>
        <w:ind w:right="500" w:firstLine="430"/>
        <w:spacing w:after="0" w:line="277" w:lineRule="auto"/>
        <w:tabs>
          <w:tab w:leader="none" w:pos="874"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61" w:lineRule="exact"/>
        <w:rPr>
          <w:rFonts w:ascii="Arial" w:cs="Arial" w:eastAsia="Arial" w:hAnsi="Arial"/>
          <w:sz w:val="18"/>
          <w:szCs w:val="18"/>
          <w:b w:val="1"/>
          <w:bCs w:val="1"/>
          <w:color w:val="auto"/>
        </w:rPr>
      </w:pPr>
    </w:p>
    <w:p>
      <w:pPr>
        <w:ind w:left="880" w:hanging="450"/>
        <w:spacing w:after="0"/>
        <w:tabs>
          <w:tab w:leader="none" w:pos="88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6" w:lineRule="exact"/>
        <w:rPr>
          <w:rFonts w:ascii="Arial" w:cs="Arial" w:eastAsia="Arial" w:hAnsi="Arial"/>
          <w:sz w:val="18"/>
          <w:szCs w:val="18"/>
          <w:b w:val="1"/>
          <w:bCs w:val="1"/>
          <w:color w:val="auto"/>
        </w:rPr>
      </w:pPr>
    </w:p>
    <w:p>
      <w:pPr>
        <w:ind w:left="780" w:hanging="350"/>
        <w:spacing w:after="0"/>
        <w:tabs>
          <w:tab w:leader="none" w:pos="78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Personalis, Inc., a Delaware corporation.</w:t>
      </w:r>
    </w:p>
    <w:p>
      <w:pPr>
        <w:spacing w:after="0" w:line="116" w:lineRule="exact"/>
        <w:rPr>
          <w:rFonts w:ascii="Arial" w:cs="Arial" w:eastAsia="Arial" w:hAnsi="Arial"/>
          <w:sz w:val="18"/>
          <w:szCs w:val="18"/>
          <w:b w:val="1"/>
          <w:bCs w:val="1"/>
          <w:color w:val="auto"/>
        </w:rPr>
      </w:pPr>
    </w:p>
    <w:p>
      <w:pPr>
        <w:ind w:firstLine="430"/>
        <w:spacing w:after="0" w:line="259" w:lineRule="auto"/>
        <w:tabs>
          <w:tab w:leader="none" w:pos="80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77" w:lineRule="exact"/>
        <w:rPr>
          <w:rFonts w:ascii="Arial" w:cs="Arial" w:eastAsia="Arial" w:hAnsi="Arial"/>
          <w:sz w:val="18"/>
          <w:szCs w:val="18"/>
          <w:b w:val="1"/>
          <w:bCs w:val="1"/>
          <w:color w:val="auto"/>
        </w:rPr>
      </w:pPr>
    </w:p>
    <w:p>
      <w:pPr>
        <w:ind w:right="100" w:firstLine="430"/>
        <w:spacing w:after="0" w:line="268" w:lineRule="auto"/>
        <w:tabs>
          <w:tab w:leader="none" w:pos="840"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406" w:name="page407"/>
    <w:bookmarkEnd w:id="406"/>
    <w:p>
      <w:pPr>
        <w:ind w:right="580" w:firstLine="430"/>
        <w:spacing w:after="0" w:line="277" w:lineRule="auto"/>
        <w:tabs>
          <w:tab w:leader="none" w:pos="79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1" w:lineRule="exact"/>
        <w:rPr>
          <w:rFonts w:ascii="Arial" w:cs="Arial" w:eastAsia="Arial" w:hAnsi="Arial"/>
          <w:sz w:val="18"/>
          <w:szCs w:val="18"/>
          <w:b w:val="1"/>
          <w:bCs w:val="1"/>
          <w:color w:val="auto"/>
        </w:rPr>
      </w:pPr>
    </w:p>
    <w:p>
      <w:pPr>
        <w:ind w:right="500" w:firstLine="871"/>
        <w:spacing w:after="0" w:line="277" w:lineRule="auto"/>
        <w:tabs>
          <w:tab w:leader="none" w:pos="1230"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61" w:lineRule="exact"/>
        <w:rPr>
          <w:rFonts w:ascii="Arial" w:cs="Arial" w:eastAsia="Arial" w:hAnsi="Arial"/>
          <w:sz w:val="18"/>
          <w:szCs w:val="18"/>
          <w:b w:val="1"/>
          <w:bCs w:val="1"/>
          <w:color w:val="auto"/>
        </w:rPr>
      </w:pPr>
    </w:p>
    <w:p>
      <w:pPr>
        <w:ind w:left="1280" w:hanging="409"/>
        <w:spacing w:after="0"/>
        <w:tabs>
          <w:tab w:leader="none" w:pos="1280" w:val="left"/>
        </w:tabs>
        <w:numPr>
          <w:ilvl w:val="1"/>
          <w:numId w:val="304"/>
        </w:numPr>
        <w:rPr>
          <w:rFonts w:ascii="Arial" w:cs="Arial" w:eastAsia="Arial" w:hAnsi="Arial"/>
          <w:sz w:val="17"/>
          <w:szCs w:val="17"/>
          <w:b w:val="1"/>
          <w:bCs w:val="1"/>
          <w:color w:val="auto"/>
        </w:rPr>
      </w:pPr>
      <w:r>
        <w:rPr>
          <w:rFonts w:ascii="Arial" w:cs="Arial" w:eastAsia="Arial" w:hAnsi="Arial"/>
          <w:sz w:val="17"/>
          <w:szCs w:val="17"/>
          <w:color w:val="auto"/>
        </w:rPr>
        <w:t>the consummation of a sale or other disposition of at least ninety percent (90%) of the outstanding securities of the Company;</w:t>
      </w:r>
    </w:p>
    <w:p>
      <w:pPr>
        <w:spacing w:after="0" w:line="128" w:lineRule="exact"/>
        <w:rPr>
          <w:rFonts w:ascii="Arial" w:cs="Arial" w:eastAsia="Arial" w:hAnsi="Arial"/>
          <w:sz w:val="17"/>
          <w:szCs w:val="17"/>
          <w:b w:val="1"/>
          <w:bCs w:val="1"/>
          <w:color w:val="auto"/>
        </w:rPr>
      </w:pPr>
    </w:p>
    <w:p>
      <w:pPr>
        <w:ind w:left="1320" w:hanging="449"/>
        <w:spacing w:after="0"/>
        <w:tabs>
          <w:tab w:leader="none" w:pos="1320" w:val="left"/>
        </w:tabs>
        <w:numPr>
          <w:ilvl w:val="1"/>
          <w:numId w:val="304"/>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not the surviving corporation; or</w:t>
      </w:r>
    </w:p>
    <w:p>
      <w:pPr>
        <w:spacing w:after="0" w:line="139" w:lineRule="exact"/>
        <w:rPr>
          <w:rFonts w:ascii="Arial" w:cs="Arial" w:eastAsia="Arial" w:hAnsi="Arial"/>
          <w:sz w:val="16"/>
          <w:szCs w:val="16"/>
          <w:b w:val="1"/>
          <w:bCs w:val="1"/>
          <w:color w:val="auto"/>
        </w:rPr>
      </w:pPr>
    </w:p>
    <w:p>
      <w:pPr>
        <w:ind w:right="40" w:firstLine="871"/>
        <w:spacing w:after="0" w:line="286" w:lineRule="auto"/>
        <w:tabs>
          <w:tab w:leader="none" w:pos="1320" w:val="left"/>
        </w:tabs>
        <w:numPr>
          <w:ilvl w:val="1"/>
          <w:numId w:val="304"/>
        </w:numPr>
        <w:rPr>
          <w:rFonts w:ascii="Arial" w:cs="Arial" w:eastAsia="Arial" w:hAnsi="Arial"/>
          <w:sz w:val="17"/>
          <w:szCs w:val="17"/>
          <w:b w:val="1"/>
          <w:bCs w:val="1"/>
          <w:color w:val="auto"/>
        </w:rPr>
      </w:pPr>
      <w:r>
        <w:rPr>
          <w:rFonts w:ascii="Arial" w:cs="Arial" w:eastAsia="Arial" w:hAnsi="Arial"/>
          <w:sz w:val="17"/>
          <w:szCs w:val="17"/>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56" w:lineRule="exact"/>
        <w:rPr>
          <w:rFonts w:ascii="Arial" w:cs="Arial" w:eastAsia="Arial" w:hAnsi="Arial"/>
          <w:sz w:val="17"/>
          <w:szCs w:val="17"/>
          <w:b w:val="1"/>
          <w:bCs w:val="1"/>
          <w:color w:val="auto"/>
        </w:rPr>
      </w:pPr>
    </w:p>
    <w:p>
      <w:pPr>
        <w:ind w:left="880" w:hanging="450"/>
        <w:spacing w:after="0"/>
        <w:tabs>
          <w:tab w:leader="none" w:pos="88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6" w:lineRule="exact"/>
        <w:rPr>
          <w:rFonts w:ascii="Arial" w:cs="Arial" w:eastAsia="Arial" w:hAnsi="Arial"/>
          <w:sz w:val="18"/>
          <w:szCs w:val="18"/>
          <w:b w:val="1"/>
          <w:bCs w:val="1"/>
          <w:color w:val="auto"/>
        </w:rPr>
      </w:pPr>
    </w:p>
    <w:p>
      <w:pPr>
        <w:ind w:right="60" w:firstLine="430"/>
        <w:spacing w:after="0" w:line="259" w:lineRule="auto"/>
        <w:tabs>
          <w:tab w:leader="none" w:pos="84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77" w:lineRule="exact"/>
        <w:rPr>
          <w:rFonts w:ascii="Arial" w:cs="Arial" w:eastAsia="Arial" w:hAnsi="Arial"/>
          <w:sz w:val="18"/>
          <w:szCs w:val="18"/>
          <w:b w:val="1"/>
          <w:bCs w:val="1"/>
          <w:color w:val="auto"/>
        </w:rPr>
      </w:pPr>
    </w:p>
    <w:p>
      <w:pPr>
        <w:ind w:right="280" w:firstLine="430"/>
        <w:spacing w:after="0" w:line="277" w:lineRule="auto"/>
        <w:tabs>
          <w:tab w:leader="none" w:pos="829"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or (ii) the date this Plan is adopted by the Board.</w:t>
      </w:r>
    </w:p>
    <w:p>
      <w:pPr>
        <w:spacing w:after="0" w:line="61" w:lineRule="exact"/>
        <w:rPr>
          <w:rFonts w:ascii="Arial" w:cs="Arial" w:eastAsia="Arial" w:hAnsi="Arial"/>
          <w:sz w:val="18"/>
          <w:szCs w:val="18"/>
          <w:b w:val="1"/>
          <w:bCs w:val="1"/>
          <w:color w:val="auto"/>
        </w:rPr>
      </w:pPr>
    </w:p>
    <w:p>
      <w:pPr>
        <w:ind w:firstLine="430"/>
        <w:spacing w:after="0" w:line="277" w:lineRule="auto"/>
        <w:tabs>
          <w:tab w:leader="none" w:pos="84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61" w:lineRule="exact"/>
        <w:rPr>
          <w:rFonts w:ascii="Arial" w:cs="Arial" w:eastAsia="Arial" w:hAnsi="Arial"/>
          <w:sz w:val="18"/>
          <w:szCs w:val="18"/>
          <w:b w:val="1"/>
          <w:bCs w:val="1"/>
          <w:color w:val="auto"/>
        </w:rPr>
      </w:pPr>
    </w:p>
    <w:p>
      <w:pPr>
        <w:ind w:left="820" w:hanging="390"/>
        <w:spacing w:after="0"/>
        <w:tabs>
          <w:tab w:leader="none" w:pos="82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6" w:lineRule="exact"/>
        <w:rPr>
          <w:rFonts w:ascii="Arial" w:cs="Arial" w:eastAsia="Arial" w:hAnsi="Arial"/>
          <w:sz w:val="18"/>
          <w:szCs w:val="18"/>
          <w:b w:val="1"/>
          <w:bCs w:val="1"/>
          <w:color w:val="auto"/>
        </w:rPr>
      </w:pPr>
    </w:p>
    <w:p>
      <w:pPr>
        <w:ind w:left="800" w:hanging="370"/>
        <w:spacing w:after="0"/>
        <w:tabs>
          <w:tab w:leader="none" w:pos="80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8" w:lineRule="exact"/>
        <w:rPr>
          <w:rFonts w:ascii="Arial" w:cs="Arial" w:eastAsia="Arial" w:hAnsi="Arial"/>
          <w:sz w:val="17"/>
          <w:szCs w:val="17"/>
          <w:b w:val="1"/>
          <w:bCs w:val="1"/>
          <w:color w:val="auto"/>
        </w:rPr>
      </w:pPr>
    </w:p>
    <w:p>
      <w:pPr>
        <w:ind w:right="220" w:firstLine="430"/>
        <w:spacing w:after="0" w:line="307" w:lineRule="auto"/>
        <w:tabs>
          <w:tab w:leader="none" w:pos="81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means any natural person, Entity or “group” (within the meaning of Section 13(d) or 14(d) of the Exchange Act), except that “Exchange Act Person” shall not include (i) the Company or any Subsidiary of the Company, (ii) any employee benefit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407" w:name="page408"/>
    <w:bookmarkEnd w:id="407"/>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83" w:lineRule="exact"/>
        <w:rPr>
          <w:sz w:val="20"/>
          <w:szCs w:val="20"/>
          <w:color w:val="auto"/>
        </w:rPr>
      </w:pPr>
    </w:p>
    <w:p>
      <w:pPr>
        <w:ind w:right="240" w:firstLine="430"/>
        <w:spacing w:after="0" w:line="277" w:lineRule="auto"/>
        <w:tabs>
          <w:tab w:leader="none" w:pos="800"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61" w:lineRule="exact"/>
        <w:rPr>
          <w:rFonts w:ascii="Arial" w:cs="Arial" w:eastAsia="Arial" w:hAnsi="Arial"/>
          <w:sz w:val="18"/>
          <w:szCs w:val="18"/>
          <w:b w:val="1"/>
          <w:bCs w:val="1"/>
          <w:color w:val="auto"/>
        </w:rPr>
      </w:pPr>
    </w:p>
    <w:p>
      <w:pPr>
        <w:ind w:right="200" w:firstLine="430"/>
        <w:spacing w:after="0" w:line="277" w:lineRule="auto"/>
        <w:tabs>
          <w:tab w:leader="none" w:pos="840"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61" w:lineRule="exact"/>
        <w:rPr>
          <w:rFonts w:ascii="Arial" w:cs="Arial" w:eastAsia="Arial" w:hAnsi="Arial"/>
          <w:sz w:val="18"/>
          <w:szCs w:val="18"/>
          <w:b w:val="1"/>
          <w:bCs w:val="1"/>
          <w:color w:val="auto"/>
        </w:rPr>
      </w:pPr>
    </w:p>
    <w:p>
      <w:pPr>
        <w:ind w:left="820" w:hanging="390"/>
        <w:spacing w:after="0"/>
        <w:tabs>
          <w:tab w:leader="none" w:pos="820"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116" w:lineRule="exact"/>
        <w:rPr>
          <w:rFonts w:ascii="Arial" w:cs="Arial" w:eastAsia="Arial" w:hAnsi="Arial"/>
          <w:sz w:val="18"/>
          <w:szCs w:val="18"/>
          <w:b w:val="1"/>
          <w:bCs w:val="1"/>
          <w:color w:val="auto"/>
        </w:rPr>
      </w:pPr>
    </w:p>
    <w:p>
      <w:pPr>
        <w:ind w:left="860" w:hanging="430"/>
        <w:spacing w:after="0"/>
        <w:tabs>
          <w:tab w:leader="none" w:pos="860"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16" w:lineRule="exact"/>
        <w:rPr>
          <w:rFonts w:ascii="Arial" w:cs="Arial" w:eastAsia="Arial" w:hAnsi="Arial"/>
          <w:sz w:val="18"/>
          <w:szCs w:val="18"/>
          <w:b w:val="1"/>
          <w:bCs w:val="1"/>
          <w:color w:val="auto"/>
        </w:rPr>
      </w:pPr>
    </w:p>
    <w:p>
      <w:pPr>
        <w:ind w:left="820" w:hanging="390"/>
        <w:spacing w:after="0"/>
        <w:tabs>
          <w:tab w:leader="none" w:pos="820" w:val="left"/>
        </w:tabs>
        <w:numPr>
          <w:ilvl w:val="0"/>
          <w:numId w:val="30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b w:val="1"/>
          <w:bCs w:val="1"/>
          <w:color w:val="auto"/>
        </w:rPr>
      </w:pPr>
    </w:p>
    <w:p>
      <w:pPr>
        <w:ind w:right="460" w:firstLine="430"/>
        <w:spacing w:after="0" w:line="277" w:lineRule="auto"/>
        <w:tabs>
          <w:tab w:leader="none" w:pos="829"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61" w:lineRule="exact"/>
        <w:rPr>
          <w:rFonts w:ascii="Arial" w:cs="Arial" w:eastAsia="Arial" w:hAnsi="Arial"/>
          <w:sz w:val="18"/>
          <w:szCs w:val="18"/>
          <w:b w:val="1"/>
          <w:bCs w:val="1"/>
          <w:color w:val="auto"/>
        </w:rPr>
      </w:pPr>
    </w:p>
    <w:p>
      <w:pPr>
        <w:ind w:right="700" w:firstLine="430"/>
        <w:spacing w:after="0" w:line="277" w:lineRule="auto"/>
        <w:tabs>
          <w:tab w:leader="none" w:pos="819"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62" w:lineRule="exact"/>
        <w:rPr>
          <w:sz w:val="20"/>
          <w:szCs w:val="20"/>
          <w:color w:val="auto"/>
        </w:rPr>
      </w:pPr>
    </w:p>
    <w:p>
      <w:pPr>
        <w:ind w:firstLine="430"/>
        <w:spacing w:after="0" w:line="286" w:lineRule="auto"/>
        <w:tabs>
          <w:tab w:leader="none" w:pos="919"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6" w:lineRule="exact"/>
        <w:rPr>
          <w:rFonts w:ascii="Arial" w:cs="Arial" w:eastAsia="Arial" w:hAnsi="Arial"/>
          <w:sz w:val="17"/>
          <w:szCs w:val="17"/>
          <w:b w:val="1"/>
          <w:bCs w:val="1"/>
          <w:color w:val="auto"/>
        </w:rPr>
      </w:pPr>
    </w:p>
    <w:p>
      <w:pPr>
        <w:ind w:right="400" w:firstLine="430"/>
        <w:spacing w:after="0" w:line="277" w:lineRule="auto"/>
        <w:tabs>
          <w:tab w:leader="none" w:pos="939"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61" w:lineRule="exact"/>
        <w:rPr>
          <w:rFonts w:ascii="Arial" w:cs="Arial" w:eastAsia="Arial" w:hAnsi="Arial"/>
          <w:sz w:val="18"/>
          <w:szCs w:val="18"/>
          <w:b w:val="1"/>
          <w:bCs w:val="1"/>
          <w:color w:val="auto"/>
        </w:rPr>
      </w:pPr>
    </w:p>
    <w:p>
      <w:pPr>
        <w:ind w:left="880" w:hanging="450"/>
        <w:spacing w:after="0"/>
        <w:tabs>
          <w:tab w:leader="none" w:pos="880"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Personalis, Inc. 2011 Equity Incentive Plan.</w:t>
      </w:r>
    </w:p>
    <w:p>
      <w:pPr>
        <w:spacing w:after="0" w:line="116" w:lineRule="exact"/>
        <w:rPr>
          <w:rFonts w:ascii="Arial" w:cs="Arial" w:eastAsia="Arial" w:hAnsi="Arial"/>
          <w:sz w:val="18"/>
          <w:szCs w:val="18"/>
          <w:b w:val="1"/>
          <w:bCs w:val="1"/>
          <w:color w:val="auto"/>
        </w:rPr>
      </w:pPr>
    </w:p>
    <w:p>
      <w:pPr>
        <w:ind w:left="920" w:hanging="490"/>
        <w:spacing w:after="0"/>
        <w:tabs>
          <w:tab w:leader="none" w:pos="920"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of Common Stock which is granted pursuant to the terms and conditions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60" w:top="274" w:right="439" w:bottom="1440" w:gutter="0" w:footer="0" w:header="0"/>
        </w:sectPr>
      </w:pPr>
    </w:p>
    <w:bookmarkStart w:id="408" w:name="page409"/>
    <w:bookmarkEnd w:id="408"/>
    <w:p>
      <w:pPr>
        <w:ind w:left="-20" w:right="140" w:firstLine="430"/>
        <w:spacing w:after="0" w:line="263" w:lineRule="auto"/>
        <w:tabs>
          <w:tab w:leader="none" w:pos="87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74" w:lineRule="exact"/>
        <w:rPr>
          <w:rFonts w:ascii="Arial" w:cs="Arial" w:eastAsia="Arial" w:hAnsi="Arial"/>
          <w:sz w:val="18"/>
          <w:szCs w:val="18"/>
          <w:b w:val="1"/>
          <w:bCs w:val="1"/>
          <w:color w:val="auto"/>
        </w:rPr>
      </w:pPr>
    </w:p>
    <w:p>
      <w:pPr>
        <w:ind w:left="-20" w:right="180" w:firstLine="430"/>
        <w:spacing w:after="0" w:line="277" w:lineRule="auto"/>
        <w:tabs>
          <w:tab w:leader="none" w:pos="83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61" w:lineRule="exact"/>
        <w:rPr>
          <w:rFonts w:ascii="Arial" w:cs="Arial" w:eastAsia="Arial" w:hAnsi="Arial"/>
          <w:sz w:val="18"/>
          <w:szCs w:val="18"/>
          <w:b w:val="1"/>
          <w:bCs w:val="1"/>
          <w:color w:val="auto"/>
        </w:rPr>
      </w:pPr>
    </w:p>
    <w:p>
      <w:pPr>
        <w:ind w:left="-20" w:right="20" w:firstLine="430"/>
        <w:spacing w:after="0" w:line="263" w:lineRule="auto"/>
        <w:tabs>
          <w:tab w:leader="none" w:pos="89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74" w:lineRule="exact"/>
        <w:rPr>
          <w:rFonts w:ascii="Arial" w:cs="Arial" w:eastAsia="Arial" w:hAnsi="Arial"/>
          <w:sz w:val="18"/>
          <w:szCs w:val="18"/>
          <w:b w:val="1"/>
          <w:bCs w:val="1"/>
          <w:color w:val="auto"/>
        </w:rPr>
      </w:pPr>
    </w:p>
    <w:p>
      <w:pPr>
        <w:ind w:left="900" w:hanging="490"/>
        <w:spacing w:after="0"/>
        <w:tabs>
          <w:tab w:leader="none" w:pos="90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6" w:lineRule="exact"/>
        <w:rPr>
          <w:rFonts w:ascii="Arial" w:cs="Arial" w:eastAsia="Arial" w:hAnsi="Arial"/>
          <w:sz w:val="18"/>
          <w:szCs w:val="18"/>
          <w:b w:val="1"/>
          <w:bCs w:val="1"/>
          <w:color w:val="auto"/>
        </w:rPr>
      </w:pPr>
    </w:p>
    <w:p>
      <w:pPr>
        <w:ind w:left="800" w:hanging="390"/>
        <w:spacing w:after="0"/>
        <w:tabs>
          <w:tab w:leader="none" w:pos="80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116" w:lineRule="exact"/>
        <w:rPr>
          <w:rFonts w:ascii="Arial" w:cs="Arial" w:eastAsia="Arial" w:hAnsi="Arial"/>
          <w:sz w:val="18"/>
          <w:szCs w:val="18"/>
          <w:b w:val="1"/>
          <w:bCs w:val="1"/>
          <w:color w:val="auto"/>
        </w:rPr>
      </w:pPr>
    </w:p>
    <w:p>
      <w:pPr>
        <w:ind w:left="820" w:hanging="410"/>
        <w:spacing w:after="0"/>
        <w:tabs>
          <w:tab w:leader="none" w:pos="82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6" w:lineRule="exact"/>
        <w:rPr>
          <w:rFonts w:ascii="Arial" w:cs="Arial" w:eastAsia="Arial" w:hAnsi="Arial"/>
          <w:sz w:val="18"/>
          <w:szCs w:val="18"/>
          <w:b w:val="1"/>
          <w:bCs w:val="1"/>
          <w:color w:val="auto"/>
        </w:rPr>
      </w:pPr>
    </w:p>
    <w:p>
      <w:pPr>
        <w:ind w:left="-20" w:firstLine="430"/>
        <w:spacing w:after="0" w:line="277" w:lineRule="auto"/>
        <w:tabs>
          <w:tab w:leader="none" w:pos="91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61" w:lineRule="exact"/>
        <w:rPr>
          <w:rFonts w:ascii="Arial" w:cs="Arial" w:eastAsia="Arial" w:hAnsi="Arial"/>
          <w:sz w:val="18"/>
          <w:szCs w:val="18"/>
          <w:b w:val="1"/>
          <w:bCs w:val="1"/>
          <w:color w:val="auto"/>
        </w:rPr>
      </w:pPr>
    </w:p>
    <w:p>
      <w:pPr>
        <w:ind w:left="-20" w:right="240" w:firstLine="430"/>
        <w:spacing w:after="0" w:line="263" w:lineRule="auto"/>
        <w:tabs>
          <w:tab w:leader="none" w:pos="82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74" w:lineRule="exact"/>
        <w:rPr>
          <w:rFonts w:ascii="Arial" w:cs="Arial" w:eastAsia="Arial" w:hAnsi="Arial"/>
          <w:sz w:val="18"/>
          <w:szCs w:val="18"/>
          <w:b w:val="1"/>
          <w:bCs w:val="1"/>
          <w:color w:val="auto"/>
        </w:rPr>
      </w:pPr>
    </w:p>
    <w:p>
      <w:pPr>
        <w:ind w:left="-20" w:right="240" w:firstLine="430"/>
        <w:spacing w:after="0" w:line="277" w:lineRule="auto"/>
        <w:tabs>
          <w:tab w:leader="none" w:pos="101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61" w:lineRule="exact"/>
        <w:rPr>
          <w:rFonts w:ascii="Arial" w:cs="Arial" w:eastAsia="Arial" w:hAnsi="Arial"/>
          <w:sz w:val="18"/>
          <w:szCs w:val="18"/>
          <w:b w:val="1"/>
          <w:bCs w:val="1"/>
          <w:color w:val="auto"/>
        </w:rPr>
      </w:pPr>
    </w:p>
    <w:p>
      <w:pPr>
        <w:ind w:left="-20" w:right="260" w:firstLine="430"/>
        <w:spacing w:after="0" w:line="277" w:lineRule="auto"/>
        <w:tabs>
          <w:tab w:leader="none" w:pos="919"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61" w:lineRule="exact"/>
        <w:rPr>
          <w:rFonts w:ascii="Arial" w:cs="Arial" w:eastAsia="Arial" w:hAnsi="Arial"/>
          <w:sz w:val="18"/>
          <w:szCs w:val="18"/>
          <w:b w:val="1"/>
          <w:bCs w:val="1"/>
          <w:color w:val="auto"/>
        </w:rPr>
      </w:pPr>
    </w:p>
    <w:p>
      <w:pPr>
        <w:ind w:left="-20" w:right="160" w:firstLine="430"/>
        <w:spacing w:after="0" w:line="275" w:lineRule="auto"/>
        <w:tabs>
          <w:tab w:leader="none" w:pos="899"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67" w:lineRule="exact"/>
        <w:rPr>
          <w:rFonts w:ascii="Arial" w:cs="Arial" w:eastAsia="Arial" w:hAnsi="Arial"/>
          <w:sz w:val="17"/>
          <w:szCs w:val="17"/>
          <w:b w:val="1"/>
          <w:bCs w:val="1"/>
          <w:color w:val="auto"/>
        </w:rPr>
      </w:pPr>
    </w:p>
    <w:p>
      <w:pPr>
        <w:ind w:left="-20" w:right="360" w:firstLine="430"/>
        <w:spacing w:after="0" w:line="307" w:lineRule="auto"/>
        <w:tabs>
          <w:tab w:leader="none" w:pos="919"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means a person who Owns (or is deemed to Own pursuant to Section 424(d) of the Code) stock possessing more than ten percent (10%) of the total combined voting power of all classes of stock of the Company or any Affiliate.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80" w:top="273" w:right="459" w:bottom="1440" w:gutter="0" w:footer="0" w:header="0"/>
        </w:sectPr>
      </w:pPr>
    </w:p>
    <w:bookmarkStart w:id="409" w:name="page410"/>
    <w:bookmarkEnd w:id="409"/>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2011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10" w:lineRule="exact"/>
        <w:rPr>
          <w:sz w:val="20"/>
          <w:szCs w:val="20"/>
          <w:color w:val="auto"/>
        </w:rPr>
      </w:pPr>
    </w:p>
    <w:p>
      <w:pPr>
        <w:ind w:left="10"/>
        <w:spacing w:after="0" w:line="286" w:lineRule="auto"/>
        <w:rPr>
          <w:sz w:val="20"/>
          <w:szCs w:val="20"/>
          <w:color w:val="auto"/>
        </w:rPr>
      </w:pPr>
      <w:r>
        <w:rPr>
          <w:rFonts w:ascii="Arial" w:cs="Arial" w:eastAsia="Arial" w:hAnsi="Arial"/>
          <w:sz w:val="17"/>
          <w:szCs w:val="17"/>
          <w:color w:val="auto"/>
        </w:rPr>
        <w:t>Personalis,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1" w:lineRule="exact"/>
        <w:rPr>
          <w:sz w:val="20"/>
          <w:szCs w:val="20"/>
          <w:color w:val="auto"/>
        </w:rPr>
      </w:pPr>
    </w:p>
    <w:p>
      <w:pPr>
        <w:ind w:left="91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91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26809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7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6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5360" w:type="dxa"/>
            <w:vAlign w:val="bottom"/>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24"/>
        </w:trPr>
        <w:tc>
          <w:tcPr>
            <w:tcW w:w="1760" w:type="dxa"/>
            <w:vAlign w:val="bottom"/>
          </w:tcPr>
          <w:p>
            <w:pPr>
              <w:spacing w:after="0"/>
              <w:rPr>
                <w:sz w:val="20"/>
                <w:szCs w:val="20"/>
                <w:color w:val="auto"/>
              </w:rPr>
            </w:pPr>
            <w:r>
              <w:rPr>
                <w:rFonts w:ascii="Arial" w:cs="Arial" w:eastAsia="Arial" w:hAnsi="Arial"/>
                <w:sz w:val="18"/>
                <w:szCs w:val="18"/>
                <w:b w:val="1"/>
                <w:bCs w:val="1"/>
                <w:color w:val="auto"/>
              </w:rPr>
              <w:t>Exercise Schedule:</w:t>
            </w:r>
          </w:p>
        </w:tc>
        <w:tc>
          <w:tcPr>
            <w:tcW w:w="36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5360" w:type="dxa"/>
            <w:vAlign w:val="bottom"/>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289"/>
        </w:trPr>
        <w:tc>
          <w:tcPr>
            <w:tcW w:w="176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w w:val="92"/>
              </w:rPr>
              <w:t>1/4</w:t>
            </w:r>
            <w:r>
              <w:rPr>
                <w:rFonts w:ascii="Arial" w:cs="Arial" w:eastAsia="Arial" w:hAnsi="Arial"/>
                <w:sz w:val="15"/>
                <w:szCs w:val="15"/>
                <w:color w:val="auto"/>
                <w:w w:val="92"/>
              </w:rPr>
              <w:t>th</w:t>
            </w:r>
            <w:r>
              <w:rPr>
                <w:rFonts w:ascii="Arial" w:cs="Arial" w:eastAsia="Arial" w:hAnsi="Arial"/>
                <w:sz w:val="18"/>
                <w:szCs w:val="18"/>
                <w:color w:val="auto"/>
                <w:w w:val="92"/>
              </w:rPr>
              <w:t xml:space="preserve"> of the shares vest one year after the Vesting Commencement Date; the balance of the shares vest in a series of</w:t>
            </w:r>
          </w:p>
        </w:tc>
      </w:tr>
      <w:tr>
        <w:trPr>
          <w:trHeight w:val="216"/>
        </w:trPr>
        <w:tc>
          <w:tcPr>
            <w:tcW w:w="176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w w:val="90"/>
              </w:rPr>
              <w:t>thirty-six (36) successive equal monthly installments measured from the first anniversary of the Vesting Commencement</w:t>
            </w:r>
          </w:p>
        </w:tc>
      </w:tr>
      <w:tr>
        <w:trPr>
          <w:trHeight w:val="230"/>
        </w:trPr>
        <w:tc>
          <w:tcPr>
            <w:tcW w:w="176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Date.</w:t>
            </w:r>
          </w:p>
        </w:tc>
        <w:tc>
          <w:tcPr>
            <w:tcW w:w="5360" w:type="dxa"/>
            <w:vAlign w:val="bottom"/>
          </w:tcPr>
          <w:p>
            <w:pPr>
              <w:spacing w:after="0"/>
              <w:rPr>
                <w:sz w:val="20"/>
                <w:szCs w:val="20"/>
                <w:color w:val="auto"/>
              </w:rPr>
            </w:pPr>
          </w:p>
        </w:tc>
      </w:tr>
      <w:tr>
        <w:trPr>
          <w:trHeight w:val="324"/>
        </w:trPr>
        <w:tc>
          <w:tcPr>
            <w:tcW w:w="176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223"/>
        </w:trPr>
        <w:tc>
          <w:tcPr>
            <w:tcW w:w="1760" w:type="dxa"/>
            <w:vAlign w:val="bottom"/>
          </w:tcPr>
          <w:p>
            <w:pPr>
              <w:spacing w:after="0"/>
              <w:rPr>
                <w:sz w:val="19"/>
                <w:szCs w:val="19"/>
                <w:color w:val="auto"/>
              </w:rPr>
            </w:pPr>
          </w:p>
        </w:tc>
        <w:tc>
          <w:tcPr>
            <w:tcW w:w="36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53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90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Regulation T Program if the Shares are publicly traded</w:t>
            </w:r>
          </w:p>
        </w:tc>
      </w:tr>
      <w:tr>
        <w:trPr>
          <w:trHeight w:val="216"/>
        </w:trPr>
        <w:tc>
          <w:tcPr>
            <w:tcW w:w="1760" w:type="dxa"/>
            <w:vAlign w:val="bottom"/>
          </w:tcPr>
          <w:p>
            <w:pPr>
              <w:spacing w:after="0"/>
              <w:rPr>
                <w:sz w:val="18"/>
                <w:szCs w:val="18"/>
                <w:color w:val="auto"/>
              </w:rPr>
            </w:pPr>
          </w:p>
        </w:tc>
        <w:tc>
          <w:tcPr>
            <w:tcW w:w="90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if the Shares are publicly traded</w:t>
            </w:r>
          </w:p>
        </w:tc>
      </w:tr>
      <w:tr>
        <w:trPr>
          <w:trHeight w:val="216"/>
        </w:trPr>
        <w:tc>
          <w:tcPr>
            <w:tcW w:w="1760" w:type="dxa"/>
            <w:vAlign w:val="bottom"/>
          </w:tcPr>
          <w:p>
            <w:pPr>
              <w:spacing w:after="0"/>
              <w:rPr>
                <w:sz w:val="18"/>
                <w:szCs w:val="18"/>
                <w:color w:val="auto"/>
              </w:rPr>
            </w:pPr>
          </w:p>
        </w:tc>
        <w:tc>
          <w:tcPr>
            <w:tcW w:w="36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deferred payment</w:t>
            </w:r>
          </w:p>
        </w:tc>
        <w:tc>
          <w:tcPr>
            <w:tcW w:w="5360" w:type="dxa"/>
            <w:vAlign w:val="bottom"/>
          </w:tcPr>
          <w:p>
            <w:pPr>
              <w:spacing w:after="0"/>
              <w:rPr>
                <w:sz w:val="18"/>
                <w:szCs w:val="18"/>
                <w:color w:val="auto"/>
              </w:rPr>
            </w:pPr>
          </w:p>
        </w:tc>
      </w:tr>
      <w:tr>
        <w:trPr>
          <w:trHeight w:val="283"/>
        </w:trPr>
        <w:tc>
          <w:tcPr>
            <w:tcW w:w="1760" w:type="dxa"/>
            <w:vAlign w:val="bottom"/>
          </w:tcPr>
          <w:p>
            <w:pPr>
              <w:spacing w:after="0"/>
              <w:rPr>
                <w:sz w:val="24"/>
                <w:szCs w:val="24"/>
                <w:color w:val="auto"/>
              </w:rPr>
            </w:pPr>
          </w:p>
        </w:tc>
        <w:tc>
          <w:tcPr>
            <w:tcW w:w="36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net exercise</w:t>
            </w:r>
            <w:r>
              <w:rPr>
                <w:rFonts w:ascii="Arial" w:cs="Arial" w:eastAsia="Arial" w:hAnsi="Arial"/>
                <w:sz w:val="15"/>
                <w:szCs w:val="15"/>
                <w:color w:val="auto"/>
              </w:rPr>
              <w:t>2</w:t>
            </w:r>
          </w:p>
        </w:tc>
        <w:tc>
          <w:tcPr>
            <w:tcW w:w="5360" w:type="dxa"/>
            <w:vAlign w:val="bottom"/>
          </w:tcPr>
          <w:p>
            <w:pPr>
              <w:spacing w:after="0"/>
              <w:rPr>
                <w:sz w:val="24"/>
                <w:szCs w:val="24"/>
                <w:color w:val="auto"/>
              </w:rPr>
            </w:pPr>
          </w:p>
        </w:tc>
      </w:tr>
    </w:tbl>
    <w:p>
      <w:pPr>
        <w:spacing w:after="0" w:line="177" w:lineRule="exact"/>
        <w:rPr>
          <w:sz w:val="20"/>
          <w:szCs w:val="20"/>
          <w:color w:val="auto"/>
        </w:rPr>
      </w:pPr>
    </w:p>
    <w:p>
      <w:pPr>
        <w:ind w:left="10" w:right="20"/>
        <w:spacing w:after="0" w:line="255"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Optionholder acknowledges receipt of, and understands and agrees to, this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the Option Agreement and the Plan. Optionholder acknowledges and agrees that this Stock Option Grant Notice and the Option Agreement may not be modified, amended or revised except in a writing signed by Optionholder and a duly authorized officer of the Company.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promises and/or representations on that subject with the exception of (i) options previously granted and delivered to Optionholder under the Plan, and (ii) the following agreements only:</w:t>
      </w:r>
    </w:p>
    <w:p>
      <w:pPr>
        <w:spacing w:after="0" w:line="214" w:lineRule="exact"/>
        <w:rPr>
          <w:sz w:val="20"/>
          <w:szCs w:val="20"/>
          <w:color w:val="auto"/>
        </w:rPr>
      </w:pPr>
    </w:p>
    <w:p>
      <w:pPr>
        <w:ind w:left="71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17145</wp:posOffset>
            </wp:positionV>
            <wp:extent cx="39833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983355"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171450</wp:posOffset>
            </wp:positionV>
            <wp:extent cx="39833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98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70231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30" w:hanging="430"/>
        <w:spacing w:after="0" w:line="257" w:lineRule="auto"/>
        <w:tabs>
          <w:tab w:leader="none" w:pos="430" w:val="left"/>
        </w:tabs>
        <w:numPr>
          <w:ilvl w:val="0"/>
          <w:numId w:val="308"/>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1" w:lineRule="exact"/>
        <w:rPr>
          <w:sz w:val="20"/>
          <w:szCs w:val="20"/>
          <w:color w:val="auto"/>
        </w:rPr>
      </w:pPr>
    </w:p>
    <w:p>
      <w:pPr>
        <w:ind w:left="5390" w:right="4800" w:hanging="5390"/>
        <w:spacing w:after="0" w:line="518" w:lineRule="auto"/>
        <w:tabs>
          <w:tab w:leader="none" w:pos="430" w:val="left"/>
        </w:tabs>
        <w:numPr>
          <w:ilvl w:val="0"/>
          <w:numId w:val="309"/>
        </w:numPr>
        <w:rPr>
          <w:rFonts w:ascii="Arial" w:cs="Arial" w:eastAsia="Arial" w:hAnsi="Arial"/>
          <w:sz w:val="13"/>
          <w:szCs w:val="13"/>
          <w:color w:val="auto"/>
        </w:rPr>
      </w:pPr>
      <w:r>
        <w:rPr>
          <w:rFonts w:ascii="Arial" w:cs="Arial" w:eastAsia="Arial" w:hAnsi="Arial"/>
          <w:sz w:val="16"/>
          <w:szCs w:val="16"/>
          <w:color w:val="auto"/>
        </w:rPr>
        <w:t>An Incentive Stock Option may not be exercised by a net exercise arrangement. 23.</w:t>
      </w:r>
    </w:p>
    <w:p>
      <w:pPr>
        <w:sectPr>
          <w:pgSz w:w="11900" w:h="16838" w:orient="portrait"/>
          <w:cols w:equalWidth="0" w:num="1">
            <w:col w:w="10970"/>
          </w:cols>
          <w:pgMar w:left="450" w:top="270" w:right="47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780" w:type="dxa"/>
            <w:vAlign w:val="bottom"/>
            <w:gridSpan w:val="3"/>
          </w:tcPr>
          <w:p>
            <w:pPr>
              <w:ind w:left="5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05"/>
        </w:trPr>
        <w:tc>
          <w:tcPr>
            <w:tcW w:w="5220" w:type="dxa"/>
            <w:vAlign w:val="bottom"/>
            <w:gridSpan w:val="2"/>
          </w:tcPr>
          <w:p>
            <w:pPr>
              <w:spacing w:after="0"/>
              <w:rPr>
                <w:sz w:val="20"/>
                <w:szCs w:val="20"/>
                <w:color w:val="auto"/>
              </w:rPr>
            </w:pPr>
            <w:r>
              <w:rPr>
                <w:rFonts w:ascii="Arial" w:cs="Arial" w:eastAsia="Arial" w:hAnsi="Arial"/>
                <w:sz w:val="18"/>
                <w:szCs w:val="18"/>
                <w:color w:val="auto"/>
              </w:rPr>
              <w:t>By:</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4560" w:type="dxa"/>
            <w:vAlign w:val="bottom"/>
            <w:tcBorders>
              <w:top w:val="single" w:sz="8" w:color="auto"/>
            </w:tcBorders>
          </w:tcPr>
          <w:p>
            <w:pPr>
              <w:ind w:left="1600"/>
              <w:spacing w:after="0"/>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Signature</w:t>
            </w:r>
          </w:p>
        </w:tc>
      </w:tr>
      <w:tr>
        <w:trPr>
          <w:trHeight w:val="40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Date:</w:t>
            </w:r>
          </w:p>
        </w:tc>
        <w:tc>
          <w:tcPr>
            <w:tcW w:w="4600" w:type="dxa"/>
            <w:vAlign w:val="bottom"/>
            <w:tcBorders>
              <w:bottom w:val="single" w:sz="8" w:color="auto"/>
            </w:tcBorders>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380" w:right="4660" w:hanging="5390"/>
        <w:spacing w:after="0" w:line="494"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TTACHMENTS</w:t>
      </w:r>
      <w:r>
        <w:rPr>
          <w:rFonts w:ascii="Arial" w:cs="Arial" w:eastAsia="Arial" w:hAnsi="Arial"/>
          <w:sz w:val="17"/>
          <w:szCs w:val="17"/>
          <w:color w:val="auto"/>
        </w:rPr>
        <w:t>: Option Agreement, 2011 Equity Incentive Plan and Notice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24.</w:t>
      </w:r>
    </w:p>
    <w:p>
      <w:pPr>
        <w:sectPr>
          <w:pgSz w:w="11900" w:h="16838" w:orient="portrait"/>
          <w:cols w:equalWidth="0" w:num="1">
            <w:col w:w="11000"/>
          </w:cols>
          <w:pgMar w:left="460" w:top="270" w:right="4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PERSONALIS,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Personalis,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2011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200" w:firstLine="430"/>
        <w:spacing w:after="0" w:line="281" w:lineRule="auto"/>
        <w:tabs>
          <w:tab w:leader="none" w:pos="6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 cease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your Continuous Service.</w:t>
      </w:r>
    </w:p>
    <w:p>
      <w:pPr>
        <w:spacing w:after="0" w:line="54" w:lineRule="exact"/>
        <w:rPr>
          <w:rFonts w:ascii="Arial" w:cs="Arial" w:eastAsia="Arial" w:hAnsi="Arial"/>
          <w:sz w:val="18"/>
          <w:szCs w:val="18"/>
          <w:b w:val="1"/>
          <w:bCs w:val="1"/>
          <w:color w:val="auto"/>
        </w:rPr>
      </w:pPr>
    </w:p>
    <w:p>
      <w:pPr>
        <w:ind w:firstLine="430"/>
        <w:spacing w:after="0" w:line="281" w:lineRule="auto"/>
        <w:tabs>
          <w:tab w:leader="none" w:pos="6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4" w:lineRule="exact"/>
        <w:rPr>
          <w:rFonts w:ascii="Arial" w:cs="Arial" w:eastAsia="Arial" w:hAnsi="Arial"/>
          <w:sz w:val="18"/>
          <w:szCs w:val="18"/>
          <w:b w:val="1"/>
          <w:bCs w:val="1"/>
          <w:color w:val="auto"/>
        </w:rPr>
      </w:pPr>
    </w:p>
    <w:p>
      <w:pPr>
        <w:ind w:right="20" w:firstLine="430"/>
        <w:spacing w:after="0" w:line="260" w:lineRule="auto"/>
        <w:tabs>
          <w:tab w:leader="none" w:pos="6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you are an Employee eligible for overtime compensation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Labor Standards Act of 1938, as amended (</w:t>
      </w:r>
      <w:r>
        <w:rPr>
          <w:rFonts w:ascii="Arial" w:cs="Arial" w:eastAsia="Arial" w:hAnsi="Arial"/>
          <w:sz w:val="18"/>
          <w:szCs w:val="18"/>
          <w:i w:val="1"/>
          <w:iCs w:val="1"/>
          <w:color w:val="auto"/>
        </w:rPr>
        <w:t>i.e.</w:t>
      </w:r>
      <w:r>
        <w:rPr>
          <w:rFonts w:ascii="Arial" w:cs="Arial" w:eastAsia="Arial" w:hAnsi="Arial"/>
          <w:sz w:val="18"/>
          <w:szCs w:val="18"/>
          <w:color w:val="auto"/>
        </w:rPr>
        <w:t>,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you may not exercise your option until you have completed at least six (6) months of Continuous Service measured from the Date of Grant specified in your Grant Notice, notwithstanding any other provision of your option.</w:t>
      </w:r>
    </w:p>
    <w:p>
      <w:pPr>
        <w:spacing w:after="0" w:line="74" w:lineRule="exact"/>
        <w:rPr>
          <w:rFonts w:ascii="Arial" w:cs="Arial" w:eastAsia="Arial" w:hAnsi="Arial"/>
          <w:sz w:val="18"/>
          <w:szCs w:val="18"/>
          <w:b w:val="1"/>
          <w:bCs w:val="1"/>
          <w:color w:val="auto"/>
        </w:rPr>
      </w:pPr>
    </w:p>
    <w:p>
      <w:pPr>
        <w:ind w:right="20" w:firstLine="430"/>
        <w:spacing w:after="0" w:line="288" w:lineRule="auto"/>
        <w:tabs>
          <w:tab w:leader="none" w:pos="620"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5" w:lineRule="exact"/>
        <w:rPr>
          <w:rFonts w:ascii="Arial" w:cs="Arial" w:eastAsia="Arial" w:hAnsi="Arial"/>
          <w:sz w:val="17"/>
          <w:szCs w:val="17"/>
          <w:b w:val="1"/>
          <w:bCs w:val="1"/>
          <w:color w:val="auto"/>
        </w:rPr>
      </w:pPr>
    </w:p>
    <w:p>
      <w:pPr>
        <w:ind w:right="40" w:firstLine="871"/>
        <w:spacing w:after="0" w:line="277" w:lineRule="auto"/>
        <w:tabs>
          <w:tab w:leader="none" w:pos="10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1" w:lineRule="exact"/>
        <w:rPr>
          <w:rFonts w:ascii="Arial" w:cs="Arial" w:eastAsia="Arial" w:hAnsi="Arial"/>
          <w:sz w:val="18"/>
          <w:szCs w:val="18"/>
          <w:b w:val="1"/>
          <w:bCs w:val="1"/>
          <w:color w:val="auto"/>
        </w:rPr>
      </w:pPr>
    </w:p>
    <w:p>
      <w:pPr>
        <w:ind w:right="620" w:firstLine="871"/>
        <w:spacing w:after="0" w:line="307" w:lineRule="auto"/>
        <w:tabs>
          <w:tab w:leader="none" w:pos="1070" w:val="left"/>
        </w:tabs>
        <w:numPr>
          <w:ilvl w:val="1"/>
          <w:numId w:val="310"/>
        </w:numPr>
        <w:rPr>
          <w:rFonts w:ascii="Arial" w:cs="Arial" w:eastAsia="Arial" w:hAnsi="Arial"/>
          <w:sz w:val="17"/>
          <w:szCs w:val="17"/>
          <w:b w:val="1"/>
          <w:bCs w:val="1"/>
          <w:color w:val="auto"/>
        </w:rPr>
      </w:pPr>
      <w:r>
        <w:rPr>
          <w:rFonts w:ascii="Arial" w:cs="Arial" w:eastAsia="Arial" w:hAnsi="Arial"/>
          <w:sz w:val="17"/>
          <w:szCs w:val="17"/>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39" w:lineRule="exact"/>
        <w:rPr>
          <w:rFonts w:ascii="Arial" w:cs="Arial" w:eastAsia="Arial" w:hAnsi="Arial"/>
          <w:sz w:val="17"/>
          <w:szCs w:val="17"/>
          <w:b w:val="1"/>
          <w:bCs w:val="1"/>
          <w:color w:val="auto"/>
        </w:rPr>
      </w:pPr>
    </w:p>
    <w:p>
      <w:pPr>
        <w:ind w:right="100" w:firstLine="871"/>
        <w:spacing w:after="0" w:line="277" w:lineRule="auto"/>
        <w:tabs>
          <w:tab w:leader="none" w:pos="105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60" w:top="270" w:right="439" w:bottom="1440" w:gutter="0" w:footer="0" w:header="0"/>
        </w:sectPr>
      </w:pPr>
    </w:p>
    <w:bookmarkStart w:id="412" w:name="page413"/>
    <w:bookmarkEnd w:id="412"/>
    <w:p>
      <w:pPr>
        <w:ind w:right="120" w:firstLine="88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6"/>
          <w:szCs w:val="16"/>
          <w:color w:val="auto"/>
        </w:rPr>
        <w:t>if your option is an Incentive Stock Option, then, to the extent that the aggregate Fair Market Value (determined at the time of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42" w:lineRule="exact"/>
        <w:rPr>
          <w:sz w:val="20"/>
          <w:szCs w:val="20"/>
          <w:color w:val="auto"/>
        </w:rPr>
      </w:pPr>
    </w:p>
    <w:p>
      <w:pPr>
        <w:ind w:right="340" w:firstLine="430"/>
        <w:spacing w:after="0" w:line="266" w:lineRule="auto"/>
        <w:tabs>
          <w:tab w:leader="none" w:pos="62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exercise price is due in full upon exercise of all or any part of your option. You may elect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of the exercise price in cash or by check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71" w:lineRule="exact"/>
        <w:rPr>
          <w:rFonts w:ascii="Arial" w:cs="Arial" w:eastAsia="Arial" w:hAnsi="Arial"/>
          <w:sz w:val="18"/>
          <w:szCs w:val="18"/>
          <w:b w:val="1"/>
          <w:bCs w:val="1"/>
          <w:color w:val="auto"/>
        </w:rPr>
      </w:pPr>
    </w:p>
    <w:p>
      <w:pPr>
        <w:jc w:val="both"/>
        <w:ind w:right="120" w:firstLine="871"/>
        <w:spacing w:after="0" w:line="259" w:lineRule="auto"/>
        <w:tabs>
          <w:tab w:leader="none" w:pos="106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77" w:lineRule="exact"/>
        <w:rPr>
          <w:rFonts w:ascii="Arial" w:cs="Arial" w:eastAsia="Arial" w:hAnsi="Arial"/>
          <w:sz w:val="18"/>
          <w:szCs w:val="18"/>
          <w:b w:val="1"/>
          <w:bCs w:val="1"/>
          <w:color w:val="auto"/>
        </w:rPr>
      </w:pPr>
    </w:p>
    <w:p>
      <w:pPr>
        <w:ind w:right="40" w:firstLine="871"/>
        <w:spacing w:after="0" w:line="256" w:lineRule="auto"/>
        <w:tabs>
          <w:tab w:leader="none" w:pos="107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83" w:lineRule="exact"/>
        <w:rPr>
          <w:rFonts w:ascii="Arial" w:cs="Arial" w:eastAsia="Arial" w:hAnsi="Arial"/>
          <w:sz w:val="18"/>
          <w:szCs w:val="18"/>
          <w:b w:val="1"/>
          <w:bCs w:val="1"/>
          <w:color w:val="auto"/>
        </w:rPr>
      </w:pPr>
    </w:p>
    <w:p>
      <w:pPr>
        <w:ind w:left="1040" w:hanging="169"/>
        <w:spacing w:after="0"/>
        <w:tabs>
          <w:tab w:leader="none" w:pos="104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Pursuant to the following deferred payment alternative:</w:t>
      </w:r>
    </w:p>
    <w:p>
      <w:pPr>
        <w:spacing w:after="0" w:line="116" w:lineRule="exact"/>
        <w:rPr>
          <w:rFonts w:ascii="Arial" w:cs="Arial" w:eastAsia="Arial" w:hAnsi="Arial"/>
          <w:sz w:val="18"/>
          <w:szCs w:val="18"/>
          <w:b w:val="1"/>
          <w:bCs w:val="1"/>
          <w:color w:val="auto"/>
        </w:rPr>
      </w:pPr>
    </w:p>
    <w:p>
      <w:pPr>
        <w:ind w:right="160" w:firstLine="1421"/>
        <w:spacing w:after="0" w:line="277" w:lineRule="auto"/>
        <w:tabs>
          <w:tab w:leader="none" w:pos="1626"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Not less than one hundred percent (100%) of the aggregate exercise price, plus accrued interest, shall be due four (4) years from date of exercise or, at the Company’s election, upon termination of your Continuous Service.</w:t>
      </w:r>
    </w:p>
    <w:p>
      <w:pPr>
        <w:spacing w:after="0" w:line="61" w:lineRule="exact"/>
        <w:rPr>
          <w:rFonts w:ascii="Arial" w:cs="Arial" w:eastAsia="Arial" w:hAnsi="Arial"/>
          <w:sz w:val="18"/>
          <w:szCs w:val="18"/>
          <w:b w:val="1"/>
          <w:bCs w:val="1"/>
          <w:color w:val="auto"/>
        </w:rPr>
      </w:pPr>
    </w:p>
    <w:p>
      <w:pPr>
        <w:ind w:right="200" w:firstLine="1421"/>
        <w:spacing w:after="0" w:line="263" w:lineRule="auto"/>
        <w:tabs>
          <w:tab w:leader="none" w:pos="1626"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pacing w:after="0" w:line="74" w:lineRule="exact"/>
        <w:rPr>
          <w:rFonts w:ascii="Arial" w:cs="Arial" w:eastAsia="Arial" w:hAnsi="Arial"/>
          <w:sz w:val="18"/>
          <w:szCs w:val="18"/>
          <w:b w:val="1"/>
          <w:bCs w:val="1"/>
          <w:color w:val="auto"/>
        </w:rPr>
      </w:pPr>
    </w:p>
    <w:p>
      <w:pPr>
        <w:jc w:val="both"/>
        <w:ind w:firstLine="1421"/>
        <w:spacing w:after="0" w:line="279" w:lineRule="auto"/>
        <w:tabs>
          <w:tab w:leader="none" w:pos="1626" w:val="left"/>
        </w:tabs>
        <w:numPr>
          <w:ilvl w:val="2"/>
          <w:numId w:val="311"/>
        </w:numPr>
        <w:rPr>
          <w:rFonts w:ascii="Arial" w:cs="Arial" w:eastAsia="Arial" w:hAnsi="Arial"/>
          <w:sz w:val="17"/>
          <w:szCs w:val="17"/>
          <w:b w:val="1"/>
          <w:bCs w:val="1"/>
          <w:color w:val="auto"/>
        </w:rPr>
      </w:pPr>
      <w:r>
        <w:rPr>
          <w:rFonts w:ascii="Arial" w:cs="Arial" w:eastAsia="Arial" w:hAnsi="Arial"/>
          <w:sz w:val="17"/>
          <w:szCs w:val="17"/>
          <w:color w:val="auto"/>
        </w:rPr>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0" w:right="459" w:bottom="1440" w:gutter="0" w:footer="0" w:header="0"/>
        </w:sectPr>
      </w:pPr>
    </w:p>
    <w:bookmarkStart w:id="413" w:name="page414"/>
    <w:bookmarkEnd w:id="413"/>
    <w:p>
      <w:pPr>
        <w:ind w:left="620" w:hanging="190"/>
        <w:spacing w:after="0"/>
        <w:tabs>
          <w:tab w:leader="none" w:pos="62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116" w:lineRule="exact"/>
        <w:rPr>
          <w:rFonts w:ascii="Arial" w:cs="Arial" w:eastAsia="Arial" w:hAnsi="Arial"/>
          <w:sz w:val="18"/>
          <w:szCs w:val="18"/>
          <w:b w:val="1"/>
          <w:bCs w:val="1"/>
          <w:color w:val="auto"/>
        </w:rPr>
      </w:pPr>
    </w:p>
    <w:p>
      <w:pPr>
        <w:ind w:right="40" w:firstLine="430"/>
        <w:spacing w:after="0" w:line="276" w:lineRule="auto"/>
        <w:tabs>
          <w:tab w:leader="none" w:pos="62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63" w:lineRule="exact"/>
        <w:rPr>
          <w:rFonts w:ascii="Arial" w:cs="Arial" w:eastAsia="Arial" w:hAnsi="Arial"/>
          <w:sz w:val="17"/>
          <w:szCs w:val="17"/>
          <w:b w:val="1"/>
          <w:bCs w:val="1"/>
          <w:color w:val="auto"/>
        </w:rPr>
      </w:pPr>
    </w:p>
    <w:p>
      <w:pPr>
        <w:ind w:right="100" w:firstLine="430"/>
        <w:spacing w:after="0" w:line="281" w:lineRule="auto"/>
        <w:tabs>
          <w:tab w:leader="none" w:pos="62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and expires upon the earliest of the following:</w:t>
      </w:r>
    </w:p>
    <w:p>
      <w:pPr>
        <w:spacing w:after="0" w:line="58" w:lineRule="exact"/>
        <w:rPr>
          <w:rFonts w:ascii="Arial" w:cs="Arial" w:eastAsia="Arial" w:hAnsi="Arial"/>
          <w:sz w:val="18"/>
          <w:szCs w:val="18"/>
          <w:b w:val="1"/>
          <w:bCs w:val="1"/>
          <w:color w:val="auto"/>
        </w:rPr>
      </w:pPr>
    </w:p>
    <w:p>
      <w:pPr>
        <w:ind w:right="40" w:firstLine="871"/>
        <w:spacing w:after="0" w:line="259" w:lineRule="auto"/>
        <w:tabs>
          <w:tab w:leader="none" w:pos="106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pacing w:after="0" w:line="77" w:lineRule="exact"/>
        <w:rPr>
          <w:rFonts w:ascii="Arial" w:cs="Arial" w:eastAsia="Arial" w:hAnsi="Arial"/>
          <w:sz w:val="18"/>
          <w:szCs w:val="18"/>
          <w:b w:val="1"/>
          <w:bCs w:val="1"/>
          <w:color w:val="auto"/>
        </w:rPr>
      </w:pPr>
    </w:p>
    <w:p>
      <w:pPr>
        <w:ind w:left="1060" w:hanging="189"/>
        <w:spacing w:after="0"/>
        <w:tabs>
          <w:tab w:leader="none" w:pos="106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your Continuous Service due to your Disability;</w:t>
      </w:r>
    </w:p>
    <w:p>
      <w:pPr>
        <w:spacing w:after="0" w:line="116" w:lineRule="exact"/>
        <w:rPr>
          <w:rFonts w:ascii="Arial" w:cs="Arial" w:eastAsia="Arial" w:hAnsi="Arial"/>
          <w:sz w:val="18"/>
          <w:szCs w:val="18"/>
          <w:b w:val="1"/>
          <w:bCs w:val="1"/>
          <w:color w:val="auto"/>
        </w:rPr>
      </w:pPr>
    </w:p>
    <w:p>
      <w:pPr>
        <w:ind w:left="1040" w:hanging="169"/>
        <w:spacing w:after="0"/>
        <w:tabs>
          <w:tab w:leader="none" w:pos="104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during your Continuous Service;</w:t>
      </w:r>
    </w:p>
    <w:p>
      <w:pPr>
        <w:spacing w:after="0" w:line="116" w:lineRule="exact"/>
        <w:rPr>
          <w:rFonts w:ascii="Arial" w:cs="Arial" w:eastAsia="Arial" w:hAnsi="Arial"/>
          <w:sz w:val="18"/>
          <w:szCs w:val="18"/>
          <w:b w:val="1"/>
          <w:bCs w:val="1"/>
          <w:color w:val="auto"/>
        </w:rPr>
      </w:pPr>
    </w:p>
    <w:p>
      <w:pPr>
        <w:ind w:left="1060" w:hanging="189"/>
        <w:spacing w:after="0"/>
        <w:tabs>
          <w:tab w:leader="none" w:pos="106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6" w:lineRule="exact"/>
        <w:rPr>
          <w:rFonts w:ascii="Arial" w:cs="Arial" w:eastAsia="Arial" w:hAnsi="Arial"/>
          <w:sz w:val="18"/>
          <w:szCs w:val="18"/>
          <w:b w:val="1"/>
          <w:bCs w:val="1"/>
          <w:color w:val="auto"/>
        </w:rPr>
      </w:pPr>
    </w:p>
    <w:p>
      <w:pPr>
        <w:ind w:left="1040" w:hanging="169"/>
        <w:spacing w:after="0"/>
        <w:tabs>
          <w:tab w:leader="none" w:pos="104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the foregoing, if you die during the period provided in Section 8(a) or 8(b) above, the term of your option shall not expire until the earlier of eighteen (18) months after your death, the Expiration Date indicated in your Grant Notice, or the day before the tenth (10</w:t>
      </w:r>
      <w:r>
        <w:rPr>
          <w:rFonts w:ascii="Arial" w:cs="Arial" w:eastAsia="Arial" w:hAnsi="Arial"/>
          <w:sz w:val="15"/>
          <w:szCs w:val="15"/>
          <w:color w:val="auto"/>
        </w:rPr>
        <w:t>th</w:t>
      </w:r>
      <w:r>
        <w:rPr>
          <w:rFonts w:ascii="Arial" w:cs="Arial" w:eastAsia="Arial" w:hAnsi="Arial"/>
          <w:sz w:val="18"/>
          <w:szCs w:val="18"/>
          <w:color w:val="auto"/>
        </w:rPr>
        <w:t>) anniversary of the Date of Grant.</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69" w:right="459" w:bottom="1440" w:gutter="0" w:footer="0" w:header="0"/>
        </w:sectPr>
      </w:pPr>
    </w:p>
    <w:bookmarkStart w:id="414" w:name="page415"/>
    <w:bookmarkEnd w:id="414"/>
    <w:p>
      <w:pPr>
        <w:ind w:left="630" w:hanging="190"/>
        <w:spacing w:after="0"/>
        <w:tabs>
          <w:tab w:leader="none" w:pos="63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jc w:val="both"/>
        <w:ind w:left="10" w:right="180" w:firstLine="871"/>
        <w:spacing w:after="0" w:line="259" w:lineRule="auto"/>
        <w:tabs>
          <w:tab w:leader="none" w:pos="1070"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77" w:lineRule="exact"/>
        <w:rPr>
          <w:rFonts w:ascii="Arial" w:cs="Arial" w:eastAsia="Arial" w:hAnsi="Arial"/>
          <w:sz w:val="18"/>
          <w:szCs w:val="18"/>
          <w:b w:val="1"/>
          <w:bCs w:val="1"/>
          <w:color w:val="auto"/>
        </w:rPr>
      </w:pPr>
    </w:p>
    <w:p>
      <w:pPr>
        <w:ind w:left="10" w:right="140" w:firstLine="871"/>
        <w:spacing w:after="0" w:line="259" w:lineRule="auto"/>
        <w:tabs>
          <w:tab w:leader="none" w:pos="1080"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77" w:lineRule="exact"/>
        <w:rPr>
          <w:rFonts w:ascii="Arial" w:cs="Arial" w:eastAsia="Arial" w:hAnsi="Arial"/>
          <w:sz w:val="18"/>
          <w:szCs w:val="18"/>
          <w:b w:val="1"/>
          <w:bCs w:val="1"/>
          <w:color w:val="auto"/>
        </w:rPr>
      </w:pPr>
    </w:p>
    <w:p>
      <w:pPr>
        <w:ind w:left="10" w:right="120" w:firstLine="871"/>
        <w:spacing w:after="0" w:line="290" w:lineRule="auto"/>
        <w:tabs>
          <w:tab w:leader="none" w:pos="1060" w:val="left"/>
        </w:tabs>
        <w:numPr>
          <w:ilvl w:val="2"/>
          <w:numId w:val="313"/>
        </w:numPr>
        <w:rPr>
          <w:rFonts w:ascii="Arial" w:cs="Arial" w:eastAsia="Arial" w:hAnsi="Arial"/>
          <w:sz w:val="16"/>
          <w:szCs w:val="16"/>
          <w:b w:val="1"/>
          <w:bCs w:val="1"/>
          <w:color w:val="auto"/>
        </w:rPr>
      </w:pPr>
      <w:r>
        <w:rPr>
          <w:rFonts w:ascii="Arial" w:cs="Arial" w:eastAsia="Arial" w:hAnsi="Arial"/>
          <w:sz w:val="16"/>
          <w:szCs w:val="16"/>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w:t>
      </w:r>
    </w:p>
    <w:p>
      <w:pPr>
        <w:spacing w:after="0" w:line="1" w:lineRule="exact"/>
        <w:rPr>
          <w:rFonts w:ascii="Arial" w:cs="Arial" w:eastAsia="Arial" w:hAnsi="Arial"/>
          <w:sz w:val="16"/>
          <w:szCs w:val="16"/>
          <w:b w:val="1"/>
          <w:bCs w:val="1"/>
          <w:color w:val="auto"/>
        </w:rPr>
      </w:pPr>
    </w:p>
    <w:p>
      <w:pPr>
        <w:ind w:left="250" w:hanging="250"/>
        <w:spacing w:after="0"/>
        <w:tabs>
          <w:tab w:leader="none" w:pos="25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years after the date of your option grant or within one (1) year after such shares of Common Stock are transferred upon exercise of your option.</w:t>
      </w:r>
    </w:p>
    <w:p>
      <w:pPr>
        <w:spacing w:after="0" w:line="125" w:lineRule="exact"/>
        <w:rPr>
          <w:rFonts w:ascii="Arial" w:cs="Arial" w:eastAsia="Arial" w:hAnsi="Arial"/>
          <w:sz w:val="16"/>
          <w:szCs w:val="16"/>
          <w:color w:val="auto"/>
        </w:rPr>
      </w:pPr>
    </w:p>
    <w:p>
      <w:pPr>
        <w:ind w:left="10" w:firstLine="871"/>
        <w:spacing w:after="0" w:line="288" w:lineRule="auto"/>
        <w:tabs>
          <w:tab w:leader="none" w:pos="1080" w:val="left"/>
        </w:tabs>
        <w:numPr>
          <w:ilvl w:val="2"/>
          <w:numId w:val="314"/>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54" w:lineRule="exact"/>
        <w:rPr>
          <w:rFonts w:ascii="Arial" w:cs="Arial" w:eastAsia="Arial" w:hAnsi="Arial"/>
          <w:sz w:val="16"/>
          <w:szCs w:val="16"/>
          <w:b w:val="1"/>
          <w:bCs w:val="1"/>
          <w:color w:val="auto"/>
        </w:rPr>
      </w:pPr>
    </w:p>
    <w:p>
      <w:pPr>
        <w:ind w:left="710" w:hanging="270"/>
        <w:spacing w:after="0"/>
        <w:tabs>
          <w:tab w:leader="none" w:pos="710" w:val="left"/>
        </w:tabs>
        <w:numPr>
          <w:ilvl w:val="1"/>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transferable, except by will or by the laws of descent and distribution, and is exercisable during your</w:t>
      </w:r>
    </w:p>
    <w:p>
      <w:pPr>
        <w:spacing w:after="0" w:line="39" w:lineRule="exact"/>
        <w:rPr>
          <w:sz w:val="20"/>
          <w:szCs w:val="20"/>
          <w:color w:val="auto"/>
        </w:rPr>
      </w:pPr>
    </w:p>
    <w:p>
      <w:pPr>
        <w:ind w:left="10" w:right="20"/>
        <w:spacing w:after="0" w:line="295" w:lineRule="auto"/>
        <w:rPr>
          <w:sz w:val="20"/>
          <w:szCs w:val="20"/>
          <w:color w:val="auto"/>
        </w:rPr>
      </w:pPr>
      <w:r>
        <w:rPr>
          <w:rFonts w:ascii="Arial" w:cs="Arial" w:eastAsia="Arial" w:hAnsi="Arial"/>
          <w:sz w:val="16"/>
          <w:szCs w:val="16"/>
          <w:color w:val="auto"/>
        </w:rPr>
        <w:t>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9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70"/>
          </w:cols>
          <w:pgMar w:left="450" w:top="270" w:right="479" w:bottom="1440" w:gutter="0" w:footer="0" w:header="0"/>
        </w:sectPr>
      </w:pPr>
    </w:p>
    <w:bookmarkStart w:id="415" w:name="page416"/>
    <w:bookmarkEnd w:id="415"/>
    <w:p>
      <w:pPr>
        <w:ind w:firstLine="430"/>
        <w:spacing w:after="0" w:line="294" w:lineRule="auto"/>
        <w:tabs>
          <w:tab w:leader="none" w:pos="700"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EFUSAL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that you acquire upon exercise of your option are subject to any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may be described in the Company’s bylaws in effect at such time the Company elects to exercise its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50" w:lineRule="exact"/>
        <w:rPr>
          <w:rFonts w:ascii="Arial" w:cs="Arial" w:eastAsia="Arial" w:hAnsi="Arial"/>
          <w:sz w:val="16"/>
          <w:szCs w:val="16"/>
          <w:b w:val="1"/>
          <w:bCs w:val="1"/>
          <w:color w:val="auto"/>
        </w:rPr>
      </w:pPr>
    </w:p>
    <w:p>
      <w:pPr>
        <w:ind w:right="80" w:firstLine="430"/>
        <w:spacing w:after="0" w:line="347" w:lineRule="auto"/>
        <w:tabs>
          <w:tab w:leader="none" w:pos="710"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7" w:lineRule="exact"/>
        <w:rPr>
          <w:rFonts w:ascii="Arial" w:cs="Arial" w:eastAsia="Arial" w:hAnsi="Arial"/>
          <w:sz w:val="16"/>
          <w:szCs w:val="16"/>
          <w:b w:val="1"/>
          <w:bCs w:val="1"/>
          <w:color w:val="auto"/>
        </w:rPr>
      </w:pPr>
    </w:p>
    <w:p>
      <w:pPr>
        <w:ind w:right="20" w:firstLine="430"/>
        <w:spacing w:after="0" w:line="303" w:lineRule="auto"/>
        <w:tabs>
          <w:tab w:leader="none" w:pos="710"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42" w:lineRule="exact"/>
        <w:rPr>
          <w:rFonts w:ascii="Arial" w:cs="Arial" w:eastAsia="Arial" w:hAnsi="Arial"/>
          <w:sz w:val="16"/>
          <w:szCs w:val="16"/>
          <w:b w:val="1"/>
          <w:bCs w:val="1"/>
          <w:color w:val="auto"/>
        </w:rPr>
      </w:pPr>
    </w:p>
    <w:p>
      <w:pPr>
        <w:ind w:left="700" w:hanging="270"/>
        <w:spacing w:after="0"/>
        <w:tabs>
          <w:tab w:leader="none" w:pos="7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right="40" w:firstLine="871"/>
        <w:spacing w:after="0" w:line="256" w:lineRule="auto"/>
        <w:tabs>
          <w:tab w:leader="none" w:pos="106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83" w:lineRule="exact"/>
        <w:rPr>
          <w:rFonts w:ascii="Arial" w:cs="Arial" w:eastAsia="Arial" w:hAnsi="Arial"/>
          <w:sz w:val="18"/>
          <w:szCs w:val="18"/>
          <w:b w:val="1"/>
          <w:bCs w:val="1"/>
          <w:color w:val="auto"/>
        </w:rPr>
      </w:pPr>
    </w:p>
    <w:p>
      <w:pPr>
        <w:ind w:firstLine="871"/>
        <w:spacing w:after="0" w:line="290" w:lineRule="auto"/>
        <w:tabs>
          <w:tab w:leader="none" w:pos="1070"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0" w:right="459" w:bottom="1440" w:gutter="0" w:footer="0" w:header="0"/>
        </w:sectPr>
      </w:pPr>
    </w:p>
    <w:bookmarkStart w:id="416" w:name="page417"/>
    <w:bookmarkEnd w:id="416"/>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71" w:lineRule="exact"/>
        <w:rPr>
          <w:sz w:val="20"/>
          <w:szCs w:val="20"/>
          <w:color w:val="auto"/>
        </w:rPr>
      </w:pPr>
    </w:p>
    <w:p>
      <w:pPr>
        <w:ind w:right="140" w:firstLine="880"/>
        <w:spacing w:after="0" w:line="260"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You may not exercise your option unless the tax withholding obligations of the Company and/or any Affiliate are satisfied.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74" w:lineRule="exact"/>
        <w:rPr>
          <w:sz w:val="20"/>
          <w:szCs w:val="20"/>
          <w:color w:val="auto"/>
        </w:rPr>
      </w:pPr>
    </w:p>
    <w:p>
      <w:pPr>
        <w:ind w:right="100" w:firstLine="430"/>
        <w:spacing w:after="0" w:line="270" w:lineRule="auto"/>
        <w:tabs>
          <w:tab w:leader="none" w:pos="71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67" w:lineRule="exact"/>
        <w:rPr>
          <w:rFonts w:ascii="Arial" w:cs="Arial" w:eastAsia="Arial" w:hAnsi="Arial"/>
          <w:sz w:val="17"/>
          <w:szCs w:val="17"/>
          <w:b w:val="1"/>
          <w:bCs w:val="1"/>
          <w:color w:val="auto"/>
        </w:rPr>
      </w:pPr>
    </w:p>
    <w:p>
      <w:pPr>
        <w:ind w:firstLine="430"/>
        <w:spacing w:after="0" w:line="266" w:lineRule="auto"/>
        <w:tabs>
          <w:tab w:leader="none" w:pos="71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shall be given in writing and shall be deemed effectively given upon receipt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notices delivered by mail by the Company to you, five (5) days after deposit in the United States mail, postage prepaid, addressed to you at the last address you provided to the Company.</w:t>
      </w:r>
    </w:p>
    <w:p>
      <w:pPr>
        <w:spacing w:after="0" w:line="67" w:lineRule="exact"/>
        <w:rPr>
          <w:rFonts w:ascii="Arial" w:cs="Arial" w:eastAsia="Arial" w:hAnsi="Arial"/>
          <w:sz w:val="18"/>
          <w:szCs w:val="18"/>
          <w:b w:val="1"/>
          <w:bCs w:val="1"/>
          <w:color w:val="auto"/>
        </w:rPr>
      </w:pPr>
    </w:p>
    <w:p>
      <w:pPr>
        <w:ind w:right="200" w:firstLine="430"/>
        <w:spacing w:after="0" w:line="314" w:lineRule="auto"/>
        <w:tabs>
          <w:tab w:leader="none" w:pos="710"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G</w:t>
      </w:r>
      <w:r>
        <w:rPr>
          <w:rFonts w:ascii="Arial" w:cs="Arial" w:eastAsia="Arial" w:hAnsi="Arial"/>
          <w:sz w:val="12"/>
          <w:szCs w:val="12"/>
          <w:b w:val="1"/>
          <w:bCs w:val="1"/>
          <w:color w:val="auto"/>
        </w:rPr>
        <w:t>OVERNING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60" w:top="274" w:right="45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6660" w:type="dxa"/>
            <w:vAlign w:val="bottom"/>
          </w:tcPr>
          <w:p>
            <w:pPr>
              <w:ind w:left="1420"/>
              <w:spacing w:after="0"/>
              <w:rPr>
                <w:sz w:val="20"/>
                <w:szCs w:val="20"/>
                <w:color w:val="auto"/>
              </w:rPr>
            </w:pPr>
            <w:r>
              <w:rPr>
                <w:rFonts w:ascii="Arial" w:cs="Arial" w:eastAsia="Arial" w:hAnsi="Arial"/>
                <w:sz w:val="18"/>
                <w:szCs w:val="18"/>
                <w:b w:val="1"/>
                <w:bCs w:val="1"/>
                <w:color w:val="auto"/>
              </w:rPr>
              <w:t>NOTICE OF EXERCISE</w:t>
            </w:r>
          </w:p>
        </w:tc>
        <w:tc>
          <w:tcPr>
            <w:tcW w:w="1260" w:type="dxa"/>
            <w:vAlign w:val="bottom"/>
          </w:tcPr>
          <w:p>
            <w:pPr>
              <w:spacing w:after="0"/>
              <w:rPr>
                <w:sz w:val="20"/>
                <w:szCs w:val="20"/>
                <w:color w:val="auto"/>
              </w:rPr>
            </w:pPr>
          </w:p>
        </w:tc>
      </w:tr>
      <w:tr>
        <w:trPr>
          <w:trHeight w:val="444"/>
        </w:trPr>
        <w:tc>
          <w:tcPr>
            <w:tcW w:w="3080" w:type="dxa"/>
            <w:vAlign w:val="bottom"/>
          </w:tcPr>
          <w:p>
            <w:pPr>
              <w:spacing w:after="0"/>
              <w:rPr>
                <w:sz w:val="20"/>
                <w:szCs w:val="20"/>
                <w:color w:val="auto"/>
              </w:rPr>
            </w:pPr>
            <w:r>
              <w:rPr>
                <w:rFonts w:ascii="Arial" w:cs="Arial" w:eastAsia="Arial" w:hAnsi="Arial"/>
                <w:sz w:val="18"/>
                <w:szCs w:val="18"/>
                <w:color w:val="auto"/>
              </w:rPr>
              <w:t>Personalis, Inc.</w:t>
            </w:r>
          </w:p>
        </w:tc>
        <w:tc>
          <w:tcPr>
            <w:tcW w:w="66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1330 O’Brien Drive</w:t>
            </w:r>
          </w:p>
        </w:tc>
        <w:tc>
          <w:tcPr>
            <w:tcW w:w="66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080" w:type="dxa"/>
            <w:vAlign w:val="bottom"/>
          </w:tcPr>
          <w:p>
            <w:pPr>
              <w:spacing w:after="0" w:line="203" w:lineRule="exact"/>
              <w:rPr>
                <w:sz w:val="20"/>
                <w:szCs w:val="20"/>
                <w:color w:val="auto"/>
              </w:rPr>
            </w:pPr>
            <w:r>
              <w:rPr>
                <w:rFonts w:ascii="Arial" w:cs="Arial" w:eastAsia="Arial" w:hAnsi="Arial"/>
                <w:sz w:val="18"/>
                <w:szCs w:val="18"/>
                <w:color w:val="auto"/>
              </w:rPr>
              <w:t>Menlo Park, CA 94025</w:t>
            </w:r>
          </w:p>
        </w:tc>
        <w:tc>
          <w:tcPr>
            <w:tcW w:w="6660" w:type="dxa"/>
            <w:vAlign w:val="bottom"/>
          </w:tcPr>
          <w:p>
            <w:pPr>
              <w:ind w:left="5420"/>
              <w:spacing w:after="0" w:line="203" w:lineRule="exact"/>
              <w:rPr>
                <w:sz w:val="20"/>
                <w:szCs w:val="20"/>
                <w:color w:val="auto"/>
              </w:rPr>
            </w:pPr>
            <w:r>
              <w:rPr>
                <w:rFonts w:ascii="Arial" w:cs="Arial" w:eastAsia="Arial" w:hAnsi="Arial"/>
                <w:sz w:val="18"/>
                <w:szCs w:val="18"/>
                <w:color w:val="auto"/>
                <w:w w:val="88"/>
              </w:rPr>
              <w:t>Date of Exercise:</w:t>
            </w:r>
          </w:p>
        </w:tc>
        <w:tc>
          <w:tcPr>
            <w:tcW w:w="1260" w:type="dxa"/>
            <w:vAlign w:val="bottom"/>
            <w:tcBorders>
              <w:bottom w:val="single" w:sz="8" w:color="auto"/>
            </w:tcBorders>
          </w:tcPr>
          <w:p>
            <w:pPr>
              <w:spacing w:after="0"/>
              <w:rPr>
                <w:sz w:val="17"/>
                <w:szCs w:val="17"/>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19" w:lineRule="exact"/>
        <w:rPr>
          <w:sz w:val="20"/>
          <w:szCs w:val="20"/>
          <w:color w:val="auto"/>
        </w:rPr>
      </w:pPr>
    </w:p>
    <w:p>
      <w:pPr>
        <w:ind w:left="2540"/>
        <w:spacing w:after="0" w:line="207" w:lineRule="exact"/>
        <w:tabs>
          <w:tab w:leader="none" w:pos="4960" w:val="left"/>
          <w:tab w:leader="none" w:pos="7040" w:val="left"/>
        </w:tabs>
        <w:rPr>
          <w:sz w:val="20"/>
          <w:szCs w:val="20"/>
          <w:color w:val="auto"/>
        </w:rPr>
      </w:pPr>
      <w:r>
        <w:rPr>
          <w:rFonts w:ascii="Arial" w:cs="Arial" w:eastAsia="Arial" w:hAnsi="Arial"/>
          <w:sz w:val="18"/>
          <w:szCs w:val="18"/>
          <w:color w:val="auto"/>
        </w:rPr>
        <w:t>Type of option (check one):</w:t>
      </w:r>
      <w:r>
        <w:rPr>
          <w:sz w:val="20"/>
          <w:szCs w:val="20"/>
          <w:color w:val="auto"/>
        </w:rPr>
        <w:tab/>
      </w: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Nonstatutory </w:t>
      </w:r>
      <w:r>
        <w:rPr>
          <w:rFonts w:ascii="MS PGothic" w:cs="MS PGothic" w:eastAsia="MS PGothic" w:hAnsi="MS PGothic"/>
          <w:sz w:val="16"/>
          <w:szCs w:val="16"/>
          <w:color w:val="auto"/>
        </w:rPr>
        <w:t>☐</w:t>
      </w:r>
    </w:p>
    <w:p>
      <w:pPr>
        <w:spacing w:after="0" w:line="14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Stock option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-10160</wp:posOffset>
            </wp:positionV>
            <wp:extent cx="9702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9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Number of shares as</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to which option is</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-19685</wp:posOffset>
            </wp:positionV>
            <wp:extent cx="9702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8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Certificates to be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-19685</wp:posOffset>
            </wp:positionV>
            <wp:extent cx="9702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82" w:lineRule="exact"/>
        <w:rPr>
          <w:sz w:val="20"/>
          <w:szCs w:val="20"/>
          <w:color w:val="auto"/>
        </w:rPr>
      </w:pPr>
    </w:p>
    <w:p>
      <w:pPr>
        <w:ind w:left="2540"/>
        <w:spacing w:after="0"/>
        <w:tabs>
          <w:tab w:leader="none" w:pos="4960" w:val="left"/>
        </w:tabs>
        <w:rPr>
          <w:sz w:val="20"/>
          <w:szCs w:val="20"/>
          <w:color w:val="auto"/>
        </w:rPr>
      </w:pPr>
      <w:r>
        <w:rPr>
          <w:rFonts w:ascii="Arial" w:cs="Arial" w:eastAsia="Arial" w:hAnsi="Arial"/>
          <w:sz w:val="18"/>
          <w:szCs w:val="18"/>
          <w:color w:val="auto"/>
        </w:rPr>
        <w:t>Total exercise price: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-10160</wp:posOffset>
            </wp:positionV>
            <wp:extent cx="91313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9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Cash payment delivered</w:t>
      </w:r>
    </w:p>
    <w:p>
      <w:pPr>
        <w:spacing w:after="0" w:line="23" w:lineRule="exact"/>
        <w:rPr>
          <w:sz w:val="20"/>
          <w:szCs w:val="20"/>
          <w:color w:val="auto"/>
        </w:rPr>
      </w:pPr>
    </w:p>
    <w:p>
      <w:pPr>
        <w:ind w:left="2540"/>
        <w:spacing w:after="0"/>
        <w:tabs>
          <w:tab w:leader="none" w:pos="4960" w:val="left"/>
        </w:tabs>
        <w:rPr>
          <w:sz w:val="20"/>
          <w:szCs w:val="20"/>
          <w:color w:val="auto"/>
        </w:rPr>
      </w:pPr>
      <w:r>
        <w:rPr>
          <w:rFonts w:ascii="Arial" w:cs="Arial" w:eastAsia="Arial" w:hAnsi="Arial"/>
          <w:sz w:val="18"/>
          <w:szCs w:val="18"/>
          <w:color w:val="auto"/>
        </w:rPr>
        <w:t>herewith:</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-19685</wp:posOffset>
            </wp:positionV>
            <wp:extent cx="91313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8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Promissory note delivered</w:t>
      </w:r>
    </w:p>
    <w:p>
      <w:pPr>
        <w:spacing w:after="0" w:line="23" w:lineRule="exact"/>
        <w:rPr>
          <w:sz w:val="20"/>
          <w:szCs w:val="20"/>
          <w:color w:val="auto"/>
        </w:rPr>
      </w:pPr>
    </w:p>
    <w:p>
      <w:pPr>
        <w:ind w:left="2540"/>
        <w:spacing w:after="0"/>
        <w:tabs>
          <w:tab w:leader="none" w:pos="4960" w:val="left"/>
        </w:tabs>
        <w:rPr>
          <w:sz w:val="20"/>
          <w:szCs w:val="20"/>
          <w:color w:val="auto"/>
        </w:rPr>
      </w:pPr>
      <w:r>
        <w:rPr>
          <w:rFonts w:ascii="Arial" w:cs="Arial" w:eastAsia="Arial" w:hAnsi="Arial"/>
          <w:sz w:val="18"/>
          <w:szCs w:val="18"/>
          <w:color w:val="auto"/>
        </w:rPr>
        <w:t>herewith:</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-19685</wp:posOffset>
            </wp:positionV>
            <wp:extent cx="91313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2011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of Common Stock of the Company listed above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which are being acquired by me for my own account upon exercise of the Option as set forth above:</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4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ninety days (90)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60" w:top="270" w:right="439" w:bottom="1440" w:gutter="0" w:footer="0" w:header="0"/>
        </w:sectPr>
      </w:pPr>
    </w:p>
    <w:bookmarkStart w:id="418" w:name="page419"/>
    <w:bookmarkEnd w:id="418"/>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any shares of Common Stock or other securities of the Company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19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331470</wp:posOffset>
            </wp:positionV>
            <wp:extent cx="279273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-10160</wp:posOffset>
            </wp:positionV>
            <wp:extent cx="13982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9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194310</wp:posOffset>
            </wp:positionV>
            <wp:extent cx="1798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98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60" w:top="274" w:right="519" w:bottom="1440" w:gutter="0" w:footer="0" w:header="0"/>
        </w:sectPr>
      </w:pPr>
    </w:p>
    <w:bookmarkStart w:id="419" w:name="page420"/>
    <w:bookmarkEnd w:id="419"/>
    <w:tbl>
      <w:tblPr>
        <w:tblLayout w:type="fixed"/>
        <w:tblInd w:w="4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48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3"/>
        </w:trPr>
        <w:tc>
          <w:tcPr>
            <w:tcW w:w="8040" w:type="dxa"/>
            <w:vAlign w:val="bottom"/>
            <w:gridSpan w:val="3"/>
          </w:tcPr>
          <w:p>
            <w:pPr>
              <w:jc w:val="center"/>
              <w:ind w:left="1994"/>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8040" w:type="dxa"/>
            <w:vAlign w:val="bottom"/>
            <w:gridSpan w:val="3"/>
          </w:tcPr>
          <w:p>
            <w:pPr>
              <w:jc w:val="center"/>
              <w:ind w:left="1994"/>
              <w:spacing w:after="0"/>
              <w:rPr>
                <w:sz w:val="20"/>
                <w:szCs w:val="20"/>
                <w:color w:val="auto"/>
              </w:rPr>
            </w:pPr>
            <w:r>
              <w:rPr>
                <w:rFonts w:ascii="Arial" w:cs="Arial" w:eastAsia="Arial" w:hAnsi="Arial"/>
                <w:sz w:val="15"/>
                <w:szCs w:val="15"/>
                <w:b w:val="1"/>
                <w:bCs w:val="1"/>
                <w:color w:val="auto"/>
              </w:rPr>
              <w:t xml:space="preserve">UNDER THE </w:t>
            </w:r>
            <w:r>
              <w:rPr>
                <w:rFonts w:ascii="Arial" w:cs="Arial" w:eastAsia="Arial" w:hAnsi="Arial"/>
                <w:sz w:val="17"/>
                <w:szCs w:val="17"/>
                <w:b w:val="1"/>
                <w:bCs w:val="1"/>
                <w:color w:val="auto"/>
              </w:rPr>
              <w:t>2011 E</w:t>
            </w:r>
            <w:r>
              <w:rPr>
                <w:rFonts w:ascii="Arial" w:cs="Arial" w:eastAsia="Arial" w:hAnsi="Arial"/>
                <w:sz w:val="15"/>
                <w:szCs w:val="15"/>
                <w:b w:val="1"/>
                <w:bCs w:val="1"/>
                <w:color w:val="auto"/>
              </w:rPr>
              <w:t xml:space="preserve">QUITY </w:t>
            </w:r>
            <w:r>
              <w:rPr>
                <w:rFonts w:ascii="Arial" w:cs="Arial" w:eastAsia="Arial" w:hAnsi="Arial"/>
                <w:sz w:val="17"/>
                <w:szCs w:val="17"/>
                <w:b w:val="1"/>
                <w:bCs w:val="1"/>
                <w:color w:val="auto"/>
              </w:rPr>
              <w:t>I</w:t>
            </w:r>
            <w:r>
              <w:rPr>
                <w:rFonts w:ascii="Arial" w:cs="Arial" w:eastAsia="Arial" w:hAnsi="Arial"/>
                <w:sz w:val="15"/>
                <w:szCs w:val="15"/>
                <w:b w:val="1"/>
                <w:bCs w:val="1"/>
                <w:color w:val="auto"/>
              </w:rPr>
              <w:t xml:space="preserve">NCENTIVE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1"/>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w w:val="94"/>
              </w:rPr>
              <w:t>T</w:t>
            </w:r>
            <w:r>
              <w:rPr>
                <w:rFonts w:ascii="Arial" w:cs="Arial" w:eastAsia="Arial" w:hAnsi="Arial"/>
                <w:sz w:val="14"/>
                <w:szCs w:val="14"/>
                <w:b w:val="1"/>
                <w:bCs w:val="1"/>
                <w:color w:val="auto"/>
                <w:w w:val="94"/>
              </w:rPr>
              <w:t>HIS</w:t>
            </w:r>
            <w:r>
              <w:rPr>
                <w:rFonts w:ascii="Arial" w:cs="Arial" w:eastAsia="Arial" w:hAnsi="Arial"/>
                <w:sz w:val="18"/>
                <w:szCs w:val="18"/>
                <w:b w:val="1"/>
                <w:bCs w:val="1"/>
                <w:color w:val="auto"/>
                <w:w w:val="94"/>
              </w:rPr>
              <w:t xml:space="preserve"> A</w:t>
            </w:r>
            <w:r>
              <w:rPr>
                <w:rFonts w:ascii="Arial" w:cs="Arial" w:eastAsia="Arial" w:hAnsi="Arial"/>
                <w:sz w:val="14"/>
                <w:szCs w:val="14"/>
                <w:b w:val="1"/>
                <w:bCs w:val="1"/>
                <w:color w:val="auto"/>
                <w:w w:val="94"/>
              </w:rPr>
              <w:t>GREEMENT</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is made by and between P</w:t>
            </w:r>
            <w:r>
              <w:rPr>
                <w:rFonts w:ascii="Arial" w:cs="Arial" w:eastAsia="Arial" w:hAnsi="Arial"/>
                <w:sz w:val="14"/>
                <w:szCs w:val="14"/>
                <w:color w:val="auto"/>
                <w:w w:val="94"/>
              </w:rPr>
              <w:t>ERSONALIS</w:t>
            </w:r>
            <w:r>
              <w:rPr>
                <w:rFonts w:ascii="Arial" w:cs="Arial" w:eastAsia="Arial" w:hAnsi="Arial"/>
                <w:sz w:val="18"/>
                <w:szCs w:val="18"/>
                <w:color w:val="auto"/>
                <w:w w:val="94"/>
              </w:rPr>
              <w:t>, I</w:t>
            </w:r>
            <w:r>
              <w:rPr>
                <w:rFonts w:ascii="Arial" w:cs="Arial" w:eastAsia="Arial" w:hAnsi="Arial"/>
                <w:sz w:val="14"/>
                <w:szCs w:val="14"/>
                <w:color w:val="auto"/>
                <w:w w:val="94"/>
              </w:rPr>
              <w:t>NC</w:t>
            </w:r>
            <w:r>
              <w:rPr>
                <w:rFonts w:ascii="Arial" w:cs="Arial" w:eastAsia="Arial" w:hAnsi="Arial"/>
                <w:sz w:val="18"/>
                <w:szCs w:val="18"/>
                <w:color w:val="auto"/>
                <w:w w:val="94"/>
              </w:rPr>
              <w:t>.</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a Delaware corporation (the “</w:t>
            </w:r>
            <w:r>
              <w:rPr>
                <w:rFonts w:ascii="Arial" w:cs="Arial" w:eastAsia="Arial" w:hAnsi="Arial"/>
                <w:sz w:val="18"/>
                <w:szCs w:val="18"/>
                <w:b w:val="1"/>
                <w:bCs w:val="1"/>
                <w:i w:val="1"/>
                <w:iCs w:val="1"/>
                <w:color w:val="auto"/>
                <w:w w:val="94"/>
              </w:rPr>
              <w:t>Company</w:t>
            </w:r>
            <w:r>
              <w:rPr>
                <w:rFonts w:ascii="Arial" w:cs="Arial" w:eastAsia="Arial" w:hAnsi="Arial"/>
                <w:sz w:val="18"/>
                <w:szCs w:val="18"/>
                <w:color w:val="auto"/>
                <w:w w:val="94"/>
              </w:rPr>
              <w:t>”), and</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Purchaser</w:t>
            </w:r>
            <w:r>
              <w:rPr>
                <w:rFonts w:ascii="Arial" w:cs="Arial" w:eastAsia="Arial" w:hAnsi="Arial"/>
                <w:sz w:val="18"/>
                <w:szCs w:val="18"/>
                <w:color w:val="auto"/>
                <w:w w:val="93"/>
              </w:rPr>
              <w:t>”).</w:t>
            </w:r>
          </w:p>
        </w:tc>
      </w:tr>
      <w:tr>
        <w:trPr>
          <w:trHeight w:val="668"/>
        </w:trPr>
        <w:tc>
          <w:tcPr>
            <w:tcW w:w="3560" w:type="dxa"/>
            <w:vAlign w:val="bottom"/>
          </w:tcPr>
          <w:p>
            <w:pPr>
              <w:spacing w:after="0"/>
              <w:rPr>
                <w:sz w:val="24"/>
                <w:szCs w:val="24"/>
                <w:color w:val="auto"/>
              </w:rPr>
            </w:pPr>
          </w:p>
        </w:tc>
        <w:tc>
          <w:tcPr>
            <w:tcW w:w="448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3"/>
        </w:trPr>
        <w:tc>
          <w:tcPr>
            <w:tcW w:w="3560" w:type="dxa"/>
            <w:vAlign w:val="bottom"/>
          </w:tcPr>
          <w:p>
            <w:pPr>
              <w:spacing w:after="0"/>
              <w:rPr>
                <w:sz w:val="20"/>
                <w:szCs w:val="20"/>
                <w:color w:val="auto"/>
              </w:rPr>
            </w:pPr>
            <w:r>
              <w:rPr>
                <w:rFonts w:ascii="Arial" w:cs="Arial" w:eastAsia="Arial" w:hAnsi="Arial"/>
                <w:sz w:val="18"/>
                <w:szCs w:val="18"/>
                <w:b w:val="1"/>
                <w:bCs w:val="1"/>
                <w:color w:val="auto"/>
                <w:w w:val="92"/>
              </w:rPr>
              <w:t>W</w:t>
            </w:r>
            <w:r>
              <w:rPr>
                <w:rFonts w:ascii="Arial" w:cs="Arial" w:eastAsia="Arial" w:hAnsi="Arial"/>
                <w:sz w:val="14"/>
                <w:szCs w:val="14"/>
                <w:b w:val="1"/>
                <w:bCs w:val="1"/>
                <w:color w:val="auto"/>
                <w:w w:val="92"/>
              </w:rPr>
              <w:t>HEREAS</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Purchaser holds a stock option dated</w:t>
            </w:r>
          </w:p>
        </w:tc>
        <w:tc>
          <w:tcPr>
            <w:tcW w:w="1260" w:type="dxa"/>
            <w:vAlign w:val="bottom"/>
            <w:tcBorders>
              <w:bottom w:val="single" w:sz="8" w:color="auto"/>
            </w:tcBorders>
          </w:tcPr>
          <w:p>
            <w:pPr>
              <w:spacing w:after="0"/>
              <w:rPr>
                <w:sz w:val="24"/>
                <w:szCs w:val="24"/>
                <w:color w:val="auto"/>
              </w:rPr>
            </w:pPr>
          </w:p>
        </w:tc>
        <w:tc>
          <w:tcPr>
            <w:tcW w:w="5640" w:type="dxa"/>
            <w:vAlign w:val="bottom"/>
            <w:gridSpan w:val="3"/>
          </w:tcPr>
          <w:p>
            <w:pPr>
              <w:ind w:left="40"/>
              <w:spacing w:after="0"/>
              <w:rPr>
                <w:sz w:val="20"/>
                <w:szCs w:val="20"/>
                <w:color w:val="auto"/>
              </w:rPr>
            </w:pPr>
            <w:r>
              <w:rPr>
                <w:rFonts w:ascii="Arial" w:cs="Arial" w:eastAsia="Arial" w:hAnsi="Arial"/>
                <w:sz w:val="18"/>
                <w:szCs w:val="18"/>
                <w:color w:val="auto"/>
                <w:w w:val="89"/>
              </w:rPr>
              <w:t>to purchase shares of common stock (“</w:t>
            </w:r>
            <w:r>
              <w:rPr>
                <w:rFonts w:ascii="Arial" w:cs="Arial" w:eastAsia="Arial" w:hAnsi="Arial"/>
                <w:sz w:val="18"/>
                <w:szCs w:val="18"/>
                <w:b w:val="1"/>
                <w:bCs w:val="1"/>
                <w:i w:val="1"/>
                <w:iCs w:val="1"/>
                <w:color w:val="auto"/>
                <w:w w:val="89"/>
              </w:rPr>
              <w:t>Common Stock</w:t>
            </w:r>
            <w:r>
              <w:rPr>
                <w:rFonts w:ascii="Arial" w:cs="Arial" w:eastAsia="Arial" w:hAnsi="Arial"/>
                <w:sz w:val="18"/>
                <w:szCs w:val="18"/>
                <w:color w:val="auto"/>
                <w:w w:val="89"/>
              </w:rPr>
              <w:t>”) of the Company (the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pursuant to the Company’s 2011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Option consists of a Stock Option Grant Notice and a Stock Option Agreement;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desires to exercise the Option on the terms and conditions contained herein;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wishes to take advantage of the early exercise provision of Purchaser’s Option and therefore to enter into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THEREFORE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IT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as follows:</w:t>
      </w:r>
    </w:p>
    <w:p>
      <w:pPr>
        <w:spacing w:after="0" w:line="117" w:lineRule="exact"/>
        <w:rPr>
          <w:sz w:val="20"/>
          <w:szCs w:val="20"/>
          <w:color w:val="auto"/>
        </w:rPr>
      </w:pPr>
    </w:p>
    <w:p>
      <w:pPr>
        <w:ind w:right="140" w:firstLine="430"/>
        <w:spacing w:after="0" w:line="276" w:lineRule="auto"/>
        <w:tabs>
          <w:tab w:leader="none" w:pos="71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NCORPORATION OF</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AND</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 BY</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subject to all of the terms and conditions as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and the Option. If there is a conflict between the terms of this Agreement and/or the Option and the terms of the Plan, the terms of the Plan shall control. If there is a conflict between the terms of this Agreement and the terms of the Option, the terms of the Option shall control. Defined terms not explicitly defined in this Agreement but defined in the Plan shall have the same definitions as in the Plan. Defined terms not explicitly defined in this Agreement or the Plan but defined in the Option shall have the same definitions as in the Option.</w:t>
      </w:r>
    </w:p>
    <w:p>
      <w:pPr>
        <w:spacing w:after="0" w:line="63" w:lineRule="exact"/>
        <w:rPr>
          <w:rFonts w:ascii="Arial" w:cs="Arial" w:eastAsia="Arial" w:hAnsi="Arial"/>
          <w:sz w:val="17"/>
          <w:szCs w:val="17"/>
          <w:b w:val="1"/>
          <w:bCs w:val="1"/>
          <w:color w:val="auto"/>
        </w:rPr>
      </w:pPr>
    </w:p>
    <w:p>
      <w:pPr>
        <w:ind w:left="700" w:hanging="270"/>
        <w:spacing w:after="0"/>
        <w:tabs>
          <w:tab w:leader="none" w:pos="7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right="260" w:firstLine="871"/>
        <w:spacing w:after="0" w:line="266" w:lineRule="auto"/>
        <w:tabs>
          <w:tab w:leader="none" w:pos="1060"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to purchase and sell Common Stock. </w:t>
      </w:r>
      <w:r>
        <w:rPr>
          <w:rFonts w:ascii="Arial" w:cs="Arial" w:eastAsia="Arial" w:hAnsi="Arial"/>
          <w:sz w:val="18"/>
          <w:szCs w:val="18"/>
          <w:color w:val="auto"/>
        </w:rPr>
        <w:t>Purchaser hereby agrees to purchase from the Company, and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sell to Purchaser, shares of the Common Stock of the Company in accordance with the Notice of Exercise duly executed by Purchaser and attached hereto as Exhibit A.</w:t>
      </w:r>
    </w:p>
    <w:p>
      <w:pPr>
        <w:spacing w:after="0" w:line="67" w:lineRule="exact"/>
        <w:rPr>
          <w:rFonts w:ascii="Arial" w:cs="Arial" w:eastAsia="Arial" w:hAnsi="Arial"/>
          <w:sz w:val="18"/>
          <w:szCs w:val="18"/>
          <w:b w:val="1"/>
          <w:bCs w:val="1"/>
          <w:color w:val="auto"/>
        </w:rPr>
      </w:pPr>
    </w:p>
    <w:p>
      <w:pPr>
        <w:jc w:val="both"/>
        <w:ind w:firstLine="871"/>
        <w:spacing w:after="0" w:line="258" w:lineRule="auto"/>
        <w:tabs>
          <w:tab w:leader="none" w:pos="1070"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The closing hereunder, including payment for and delivery of the Common Stock, shall occur at the offices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following the execution of this Agreement, or at such other time and place as the parties may mutually agree;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stockholder approval of the Plan is required before the Option may be exercised, then the Option may not be exercised, and the closing shall be delayed, until such stockholder approval is obtained. If such stockholder approval is not obtained within the time limit specified in the Plan, then this Agreement shall be null and void.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60" w:top="270" w:right="499" w:bottom="1440" w:gutter="0" w:footer="0" w:header="0"/>
        </w:sectPr>
      </w:pPr>
    </w:p>
    <w:bookmarkStart w:id="420" w:name="page421"/>
    <w:bookmarkEnd w:id="420"/>
    <w:p>
      <w:pPr>
        <w:ind w:left="700" w:hanging="270"/>
        <w:spacing w:after="0"/>
        <w:tabs>
          <w:tab w:leader="none" w:pos="7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4"/>
          <w:szCs w:val="14"/>
          <w:b w:val="1"/>
          <w:bCs w:val="1"/>
          <w:color w:val="auto"/>
        </w:rPr>
        <w:t>NVESTED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EPURCHASE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a. Repurchase Option</w:t>
      </w:r>
      <w:r>
        <w:rPr>
          <w:rFonts w:ascii="Arial" w:cs="Arial" w:eastAsia="Arial" w:hAnsi="Arial"/>
          <w:sz w:val="16"/>
          <w:szCs w:val="16"/>
          <w:color w:val="auto"/>
        </w:rPr>
        <w:t>. In the event Purchaser’s Continuous Service terminates, then the Company shall have an irrevocable option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Repurchase Option</w:t>
      </w:r>
      <w:r>
        <w:rPr>
          <w:rFonts w:ascii="Arial" w:cs="Arial" w:eastAsia="Arial" w:hAnsi="Arial"/>
          <w:sz w:val="16"/>
          <w:szCs w:val="16"/>
          <w:color w:val="auto"/>
        </w:rPr>
        <w:t>”) for a period of six (6) months after said termination (or in the case of shares issued upon exercise of the Option after such date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within six (6) months after the date of the exercise), or such longer period as may be agreed to by the Company and Purchaser,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repurchase from Purchaser or Purchaser’s personal representative, as the case may be, those shares that Purchaser received pursuant to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that have not as yet vested as of such termination date in accordance with the Vesting Schedule indicated on Purchaser’s Stock Option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(the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For convenience, the Vesting Schedule set forth in the Stock Option Grant Notice.</w:t>
      </w:r>
    </w:p>
    <w:p>
      <w:pPr>
        <w:spacing w:after="0" w:line="98" w:lineRule="exact"/>
        <w:rPr>
          <w:sz w:val="20"/>
          <w:szCs w:val="20"/>
          <w:color w:val="auto"/>
        </w:rPr>
      </w:pPr>
    </w:p>
    <w:p>
      <w:pPr>
        <w:ind w:firstLine="880"/>
        <w:spacing w:after="0" w:line="294" w:lineRule="auto"/>
        <w:rPr>
          <w:sz w:val="20"/>
          <w:szCs w:val="20"/>
          <w:color w:val="auto"/>
        </w:rPr>
      </w:pPr>
      <w:r>
        <w:rPr>
          <w:rFonts w:ascii="Arial" w:cs="Arial" w:eastAsia="Arial" w:hAnsi="Arial"/>
          <w:sz w:val="16"/>
          <w:szCs w:val="16"/>
          <w:b w:val="1"/>
          <w:bCs w:val="1"/>
          <w:color w:val="auto"/>
        </w:rPr>
        <w:t xml:space="preserve">b. Share Repurchase Price. </w:t>
      </w:r>
      <w:r>
        <w:rPr>
          <w:rFonts w:ascii="Arial" w:cs="Arial" w:eastAsia="Arial" w:hAnsi="Arial"/>
          <w:sz w:val="16"/>
          <w:szCs w:val="16"/>
          <w:color w:val="auto"/>
        </w:rPr>
        <w:t>The Company may repurchase all or any of the Unvested Shares at the lower of (i) the Fair Market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such shares (as determined under the Plan) on the date of repurchase, or (ii) the price equal to Purchaser’s Exercise Price for such shares as indicated on Purchaser’s Stock Option Grant Notice (the “</w:t>
      </w:r>
      <w:r>
        <w:rPr>
          <w:rFonts w:ascii="Arial" w:cs="Arial" w:eastAsia="Arial" w:hAnsi="Arial"/>
          <w:sz w:val="16"/>
          <w:szCs w:val="16"/>
          <w:b w:val="1"/>
          <w:bCs w:val="1"/>
          <w:i w:val="1"/>
          <w:iCs w:val="1"/>
          <w:color w:val="auto"/>
        </w:rPr>
        <w:t>Repurchase Price</w:t>
      </w:r>
      <w:r>
        <w:rPr>
          <w:rFonts w:ascii="Arial" w:cs="Arial" w:eastAsia="Arial" w:hAnsi="Arial"/>
          <w:sz w:val="16"/>
          <w:szCs w:val="16"/>
          <w:color w:val="auto"/>
        </w:rPr>
        <w:t>”). No interest shall be paid with respect to and no other adjustments (other than adjustments in accordance with the Plan to reflect stock splits and similar changes in capitalization) shall be made to the Repurchase Price. The closing of any repurchase under this Section 3 shall be at a date to be specified by the Company, such date to be no later than 90 days after Purchaser’s termination date. The Repurchase Price shall be paid at the closing in the form of a check or by cancellation of money purchase indebtedness.</w:t>
      </w:r>
    </w:p>
    <w:p>
      <w:pPr>
        <w:spacing w:after="0" w:line="51" w:lineRule="exact"/>
        <w:rPr>
          <w:sz w:val="20"/>
          <w:szCs w:val="20"/>
          <w:color w:val="auto"/>
        </w:rPr>
      </w:pPr>
    </w:p>
    <w:p>
      <w:pPr>
        <w:ind w:right="60" w:firstLine="880"/>
        <w:spacing w:after="0" w:line="271"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To exercise the Repurchase Option, the Company shall give written notice thereof to Purchaser (the “</w:t>
      </w:r>
      <w:r>
        <w:rPr>
          <w:rFonts w:ascii="Arial" w:cs="Arial" w:eastAsia="Arial" w:hAnsi="Arial"/>
          <w:sz w:val="17"/>
          <w:szCs w:val="17"/>
          <w:b w:val="1"/>
          <w:bCs w:val="1"/>
          <w:i w:val="1"/>
          <w:iCs w:val="1"/>
          <w:color w:val="auto"/>
        </w:rPr>
        <w:t>Repurchase Notice</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Notice is irrevocable by the Company and shall (i) be in writing and signed by an authorized officer of the Company, (ii) set forth the Company’s intent to exercise the Repurchase Option and contain the total number of Unvested Shares to be sold to the Company pursuant to the exercise of the Repurchase Option, (iii) be mailed or delivered to Purchaser at Purchaser’s address reflected or last reflected on the Company’s payroll records or delivered to Purchaser in person, and (iv) be so mailed or delivered no later than the ninetieth (90</w:t>
      </w:r>
      <w:r>
        <w:rPr>
          <w:rFonts w:ascii="Arial" w:cs="Arial" w:eastAsia="Arial" w:hAnsi="Arial"/>
          <w:sz w:val="14"/>
          <w:szCs w:val="14"/>
          <w:color w:val="auto"/>
        </w:rPr>
        <w:t>th</w:t>
      </w:r>
      <w:r>
        <w:rPr>
          <w:rFonts w:ascii="Arial" w:cs="Arial" w:eastAsia="Arial" w:hAnsi="Arial"/>
          <w:sz w:val="17"/>
          <w:szCs w:val="17"/>
          <w:color w:val="auto"/>
        </w:rPr>
        <w:t>) day following Purchaser’s termination date. If mailed, the Repurchase Notice shall be enclosed in a properly sealed envelope, addressed as aforesaid, and deposited (postage prepaid) in a post office or branch post office regularly maintained by the United States Government. The Repurchase Notice shall be deemed to have been duly given as of the date mailed or delivered in accordance with the foregoing provisions.</w:t>
      </w:r>
    </w:p>
    <w:p>
      <w:pPr>
        <w:spacing w:after="0" w:line="69" w:lineRule="exact"/>
        <w:rPr>
          <w:sz w:val="20"/>
          <w:szCs w:val="20"/>
          <w:color w:val="auto"/>
        </w:rPr>
      </w:pPr>
    </w:p>
    <w:p>
      <w:pPr>
        <w:ind w:right="100" w:firstLine="880"/>
        <w:spacing w:after="0" w:line="276"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Upon a repurchase of any Unvested Shares by the Company, such repurchased Unvested Shares shall be automatically transferred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without any further action by Purchaser (or Purchaser’s beneficiary or personal representative, as the case may be). The Company may exercise its powers under this Early Exercise Stock Purchase Agreement and take any other action necessary or advisable to evidence such transfer. Purchaser (or Purchaser’s beneficiary or personal representative, as the case may be) must deliver any additional documents of transfer that the Company may request to confirm the transfer of such repurchased Unvested Shares to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0" w:right="479" w:bottom="1440" w:gutter="0" w:footer="0" w:header="0"/>
        </w:sectPr>
      </w:pPr>
    </w:p>
    <w:bookmarkStart w:id="421" w:name="page422"/>
    <w:bookmarkEnd w:id="421"/>
    <w:p>
      <w:pPr>
        <w:ind w:right="60" w:firstLine="88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 </w:t>
      </w:r>
      <w:r>
        <w:rPr>
          <w:rFonts w:ascii="Arial" w:cs="Arial" w:eastAsia="Arial" w:hAnsi="Arial"/>
          <w:sz w:val="18"/>
          <w:szCs w:val="18"/>
          <w:color w:val="auto"/>
        </w:rPr>
        <w:t>If Purchaser (or any permitted transferee who is an employee of the Company or any Affiliate) ceases to be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of its Affiliates and holds Unvested Shares as to which the Company’s Repurchase Option has been exercised, Purchaser shall be entitled to payment in respect of such Unvested Shares in accordance with the foregoing provisions of this Section 3, but (unless otherwise required by law) shall no longer be entitled to participation in the Company or other rights as a stockholder with respect to the Unvested Shares subject to the repurchase. To the maximum extent permitted by law, Purchaser’s rights following the exercise of the Repurchase Option shall, with respect to the repurchase and the Unvested Shares covered thereby, be solely the rights that Purchaser has as a general creditor of the Company to receive payment of the amount specified above in this Section 3.</w:t>
      </w:r>
    </w:p>
    <w:p>
      <w:pPr>
        <w:spacing w:after="0" w:line="79" w:lineRule="exact"/>
        <w:rPr>
          <w:sz w:val="20"/>
          <w:szCs w:val="20"/>
          <w:color w:val="auto"/>
        </w:rPr>
      </w:pPr>
    </w:p>
    <w:p>
      <w:pPr>
        <w:ind w:firstLine="430"/>
        <w:spacing w:after="0" w:line="290" w:lineRule="auto"/>
        <w:tabs>
          <w:tab w:leader="none" w:pos="710"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XERCISE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Repurchase Option shall be exercised by written notice signed by such person as designated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delivered or mailed as provided herein. Such notice shall identify the number of shares of Common Stock to be purchased and shall notify Purchaser of the time, place and date for settlement of such purchase, which shall be scheduled by the Company within the term of the Repurchase Option set forth above. The Company shall be entitled to pay for any shares of Common Stock purchased pursuant to its Repurchase Option at the Company’s option in cash or by offset against any indebtedness owing to the Company by Purchaser, or by a combination of both. Upon delivery of such notice and payment of the purchase price in any of the ways described above, the Company shall become the legal and beneficial owner of the Common Stock being repurchased and all rights and interest therein or related thereto, and the Company shall have the right to transfer to its own name the Common Stock being repurchased by the Company, without further action by Purchaser.</w:t>
      </w:r>
    </w:p>
    <w:p>
      <w:pPr>
        <w:spacing w:after="0" w:line="56" w:lineRule="exact"/>
        <w:rPr>
          <w:rFonts w:ascii="Arial" w:cs="Arial" w:eastAsia="Arial" w:hAnsi="Arial"/>
          <w:sz w:val="16"/>
          <w:szCs w:val="16"/>
          <w:b w:val="1"/>
          <w:bCs w:val="1"/>
          <w:color w:val="auto"/>
        </w:rPr>
      </w:pPr>
    </w:p>
    <w:p>
      <w:pPr>
        <w:ind w:right="20" w:firstLine="430"/>
        <w:spacing w:after="0" w:line="256" w:lineRule="auto"/>
        <w:tabs>
          <w:tab w:leader="none" w:pos="71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APITALIZATION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DJUSTMENTS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Capitalization Adjustment, then any and all new, substituted 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securities or other property to which Purchaser is entitled by reason of Purchaser’s ownership of Common Stock shall be immediately subject to the Repurchase Option and be included in the word “Common Stock” for all purposes of the Repurchase Option with the same force and effect as the shares of the Common Stock presently subject to the Repurchase Option, but only to the extent the Common Stock is, at the time, covered by such Repurchase Option. While the total Option Price shall remain the same after each such event, the Option Price per share of Common Stock upon exercise of the Repurchase Option shall be appropriately adjusted.</w:t>
      </w:r>
    </w:p>
    <w:p>
      <w:pPr>
        <w:spacing w:after="0" w:line="78" w:lineRule="exact"/>
        <w:rPr>
          <w:rFonts w:ascii="Arial" w:cs="Arial" w:eastAsia="Arial" w:hAnsi="Arial"/>
          <w:sz w:val="18"/>
          <w:szCs w:val="18"/>
          <w:b w:val="1"/>
          <w:bCs w:val="1"/>
          <w:color w:val="auto"/>
        </w:rPr>
      </w:pPr>
    </w:p>
    <w:p>
      <w:pPr>
        <w:ind w:right="80" w:firstLine="430"/>
        <w:spacing w:after="0" w:line="294" w:lineRule="auto"/>
        <w:tabs>
          <w:tab w:leader="none" w:pos="710"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ORPORATE</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Corporate Transaction, then the Repurchase Option may be assigned by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 of the Company (or such successor’s parent company), if any, in connection with such Corporate Transaction. To the extent the Repurchase Option remains in effect following such Corporate Transaction, it shall apply to the new capital stock or other property received in exchange for the Common Stock in consummation of the Corporate Transaction, but only to the extent the Common Stock was at the time covered by such right. Appropriate adjustments shall be made to the price per share payable upon exercise of the Repurchase Option to reflect the Corporate Transaction upon the Company’s capital structure;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price payable upon exercise of the Repurchase Option shall remain the same.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60" w:top="269" w:right="479" w:bottom="1440" w:gutter="0" w:footer="0" w:header="0"/>
        </w:sectPr>
      </w:pPr>
    </w:p>
    <w:bookmarkStart w:id="422" w:name="page423"/>
    <w:bookmarkEnd w:id="422"/>
    <w:p>
      <w:pPr>
        <w:ind w:left="-40" w:firstLine="430"/>
        <w:spacing w:after="0" w:line="292" w:lineRule="auto"/>
        <w:tabs>
          <w:tab w:leader="none" w:pos="670"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2"/>
          <w:szCs w:val="12"/>
          <w:b w:val="1"/>
          <w:bCs w:val="1"/>
          <w:color w:val="auto"/>
        </w:rPr>
        <w:t>SCROW OF</w:t>
      </w:r>
      <w:r>
        <w:rPr>
          <w:rFonts w:ascii="Arial" w:cs="Arial" w:eastAsia="Arial" w:hAnsi="Arial"/>
          <w:sz w:val="16"/>
          <w:szCs w:val="16"/>
          <w:b w:val="1"/>
          <w:bCs w:val="1"/>
          <w:color w:val="auto"/>
        </w:rPr>
        <w:t xml:space="preserve"> U</w:t>
      </w:r>
      <w:r>
        <w:rPr>
          <w:rFonts w:ascii="Arial" w:cs="Arial" w:eastAsia="Arial" w:hAnsi="Arial"/>
          <w:sz w:val="12"/>
          <w:szCs w:val="12"/>
          <w:b w:val="1"/>
          <w:bCs w:val="1"/>
          <w:color w:val="auto"/>
        </w:rPr>
        <w:t>NVESTED</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w:t>
      </w:r>
      <w:r>
        <w:rPr>
          <w:rFonts w:ascii="Arial" w:cs="Arial" w:eastAsia="Arial" w:hAnsi="Arial"/>
          <w:sz w:val="16"/>
          <w:szCs w:val="16"/>
          <w:color w:val="auto"/>
        </w:rPr>
        <w:t>As security for Purchaser’s faithful performance of the terms of this Agreement and to insure the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for delivery of Purchaser’s Common Stock upon exercise of the Repurchase Option herein provided for, Purchaser agrees, at the closing hereunder, to deliver to and deposit with the Secretary of the Company or the Secretary’s designee (“</w:t>
      </w:r>
      <w:r>
        <w:rPr>
          <w:rFonts w:ascii="Arial" w:cs="Arial" w:eastAsia="Arial" w:hAnsi="Arial"/>
          <w:sz w:val="16"/>
          <w:szCs w:val="16"/>
          <w:b w:val="1"/>
          <w:bCs w:val="1"/>
          <w:i w:val="1"/>
          <w:iCs w:val="1"/>
          <w:color w:val="auto"/>
        </w:rPr>
        <w:t>Escrow Agent</w:t>
      </w:r>
      <w:r>
        <w:rPr>
          <w:rFonts w:ascii="Arial" w:cs="Arial" w:eastAsia="Arial" w:hAnsi="Arial"/>
          <w:sz w:val="16"/>
          <w:szCs w:val="16"/>
          <w:color w:val="auto"/>
        </w:rPr>
        <w:t>”), as Escrow Agent in this transaction, three (3) stock assignments duly endorsed (with date and number of shares blank) in the form attached hereto as Exhibit B, together with a certificate or certificates evidencing all of the Common Stock subject to the Repurchase Option; said documents are to be held by the Escrow Agent and delivered by said Escrow Agent pursuant to the Joint Escrow Instructions of the Company and Purchaser set forth in Exhibit C, attached hereto and incorporated by this reference, which instructions also shall be delivered to the Escrow Agent at the closing hereunder.</w:t>
      </w:r>
    </w:p>
    <w:p>
      <w:pPr>
        <w:spacing w:after="0" w:line="51" w:lineRule="exact"/>
        <w:rPr>
          <w:rFonts w:ascii="Arial" w:cs="Arial" w:eastAsia="Arial" w:hAnsi="Arial"/>
          <w:sz w:val="16"/>
          <w:szCs w:val="16"/>
          <w:b w:val="1"/>
          <w:bCs w:val="1"/>
          <w:color w:val="auto"/>
        </w:rPr>
      </w:pPr>
    </w:p>
    <w:p>
      <w:pPr>
        <w:ind w:left="-40" w:right="300" w:firstLine="430"/>
        <w:spacing w:after="0" w:line="280" w:lineRule="auto"/>
        <w:tabs>
          <w:tab w:leader="none" w:pos="670"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IGHTS OF</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the Option, Purchaser shall exercise all rights and privileges of a stockholder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shares deposited in escrow. Purchaser shall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spacing w:after="0" w:line="59" w:lineRule="exact"/>
        <w:rPr>
          <w:rFonts w:ascii="Arial" w:cs="Arial" w:eastAsia="Arial" w:hAnsi="Arial"/>
          <w:sz w:val="17"/>
          <w:szCs w:val="17"/>
          <w:b w:val="1"/>
          <w:bCs w:val="1"/>
          <w:color w:val="auto"/>
        </w:rPr>
      </w:pPr>
    </w:p>
    <w:p>
      <w:pPr>
        <w:ind w:left="-40" w:right="20" w:firstLine="430"/>
        <w:spacing w:after="0" w:line="297" w:lineRule="auto"/>
        <w:tabs>
          <w:tab w:leader="none" w:pos="670"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IMITATIONS ON</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sell,</w:t>
      </w:r>
      <w:r>
        <w:rPr>
          <w:rFonts w:ascii="Arial" w:cs="Arial" w:eastAsia="Arial" w:hAnsi="Arial"/>
          <w:sz w:val="16"/>
          <w:szCs w:val="16"/>
          <w:b w:val="1"/>
          <w:bCs w:val="1"/>
          <w:color w:val="auto"/>
        </w:rPr>
        <w:t xml:space="preserve"> </w:t>
      </w:r>
      <w:r>
        <w:rPr>
          <w:rFonts w:ascii="Arial" w:cs="Arial" w:eastAsia="Arial" w:hAnsi="Arial"/>
          <w:sz w:val="16"/>
          <w:szCs w:val="16"/>
          <w:color w:val="auto"/>
        </w:rPr>
        <w:t>assign, hypothecate, donate, encumber or otherwise dispose of any interest in the Common Stock while the Common Stock is subject to the Repurchase Option. After any Common Stock has been released from the Repurchase Option, Purchaser shall not sell, assign, hypothecate, donate, encumber or otherwise dispose of any interest in the Common Stock except in compliance with the provisions herein and applicable securities laws. Furthermore, the Common Stock shall be subject to any right of first refusal in favor of the Company or its assignees that may be contained in the Company’s Bylaws.</w:t>
      </w:r>
    </w:p>
    <w:p>
      <w:pPr>
        <w:spacing w:after="0" w:line="48" w:lineRule="exact"/>
        <w:rPr>
          <w:rFonts w:ascii="Arial" w:cs="Arial" w:eastAsia="Arial" w:hAnsi="Arial"/>
          <w:sz w:val="16"/>
          <w:szCs w:val="16"/>
          <w:b w:val="1"/>
          <w:bCs w:val="1"/>
          <w:color w:val="auto"/>
        </w:rPr>
      </w:pPr>
    </w:p>
    <w:p>
      <w:pPr>
        <w:ind w:left="-40" w:right="120" w:firstLine="430"/>
        <w:spacing w:after="0" w:line="281" w:lineRule="auto"/>
        <w:tabs>
          <w:tab w:leader="none" w:pos="67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ESTRICTIVE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EGENDS</w:t>
      </w:r>
      <w:r>
        <w:rPr>
          <w:rFonts w:ascii="Arial" w:cs="Arial" w:eastAsia="Arial" w:hAnsi="Arial"/>
          <w:sz w:val="18"/>
          <w:szCs w:val="18"/>
          <w:b w:val="1"/>
          <w:bCs w:val="1"/>
          <w:color w:val="auto"/>
        </w:rPr>
        <w:t xml:space="preserve">. </w:t>
      </w:r>
      <w:r>
        <w:rPr>
          <w:rFonts w:ascii="Arial" w:cs="Arial" w:eastAsia="Arial" w:hAnsi="Arial"/>
          <w:sz w:val="18"/>
          <w:szCs w:val="18"/>
          <w:color w:val="auto"/>
        </w:rPr>
        <w:t>All certificates representing the Common Stock shall have endorsed thereon legends in substantially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forms (in addition to any other legend which may be required by other agreements between the parties hereto):</w:t>
      </w:r>
    </w:p>
    <w:p>
      <w:pPr>
        <w:spacing w:after="0" w:line="58" w:lineRule="exact"/>
        <w:rPr>
          <w:rFonts w:ascii="Arial" w:cs="Arial" w:eastAsia="Arial" w:hAnsi="Arial"/>
          <w:sz w:val="18"/>
          <w:szCs w:val="18"/>
          <w:b w:val="1"/>
          <w:bCs w:val="1"/>
          <w:color w:val="auto"/>
        </w:rPr>
      </w:pPr>
    </w:p>
    <w:p>
      <w:pPr>
        <w:ind w:left="-40" w:right="140" w:firstLine="871"/>
        <w:spacing w:after="0" w:line="279" w:lineRule="auto"/>
        <w:tabs>
          <w:tab w:leader="none" w:pos="1020" w:val="left"/>
        </w:tabs>
        <w:numPr>
          <w:ilvl w:val="1"/>
          <w:numId w:val="320"/>
        </w:numPr>
        <w:rPr>
          <w:rFonts w:ascii="Arial" w:cs="Arial" w:eastAsia="Arial" w:hAnsi="Arial"/>
          <w:sz w:val="17"/>
          <w:szCs w:val="17"/>
          <w:b w:val="1"/>
          <w:bCs w:val="1"/>
          <w:color w:val="auto"/>
        </w:rPr>
      </w:pPr>
      <w:r>
        <w:rPr>
          <w:rFonts w:ascii="Arial" w:cs="Arial" w:eastAsia="Arial" w:hAnsi="Arial"/>
          <w:sz w:val="17"/>
          <w:szCs w:val="17"/>
          <w:color w:val="auto"/>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500" w:top="270" w:right="479" w:bottom="1440" w:gutter="0" w:footer="0" w:header="0"/>
        </w:sectPr>
      </w:pPr>
    </w:p>
    <w:bookmarkStart w:id="423" w:name="page424"/>
    <w:bookmarkEnd w:id="423"/>
    <w:p>
      <w:pPr>
        <w:ind w:right="120" w:firstLine="88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color w:val="auto"/>
        </w:rPr>
        <w:t>“THE SHARES REPRESENTED BY THIS CERTIFICATE HAVE NOT BEEN REGISTERED UNDER THE SECURITIES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1933 AS AMENDED. THEY MAY NOT BE SOLD, OFFERED FOR SALE, PLEDGED OR HYPOTHECATED IN THE ABSENCE OF AN EFFECTIVE REGISTRATION STATEMENT AS TO THE SECURITIES UNDER SAID ACT OR AN OPINION OF COUNSEL SATISFACTORY TO THE COMPANY THAT SUCH REGISTRATION IS NOT REQUIRED.”</w:t>
      </w:r>
    </w:p>
    <w:p>
      <w:pPr>
        <w:spacing w:after="0" w:line="74" w:lineRule="exact"/>
        <w:rPr>
          <w:sz w:val="20"/>
          <w:szCs w:val="20"/>
          <w:color w:val="auto"/>
        </w:rPr>
      </w:pPr>
    </w:p>
    <w:p>
      <w:pPr>
        <w:ind w:right="80" w:firstLine="880"/>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SHARES REPRESENTED BY THIS CERTIFICATE ARE SUBJECT TO A RIGHT OF FIRST REFUSAL OPTION IN FAVOR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AND/OR ITS ASSIGNEE(S) AS SET FORTH IN AN AGREEMENT WITH THE COMPANY, A COPY OF WHICH IS ON FILE AT THE PRINCIPAL OFFICE OF THE COMPANY.”</w:t>
      </w:r>
    </w:p>
    <w:p>
      <w:pPr>
        <w:spacing w:after="0" w:line="67" w:lineRule="exact"/>
        <w:rPr>
          <w:sz w:val="20"/>
          <w:szCs w:val="20"/>
          <w:color w:val="auto"/>
        </w:rPr>
      </w:pPr>
    </w:p>
    <w:p>
      <w:pPr>
        <w:ind w:right="80" w:firstLine="880"/>
        <w:spacing w:after="0" w:line="281"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SHARES REPRESENTED BY THIS CERTIFICATE WERE ISSUED PURSUANT TO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 NONSTATUTORY STOCK OPTION</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Any legend required by appropriate blue sky officials.</w:t>
      </w:r>
    </w:p>
    <w:p>
      <w:pPr>
        <w:spacing w:after="0" w:line="117" w:lineRule="exact"/>
        <w:rPr>
          <w:sz w:val="20"/>
          <w:szCs w:val="20"/>
          <w:color w:val="auto"/>
        </w:rPr>
      </w:pPr>
    </w:p>
    <w:p>
      <w:pPr>
        <w:ind w:right="660" w:firstLine="430"/>
        <w:spacing w:after="0" w:line="281" w:lineRule="auto"/>
        <w:tabs>
          <w:tab w:leader="none" w:pos="71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purchase of the Common Stock, Purchaser represents to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58" w:lineRule="exact"/>
        <w:rPr>
          <w:rFonts w:ascii="Arial" w:cs="Arial" w:eastAsia="Arial" w:hAnsi="Arial"/>
          <w:sz w:val="18"/>
          <w:szCs w:val="18"/>
          <w:b w:val="1"/>
          <w:bCs w:val="1"/>
          <w:color w:val="auto"/>
        </w:rPr>
      </w:pPr>
    </w:p>
    <w:p>
      <w:pPr>
        <w:ind w:right="40" w:firstLine="871"/>
        <w:spacing w:after="0" w:line="259" w:lineRule="auto"/>
        <w:tabs>
          <w:tab w:leader="none" w:pos="106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Purchaser is aware of the Company’s business affairs and financial condition and has acquired sufficient information about the Company to reach an informed and knowledgeable decision to acquire the Common Stock. Purchaser is acquiring the Common Stock for investment for Purchaser’s own account only and not with a view to, or for resale in connection with, any “distribution” thereof within the meaning of the Securities Act.</w:t>
      </w:r>
    </w:p>
    <w:p>
      <w:pPr>
        <w:spacing w:after="0" w:line="77" w:lineRule="exact"/>
        <w:rPr>
          <w:rFonts w:ascii="Arial" w:cs="Arial" w:eastAsia="Arial" w:hAnsi="Arial"/>
          <w:sz w:val="18"/>
          <w:szCs w:val="18"/>
          <w:b w:val="1"/>
          <w:bCs w:val="1"/>
          <w:color w:val="auto"/>
        </w:rPr>
      </w:pPr>
    </w:p>
    <w:p>
      <w:pPr>
        <w:ind w:right="580" w:firstLine="871"/>
        <w:spacing w:after="0" w:line="341" w:lineRule="auto"/>
        <w:tabs>
          <w:tab w:leader="none" w:pos="1070" w:val="left"/>
        </w:tabs>
        <w:numPr>
          <w:ilvl w:val="1"/>
          <w:numId w:val="321"/>
        </w:numPr>
        <w:rPr>
          <w:rFonts w:ascii="Arial" w:cs="Arial" w:eastAsia="Arial" w:hAnsi="Arial"/>
          <w:sz w:val="16"/>
          <w:szCs w:val="16"/>
          <w:b w:val="1"/>
          <w:bCs w:val="1"/>
          <w:color w:val="auto"/>
        </w:rPr>
      </w:pPr>
      <w:r>
        <w:rPr>
          <w:rFonts w:ascii="Arial" w:cs="Arial" w:eastAsia="Arial" w:hAnsi="Arial"/>
          <w:sz w:val="16"/>
          <w:szCs w:val="16"/>
          <w:color w:val="auto"/>
        </w:rPr>
        <w:t>Purchaser understands that the Common Stock has not been registered under the Securities Act by reason of a specific exemption therefrom, which exemption depends upon, among other things, the bona fide nature of Purchaser’s investment intent as expressed herein.</w:t>
      </w:r>
    </w:p>
    <w:p>
      <w:pPr>
        <w:spacing w:after="0" w:line="16" w:lineRule="exact"/>
        <w:rPr>
          <w:rFonts w:ascii="Arial" w:cs="Arial" w:eastAsia="Arial" w:hAnsi="Arial"/>
          <w:sz w:val="16"/>
          <w:szCs w:val="16"/>
          <w:b w:val="1"/>
          <w:bCs w:val="1"/>
          <w:color w:val="auto"/>
        </w:rPr>
      </w:pPr>
    </w:p>
    <w:p>
      <w:pPr>
        <w:ind w:firstLine="871"/>
        <w:spacing w:after="0" w:line="256" w:lineRule="auto"/>
        <w:tabs>
          <w:tab w:leader="none" w:pos="105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Purchaser further acknowledges and understands that the Common Stock must be held indefinitely unless the Common Stock is subsequently registered under the Securities Act or an exemption from such registration is available. Purchaser further acknowledges and understands that the Company is under no obligation to register the Common Stock. Purchaser understands that the certificate evidencing the Common Stock will be imprinted with a legend that prohibits the transfer of the Common Stock unless the Common Stock is registered or such registration is not required in the opinion of counsel for the Company.</w:t>
      </w:r>
    </w:p>
    <w:p>
      <w:pPr>
        <w:spacing w:after="0" w:line="83" w:lineRule="exact"/>
        <w:rPr>
          <w:rFonts w:ascii="Arial" w:cs="Arial" w:eastAsia="Arial" w:hAnsi="Arial"/>
          <w:sz w:val="18"/>
          <w:szCs w:val="18"/>
          <w:b w:val="1"/>
          <w:bCs w:val="1"/>
          <w:color w:val="auto"/>
        </w:rPr>
      </w:pPr>
    </w:p>
    <w:p>
      <w:pPr>
        <w:ind w:right="60" w:firstLine="871"/>
        <w:spacing w:after="0" w:line="254" w:lineRule="auto"/>
        <w:tabs>
          <w:tab w:leader="none" w:pos="107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Purchaser is familiar with the provisions of Rules 144 and 701, under the Securities Act, as in effect from time to time, which, in substance, permit limited public resale of “restricted securities” acquired, directly or indirectly, from the issuer thereof (or from an affiliate of such issuer), in a non-public offering subject to the satisfaction of certain conditions. Rule 701 provides that if the issuer qualifies under Rule 701 at the time of issuance of the securities, such issuance will be exempt from registration under the Securities Act. In the event the Company becomes subject to the reporting requirements of Section 13 or 15(d) of the Securities Exchange Act of 1934, the securities exempt under Rule 701 may be sold by Purchaser ninety (90) days thereafter, subject to the satisfaction of certain of the conditions specified by Rule 144 and the market stand-off provision described in Purchaser’s Stock Option Agreement.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60" w:top="270" w:right="499" w:bottom="1440" w:gutter="0" w:footer="0" w:header="0"/>
        </w:sectPr>
      </w:pPr>
    </w:p>
    <w:bookmarkStart w:id="424" w:name="page425"/>
    <w:bookmarkEnd w:id="424"/>
    <w:p>
      <w:pPr>
        <w:ind w:right="120" w:firstLine="880"/>
        <w:spacing w:after="0" w:line="28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 </w:t>
      </w:r>
      <w:r>
        <w:rPr>
          <w:rFonts w:ascii="Arial" w:cs="Arial" w:eastAsia="Arial" w:hAnsi="Arial"/>
          <w:sz w:val="17"/>
          <w:szCs w:val="17"/>
          <w:color w:val="auto"/>
        </w:rPr>
        <w:t>In the event that the sale of the Common Stock does not qualify under Rule 701 at the time of purchase, then the Common Stock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resold by Purchaser in certain limited circumstances subject to the provisions of Rule 144, which requires, among other things: (i) the availability of certain public information about the Company, and (ii) the resale occurring following the required holding period under Rule 144 after Purchaser has purchased, and made full payment of (within the meaning of Rule 144), the securities to be sold.</w:t>
      </w:r>
    </w:p>
    <w:p>
      <w:pPr>
        <w:spacing w:after="0" w:line="59" w:lineRule="exact"/>
        <w:rPr>
          <w:sz w:val="20"/>
          <w:szCs w:val="20"/>
          <w:color w:val="auto"/>
        </w:rPr>
      </w:pPr>
    </w:p>
    <w:p>
      <w:pPr>
        <w:ind w:right="120" w:firstLine="880"/>
        <w:spacing w:after="0" w:line="260"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Purchaser further understands that at the time Purchaser wishes to sell the Common Stock there may be no public market upon which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such a sale, and that, even if such a public market then exists, the Company may not be satisfying the current public current information requirements of Rule 144 or 701, and that, in such event, Purchaser would be precluded from selling the Common Stock under Rule 144 or 701 even if the minimum holding period requirement had been satisfied.</w:t>
      </w:r>
    </w:p>
    <w:p>
      <w:pPr>
        <w:spacing w:after="0" w:line="74" w:lineRule="exact"/>
        <w:rPr>
          <w:sz w:val="20"/>
          <w:szCs w:val="20"/>
          <w:color w:val="auto"/>
        </w:rPr>
      </w:pPr>
    </w:p>
    <w:p>
      <w:pPr>
        <w:ind w:firstLine="880"/>
        <w:spacing w:after="0" w:line="258" w:lineRule="auto"/>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Purchaser further warrants and represents that Purchaser has either (i) preexisting personal or business relationships,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officers, directors or controlling persons, or (ii) the capacity to protect his own interests in connection with the purchase of the Common Stock by virtue of the business or financial expertise of Purchaser or of professional advisors to Purchaser who are unaffiliated with and who are not compensated by the Company or any of its affiliates, directly or indirectly. Purchaser further warrants and represents that Purchaser’s purchase the Common Stock was not accomplished by the publication of any advertisement.</w:t>
      </w:r>
    </w:p>
    <w:p>
      <w:pPr>
        <w:spacing w:after="0" w:line="75" w:lineRule="exact"/>
        <w:rPr>
          <w:sz w:val="20"/>
          <w:szCs w:val="20"/>
          <w:color w:val="auto"/>
        </w:rPr>
      </w:pPr>
    </w:p>
    <w:p>
      <w:pPr>
        <w:ind w:right="20" w:firstLine="430"/>
        <w:spacing w:after="0" w:line="270" w:lineRule="auto"/>
        <w:tabs>
          <w:tab w:leader="none" w:pos="710"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3"/>
          <w:szCs w:val="13"/>
          <w:b w:val="1"/>
          <w:bCs w:val="1"/>
          <w:color w:val="auto"/>
        </w:rPr>
        <w:t>ARKET</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TAND</w:t>
      </w:r>
      <w:r>
        <w:rPr>
          <w:rFonts w:ascii="Arial" w:cs="Arial" w:eastAsia="Arial" w:hAnsi="Arial"/>
          <w:sz w:val="17"/>
          <w:szCs w:val="17"/>
          <w:b w:val="1"/>
          <w:bCs w:val="1"/>
          <w:color w:val="auto"/>
        </w:rPr>
        <w:t>-O</w:t>
      </w:r>
      <w:r>
        <w:rPr>
          <w:rFonts w:ascii="Arial" w:cs="Arial" w:eastAsia="Arial" w:hAnsi="Arial"/>
          <w:sz w:val="13"/>
          <w:szCs w:val="13"/>
          <w:b w:val="1"/>
          <w:bCs w:val="1"/>
          <w:color w:val="auto"/>
        </w:rPr>
        <w:t>FF</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By exercising the Option, Purchaser agrees not to sell, dispose of, transfer, make any short sale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any option for the purchase of, or enter into any hedging or similar transaction with the same economic effect as a sale, any shares of Common Stock or other securities of the Company held by Purchaser, for a period of one hundred eighty (180) days following the effective date of a registration statement of the Company filed under the Securities Act or such longer period as necessary to permit compliance with NASD Rule 2711 or NYSE Member Rule 472 and similar rules or regulations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shall prevent the exercise of the Repurchase Option during the Lock-Up Period. Purchaser further agrees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Purchaser’s shares of Common Stock until the end of such period. The underwriters of the Company’s stock are intended third party beneficiaries of this Section 12 and shall have the right, power and authority to enforce the provisions hereof as though they were a party hereto.</w:t>
      </w:r>
    </w:p>
    <w:p>
      <w:pPr>
        <w:spacing w:after="0" w:line="67" w:lineRule="exact"/>
        <w:rPr>
          <w:rFonts w:ascii="Arial" w:cs="Arial" w:eastAsia="Arial" w:hAnsi="Arial"/>
          <w:sz w:val="17"/>
          <w:szCs w:val="17"/>
          <w:b w:val="1"/>
          <w:bCs w:val="1"/>
          <w:color w:val="auto"/>
        </w:rPr>
      </w:pPr>
    </w:p>
    <w:p>
      <w:pPr>
        <w:ind w:firstLine="430"/>
        <w:spacing w:after="0" w:line="256" w:lineRule="auto"/>
        <w:tabs>
          <w:tab w:leader="none" w:pos="71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83(b) E</w:t>
      </w:r>
      <w:r>
        <w:rPr>
          <w:rFonts w:ascii="Arial" w:cs="Arial" w:eastAsia="Arial" w:hAnsi="Arial"/>
          <w:sz w:val="14"/>
          <w:szCs w:val="14"/>
          <w:b w:val="1"/>
          <w:bCs w:val="1"/>
          <w:color w:val="auto"/>
        </w:rPr>
        <w:t>LECTION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understands that Section 83(a) of the Code taxes as ordinary income the difference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paid for the Common Stock and the fair market value of the Common Stock as of the date any restrictions on the Common Stock lapse. In this context, “restriction” includes the right of the Company to buy back the Common Stock pursuant to the Repurchase Option set forth above. Purchaser understands that Purchaser may elect to be taxed at the time the Common Stock is purchased, rather than when and as the Repurchase Option expires, by filing an election under Section 83(b) (an “</w:t>
      </w:r>
      <w:r>
        <w:rPr>
          <w:rFonts w:ascii="Arial" w:cs="Arial" w:eastAsia="Arial" w:hAnsi="Arial"/>
          <w:sz w:val="18"/>
          <w:szCs w:val="18"/>
          <w:b w:val="1"/>
          <w:bCs w:val="1"/>
          <w:i w:val="1"/>
          <w:iCs w:val="1"/>
          <w:color w:val="auto"/>
        </w:rPr>
        <w:t>83(b) Election</w:t>
      </w:r>
      <w:r>
        <w:rPr>
          <w:rFonts w:ascii="Arial" w:cs="Arial" w:eastAsia="Arial" w:hAnsi="Arial"/>
          <w:sz w:val="18"/>
          <w:szCs w:val="18"/>
          <w:color w:val="auto"/>
        </w:rPr>
        <w:t>”) of the Code with the Internal Revenue Service within thirty (30) days of the date of purchase. Even if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60" w:top="270" w:right="459" w:bottom="1440" w:gutter="0" w:footer="0" w:header="0"/>
        </w:sectPr>
      </w:pPr>
    </w:p>
    <w:bookmarkStart w:id="425" w:name="page426"/>
    <w:bookmarkEnd w:id="425"/>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fair market value of the Common Stock at the time of the execution of this Agreement equals the amount paid for the Common Stock, the 83(b) Election must be made to avoid income under Section 83(a) in the future. Purchaser understands that failure to file such an 83(b) Election in a timely manner may result in adverse tax consequences for Purchaser. Purchaser further understands that Purchaser must file an additional copy of such 83(b) Election with his or her federal income tax return for the calendar year in which the date of this Agreement falls. Purchaser acknowledges that the foregoing is only a summary of the effect of United States federal income taxation with respect to purchase of the Common Stock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Purchaser assumes all responsibility for filing an 83(b) Election and paying all taxes resulting from such election or the lapse of the restrictions on the Common Stock.</w:t>
      </w:r>
    </w:p>
    <w:p>
      <w:pPr>
        <w:spacing w:after="0" w:line="67" w:lineRule="exact"/>
        <w:rPr>
          <w:sz w:val="20"/>
          <w:szCs w:val="20"/>
          <w:color w:val="auto"/>
        </w:rPr>
      </w:pPr>
    </w:p>
    <w:p>
      <w:pPr>
        <w:ind w:firstLine="430"/>
        <w:spacing w:after="0" w:line="288" w:lineRule="auto"/>
        <w:tabs>
          <w:tab w:leader="none" w:pos="71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EFUSAL TO</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(a) to transfer on its books any shares of Common Stock of the Company which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51" w:lineRule="exact"/>
        <w:rPr>
          <w:rFonts w:ascii="Arial" w:cs="Arial" w:eastAsia="Arial" w:hAnsi="Arial"/>
          <w:sz w:val="17"/>
          <w:szCs w:val="17"/>
          <w:b w:val="1"/>
          <w:bCs w:val="1"/>
          <w:color w:val="auto"/>
        </w:rPr>
      </w:pPr>
    </w:p>
    <w:p>
      <w:pPr>
        <w:ind w:right="200" w:firstLine="430"/>
        <w:spacing w:after="0" w:line="266" w:lineRule="auto"/>
        <w:tabs>
          <w:tab w:leader="none" w:pos="71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not an employment contract and nothing in this Agreement shall affect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the right or power of the Company or its Affiliates to terminate Purchaser’s employment for any reason at any time, with or without cause and with or without notice.</w:t>
      </w:r>
    </w:p>
    <w:p>
      <w:pPr>
        <w:spacing w:after="0" w:line="67" w:lineRule="exact"/>
        <w:rPr>
          <w:rFonts w:ascii="Arial" w:cs="Arial" w:eastAsia="Arial" w:hAnsi="Arial"/>
          <w:sz w:val="18"/>
          <w:szCs w:val="18"/>
          <w:b w:val="1"/>
          <w:bCs w:val="1"/>
          <w:color w:val="auto"/>
        </w:rPr>
      </w:pPr>
    </w:p>
    <w:p>
      <w:pPr>
        <w:ind w:left="700" w:hanging="270"/>
        <w:spacing w:after="0"/>
        <w:tabs>
          <w:tab w:leader="none" w:pos="70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right="60" w:firstLine="871"/>
        <w:spacing w:after="0" w:line="294" w:lineRule="auto"/>
        <w:tabs>
          <w:tab w:leader="none" w:pos="1060" w:val="left"/>
        </w:tabs>
        <w:numPr>
          <w:ilvl w:val="1"/>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required or permitted hereunder shall be in writing and shall be deemed effectively given: (a) upon personal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party to be notified, (b) when sent by confirmed facsimile if sent during normal business hours of the recipient, and if not during normal business hours of the recipient, then on the next business day, (c) five (5) calendar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other party hereto at such party’s address hereinafter set forth on the signature page hereof, or at such other address as such party may designate by ten (10) days advance written notice to the other party hereto.</w:t>
      </w:r>
    </w:p>
    <w:p>
      <w:pPr>
        <w:spacing w:after="0" w:line="50" w:lineRule="exact"/>
        <w:rPr>
          <w:rFonts w:ascii="Arial" w:cs="Arial" w:eastAsia="Arial" w:hAnsi="Arial"/>
          <w:sz w:val="16"/>
          <w:szCs w:val="16"/>
          <w:b w:val="1"/>
          <w:bCs w:val="1"/>
          <w:color w:val="auto"/>
        </w:rPr>
      </w:pPr>
    </w:p>
    <w:p>
      <w:pPr>
        <w:ind w:right="400" w:firstLine="871"/>
        <w:spacing w:after="0" w:line="266" w:lineRule="auto"/>
        <w:tabs>
          <w:tab w:leader="none" w:pos="1070"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shall inure to the benefit of the successors and assigns of the Company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herein set forth, be binding upon Purchaser, Purchaser’s successors, and assigns. The Company may assign the Repurchase Option hereunder at any time or from time to time, in whole or in part.</w:t>
      </w:r>
    </w:p>
    <w:p>
      <w:pPr>
        <w:spacing w:after="0" w:line="67" w:lineRule="exact"/>
        <w:rPr>
          <w:rFonts w:ascii="Arial" w:cs="Arial" w:eastAsia="Arial" w:hAnsi="Arial"/>
          <w:sz w:val="18"/>
          <w:szCs w:val="18"/>
          <w:b w:val="1"/>
          <w:bCs w:val="1"/>
          <w:color w:val="auto"/>
        </w:rPr>
      </w:pPr>
    </w:p>
    <w:p>
      <w:pPr>
        <w:ind w:right="80" w:firstLine="871"/>
        <w:spacing w:after="0" w:line="281" w:lineRule="auto"/>
        <w:tabs>
          <w:tab w:leader="none" w:pos="1050"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Attorneys’ Fees; Specific Performance. </w:t>
      </w:r>
      <w:r>
        <w:rPr>
          <w:rFonts w:ascii="Arial" w:cs="Arial" w:eastAsia="Arial" w:hAnsi="Arial"/>
          <w:sz w:val="18"/>
          <w:szCs w:val="18"/>
          <w:color w:val="auto"/>
        </w:rPr>
        <w:t>Purchaser shall reimburse the Company for all costs incurred by the Company in enforcing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or protecting its rights under, any part of this Agreement, including reasonable costs of investigation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60" w:top="274" w:right="459" w:bottom="1440" w:gutter="0" w:footer="0" w:header="0"/>
        </w:sectPr>
      </w:pPr>
    </w:p>
    <w:bookmarkStart w:id="426" w:name="page427"/>
    <w:bookmarkEnd w:id="426"/>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attorneys’ fees. It is the intention of the parties that the Company, upon exercise of the Repurchase Option and payment for the shares repurchased, pursuant to the terms of this Agreement, shall be entitled to receive the Common Stock, </w:t>
      </w:r>
      <w:r>
        <w:rPr>
          <w:rFonts w:ascii="Arial" w:cs="Arial" w:eastAsia="Arial" w:hAnsi="Arial"/>
          <w:sz w:val="17"/>
          <w:szCs w:val="17"/>
          <w:i w:val="1"/>
          <w:iCs w:val="1"/>
          <w:color w:val="auto"/>
        </w:rPr>
        <w:t>in specie,</w:t>
      </w:r>
      <w:r>
        <w:rPr>
          <w:rFonts w:ascii="Arial" w:cs="Arial" w:eastAsia="Arial" w:hAnsi="Arial"/>
          <w:sz w:val="17"/>
          <w:szCs w:val="17"/>
          <w:color w:val="auto"/>
        </w:rPr>
        <w:t xml:space="preserve"> in order to have such Common Stock available for future issuance without dilution of the holdings of other stockholders. Furthermore, it is expressly agreed between the parties that money damages are inadequate to compensate the Company for the Common Stock and that the Company shall, upon proper exercise of the Repurchase Option, be entitled to specific enforcement of its rights to purchase and receive said Common Stock.</w:t>
      </w:r>
    </w:p>
    <w:p>
      <w:pPr>
        <w:spacing w:after="0" w:line="63" w:lineRule="exact"/>
        <w:rPr>
          <w:sz w:val="20"/>
          <w:szCs w:val="20"/>
          <w:color w:val="auto"/>
        </w:rPr>
      </w:pPr>
    </w:p>
    <w:p>
      <w:pPr>
        <w:ind w:firstLine="880"/>
        <w:spacing w:after="0" w:line="260" w:lineRule="auto"/>
        <w:rPr>
          <w:sz w:val="20"/>
          <w:szCs w:val="20"/>
          <w:color w:val="auto"/>
        </w:rPr>
      </w:pPr>
      <w:r>
        <w:rPr>
          <w:rFonts w:ascii="Arial" w:cs="Arial" w:eastAsia="Arial" w:hAnsi="Arial"/>
          <w:sz w:val="18"/>
          <w:szCs w:val="18"/>
          <w:b w:val="1"/>
          <w:bCs w:val="1"/>
          <w:color w:val="auto"/>
        </w:rPr>
        <w:t xml:space="preserve">d. Governing Law; Venue. </w:t>
      </w:r>
      <w:r>
        <w:rPr>
          <w:rFonts w:ascii="Arial" w:cs="Arial" w:eastAsia="Arial" w:hAnsi="Arial"/>
          <w:sz w:val="18"/>
          <w:szCs w:val="18"/>
          <w:color w:val="auto"/>
        </w:rPr>
        <w:t>This Agreement shall be governed by and construed in accordance with the laws of the State of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that any action brought by either party to interpret or enforce any provision of this Agreement shall be brought in, and each party agrees to, and does hereby, submit to the jurisdiction and venue of, the appropriate state or federal court for the district encompassing the Company’s principal place of business.</w:t>
      </w:r>
    </w:p>
    <w:p>
      <w:pPr>
        <w:spacing w:after="0" w:line="74" w:lineRule="exact"/>
        <w:rPr>
          <w:sz w:val="20"/>
          <w:szCs w:val="20"/>
          <w:color w:val="auto"/>
        </w:rPr>
      </w:pPr>
    </w:p>
    <w:p>
      <w:pPr>
        <w:ind w:right="60" w:firstLine="880"/>
        <w:spacing w:after="0" w:line="266" w:lineRule="auto"/>
        <w:rPr>
          <w:sz w:val="20"/>
          <w:szCs w:val="20"/>
          <w:color w:val="auto"/>
        </w:rPr>
      </w:pPr>
      <w:r>
        <w:rPr>
          <w:rFonts w:ascii="Arial" w:cs="Arial" w:eastAsia="Arial" w:hAnsi="Arial"/>
          <w:sz w:val="18"/>
          <w:szCs w:val="18"/>
          <w:b w:val="1"/>
          <w:bCs w:val="1"/>
          <w:color w:val="auto"/>
        </w:rPr>
        <w:t xml:space="preserve">e. Further Execution. </w:t>
      </w:r>
      <w:r>
        <w:rPr>
          <w:rFonts w:ascii="Arial" w:cs="Arial" w:eastAsia="Arial" w:hAnsi="Arial"/>
          <w:sz w:val="18"/>
          <w:szCs w:val="18"/>
          <w:color w:val="auto"/>
        </w:rPr>
        <w:t>The parties agree to take all such further action(s) as may reasonably be necessary to carry out and consummate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soon as practicable, and to take whatever steps may be necessary to obtain any governmental approval in connection with or otherwise qualify the issuance of the securities that are the subject of this Agreement.</w:t>
      </w:r>
    </w:p>
    <w:p>
      <w:pPr>
        <w:spacing w:after="0" w:line="67" w:lineRule="exact"/>
        <w:rPr>
          <w:sz w:val="20"/>
          <w:szCs w:val="20"/>
          <w:color w:val="auto"/>
        </w:rPr>
      </w:pPr>
    </w:p>
    <w:p>
      <w:pPr>
        <w:jc w:val="both"/>
        <w:ind w:right="540" w:firstLine="880"/>
        <w:spacing w:after="0" w:line="266" w:lineRule="auto"/>
        <w:rPr>
          <w:sz w:val="20"/>
          <w:szCs w:val="20"/>
          <w:color w:val="auto"/>
        </w:rPr>
      </w:pPr>
      <w:r>
        <w:rPr>
          <w:rFonts w:ascii="Arial" w:cs="Arial" w:eastAsia="Arial" w:hAnsi="Arial"/>
          <w:sz w:val="18"/>
          <w:szCs w:val="18"/>
          <w:b w:val="1"/>
          <w:bCs w:val="1"/>
          <w:color w:val="auto"/>
        </w:rPr>
        <w:t xml:space="preserve">f. Independent Counsel. </w:t>
      </w:r>
      <w:r>
        <w:rPr>
          <w:rFonts w:ascii="Arial" w:cs="Arial" w:eastAsia="Arial" w:hAnsi="Arial"/>
          <w:sz w:val="18"/>
          <w:szCs w:val="18"/>
          <w:color w:val="auto"/>
        </w:rPr>
        <w:t>Purchaser acknowledges that this Agreement has been prepared on behalf of the Company by Cooley LLP,</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to the Company and that Cooley LLP does not represent, and is not acting on behalf of, Purchaser. Purchaser has been provided with an opportunity to consult with Purchaser’s own counsel with respect to this Agreement.</w:t>
      </w:r>
    </w:p>
    <w:p>
      <w:pPr>
        <w:spacing w:after="0" w:line="67" w:lineRule="exact"/>
        <w:rPr>
          <w:sz w:val="20"/>
          <w:szCs w:val="20"/>
          <w:color w:val="auto"/>
        </w:rPr>
      </w:pPr>
    </w:p>
    <w:p>
      <w:pPr>
        <w:ind w:right="40" w:firstLine="880"/>
        <w:spacing w:after="0" w:line="266" w:lineRule="auto"/>
        <w:rPr>
          <w:sz w:val="20"/>
          <w:szCs w:val="20"/>
          <w:color w:val="auto"/>
        </w:rPr>
      </w:pPr>
      <w:r>
        <w:rPr>
          <w:rFonts w:ascii="Arial" w:cs="Arial" w:eastAsia="Arial" w:hAnsi="Arial"/>
          <w:sz w:val="18"/>
          <w:szCs w:val="18"/>
          <w:b w:val="1"/>
          <w:bCs w:val="1"/>
          <w:color w:val="auto"/>
        </w:rPr>
        <w:t xml:space="preserve">g. Entire Agreement; Amendment. </w:t>
      </w:r>
      <w:r>
        <w:rPr>
          <w:rFonts w:ascii="Arial" w:cs="Arial" w:eastAsia="Arial" w:hAnsi="Arial"/>
          <w:sz w:val="18"/>
          <w:szCs w:val="18"/>
          <w:color w:val="auto"/>
        </w:rPr>
        <w:t>This Agreement constitutes the entire agreement between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supersedes and merges all prior agreements or understandings, whether written or oral. This Agreement may not be amended, modified or revoked, in whole or in part, except by an agreement in writing signed by each of the parties hereto.</w:t>
      </w:r>
    </w:p>
    <w:p>
      <w:pPr>
        <w:spacing w:after="0" w:line="67" w:lineRule="exact"/>
        <w:rPr>
          <w:sz w:val="20"/>
          <w:szCs w:val="20"/>
          <w:color w:val="auto"/>
        </w:rPr>
      </w:pPr>
    </w:p>
    <w:p>
      <w:pPr>
        <w:ind w:right="60" w:firstLine="880"/>
        <w:spacing w:after="0" w:line="280" w:lineRule="auto"/>
        <w:rPr>
          <w:sz w:val="20"/>
          <w:szCs w:val="20"/>
          <w:color w:val="auto"/>
        </w:rPr>
      </w:pPr>
      <w:r>
        <w:rPr>
          <w:rFonts w:ascii="Arial" w:cs="Arial" w:eastAsia="Arial" w:hAnsi="Arial"/>
          <w:sz w:val="17"/>
          <w:szCs w:val="17"/>
          <w:b w:val="1"/>
          <w:bCs w:val="1"/>
          <w:color w:val="auto"/>
        </w:rPr>
        <w:t xml:space="preserve">h. Severability. </w:t>
      </w:r>
      <w:r>
        <w:rPr>
          <w:rFonts w:ascii="Arial" w:cs="Arial" w:eastAsia="Arial" w:hAnsi="Arial"/>
          <w:sz w:val="17"/>
          <w:szCs w:val="17"/>
          <w:color w:val="auto"/>
        </w:rPr>
        <w:t>If one or more provisions of this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9" w:lineRule="exact"/>
        <w:rPr>
          <w:sz w:val="20"/>
          <w:szCs w:val="20"/>
          <w:color w:val="auto"/>
        </w:rPr>
      </w:pPr>
    </w:p>
    <w:p>
      <w:pPr>
        <w:ind w:right="40" w:firstLine="880"/>
        <w:spacing w:after="0" w:line="281" w:lineRule="auto"/>
        <w:rPr>
          <w:sz w:val="20"/>
          <w:szCs w:val="20"/>
          <w:color w:val="auto"/>
        </w:rPr>
      </w:pPr>
      <w:r>
        <w:rPr>
          <w:rFonts w:ascii="Arial" w:cs="Arial" w:eastAsia="Arial" w:hAnsi="Arial"/>
          <w:sz w:val="18"/>
          <w:szCs w:val="18"/>
          <w:b w:val="1"/>
          <w:bCs w:val="1"/>
          <w:color w:val="auto"/>
        </w:rPr>
        <w:t xml:space="preserve">i. Counterparts. </w:t>
      </w:r>
      <w:r>
        <w:rPr>
          <w:rFonts w:ascii="Arial" w:cs="Arial" w:eastAsia="Arial" w:hAnsi="Arial"/>
          <w:sz w:val="18"/>
          <w:szCs w:val="18"/>
          <w:color w:val="auto"/>
        </w:rPr>
        <w:t>This Agreement may be executed in two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60" w:top="274" w:right="479" w:bottom="1440" w:gutter="0" w:footer="0" w:header="0"/>
        </w:sectPr>
      </w:pPr>
    </w:p>
    <w:bookmarkStart w:id="427" w:name="page428"/>
    <w:bookmarkEnd w:id="427"/>
    <w:p>
      <w:pPr>
        <w:spacing w:after="0"/>
        <w:tabs>
          <w:tab w:leader="none" w:pos="6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 WITNESS WHEREOF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 Agreement 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-7620</wp:posOffset>
            </wp:positionV>
            <wp:extent cx="7994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32"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Personalis, Inc.</w:t>
      </w:r>
    </w:p>
    <w:p>
      <w:pPr>
        <w:spacing w:after="0" w:line="2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-1905</wp:posOffset>
            </wp:positionV>
            <wp:extent cx="18757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-10795</wp:posOffset>
            </wp:positionV>
            <wp:extent cx="18757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8"/>
          <w:szCs w:val="18"/>
          <w:color w:val="auto"/>
        </w:rPr>
        <w:t>Address: 1330 O’Brien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Menlo Park, California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219710</wp:posOffset>
            </wp:positionV>
            <wp:extent cx="232156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33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Purchaser</w:t>
      </w:r>
    </w:p>
    <w:p>
      <w:pPr>
        <w:spacing w:after="0" w:line="1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-1905</wp:posOffset>
            </wp:positionV>
            <wp:extent cx="23215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321560" cy="825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109220</wp:posOffset>
            </wp:positionV>
            <wp:extent cx="23215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760"/>
          </w:cols>
          <w:pgMar w:left="900" w:top="269" w:right="1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ESCROW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right="500" w:firstLine="440"/>
        <w:spacing w:after="0" w:line="290" w:lineRule="auto"/>
        <w:rPr>
          <w:sz w:val="20"/>
          <w:szCs w:val="20"/>
          <w:color w:val="auto"/>
        </w:rPr>
      </w:pPr>
      <w:r>
        <w:rPr>
          <w:rFonts w:ascii="Arial" w:cs="Arial" w:eastAsia="Arial" w:hAnsi="Arial"/>
          <w:sz w:val="16"/>
          <w:szCs w:val="16"/>
          <w:color w:val="auto"/>
        </w:rPr>
        <w:t>As Escrow Agent for both Personalis, Inc., a Delaware corporation (“Company”), and the undersigned purchaser of Common Stock of the Company (“Purchaser”), you are hereby authorized and directed to hold the documents delivered to you pursuant to the terms of that certain Early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Exercise Stock Purchase Agreement (“Agreement”), dated to which a copy of these Joint Escrow Instructions is attached as Exhibit C, in accordance with the following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-172720</wp:posOffset>
            </wp:positionV>
            <wp:extent cx="79946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57" w:lineRule="exact"/>
        <w:rPr>
          <w:sz w:val="20"/>
          <w:szCs w:val="20"/>
          <w:color w:val="auto"/>
        </w:rPr>
      </w:pPr>
    </w:p>
    <w:p>
      <w:pPr>
        <w:ind w:right="20" w:firstLine="430"/>
        <w:spacing w:after="0" w:line="259" w:lineRule="auto"/>
        <w:tabs>
          <w:tab w:leader="none" w:pos="62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In the event the Company or an assignee shall elect to exercise the Repurchase Option set forth in the Agreement, the Company or its assignee will give to Purchaser and you a written notice specifying the number of shares of Common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77" w:lineRule="exact"/>
        <w:rPr>
          <w:rFonts w:ascii="Arial" w:cs="Arial" w:eastAsia="Arial" w:hAnsi="Arial"/>
          <w:sz w:val="18"/>
          <w:szCs w:val="18"/>
          <w:b w:val="1"/>
          <w:bCs w:val="1"/>
          <w:color w:val="auto"/>
        </w:rPr>
      </w:pPr>
    </w:p>
    <w:p>
      <w:pPr>
        <w:jc w:val="both"/>
        <w:ind w:right="140" w:firstLine="430"/>
        <w:spacing w:after="0" w:line="279" w:lineRule="auto"/>
        <w:tabs>
          <w:tab w:leader="none" w:pos="620"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At the closing you are directed (a) to date any stock assignments necessary for the transfer in question, (b) to fill in the number of shares being transferred, and (c) to deliver same, together with the certificate evidencing the shares of Common Stock to be transferred, to the Company against the simultaneous delivery to you of the purchase price (which may include suitable acknowledgment of cancellation of indebtedness) of the number of shares of Common Stock being purchased pursuant to the exercise of the Repurchase Option.</w:t>
      </w:r>
    </w:p>
    <w:p>
      <w:pPr>
        <w:spacing w:after="0" w:line="62" w:lineRule="exact"/>
        <w:rPr>
          <w:rFonts w:ascii="Arial" w:cs="Arial" w:eastAsia="Arial" w:hAnsi="Arial"/>
          <w:sz w:val="17"/>
          <w:szCs w:val="17"/>
          <w:b w:val="1"/>
          <w:bCs w:val="1"/>
          <w:color w:val="auto"/>
        </w:rPr>
      </w:pPr>
    </w:p>
    <w:p>
      <w:pPr>
        <w:ind w:firstLine="430"/>
        <w:spacing w:after="0" w:line="256" w:lineRule="auto"/>
        <w:tabs>
          <w:tab w:leader="none" w:pos="62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Purchaser irrevocably authorizes the Company to deposit with you any certificates evidencing shares of Common Stock to be held by you hereunder and any additions and substitutions to said shares as specified in the Agreement. Purchaser does hereby irrevocably constitute and appoint you as the Purchaser’s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83" w:lineRule="exact"/>
        <w:rPr>
          <w:rFonts w:ascii="Arial" w:cs="Arial" w:eastAsia="Arial" w:hAnsi="Arial"/>
          <w:sz w:val="18"/>
          <w:szCs w:val="18"/>
          <w:b w:val="1"/>
          <w:bCs w:val="1"/>
          <w:color w:val="auto"/>
        </w:rPr>
      </w:pPr>
    </w:p>
    <w:p>
      <w:pPr>
        <w:ind w:right="80" w:firstLine="430"/>
        <w:spacing w:after="0" w:line="263" w:lineRule="auto"/>
        <w:tabs>
          <w:tab w:leader="none" w:pos="62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This escrow shall terminate and the shares of stock held hereunder shall be released in full upon the later of (a) the expiration or exercise in full of the Repurchase Option, whichever occurs first, and (b) the payment in full of all principal and interest due and payable under the promissory note attached to the Agreement, if any.</w:t>
      </w:r>
    </w:p>
    <w:p>
      <w:pPr>
        <w:spacing w:after="0" w:line="74" w:lineRule="exact"/>
        <w:rPr>
          <w:rFonts w:ascii="Arial" w:cs="Arial" w:eastAsia="Arial" w:hAnsi="Arial"/>
          <w:sz w:val="18"/>
          <w:szCs w:val="18"/>
          <w:b w:val="1"/>
          <w:bCs w:val="1"/>
          <w:color w:val="auto"/>
        </w:rPr>
      </w:pPr>
    </w:p>
    <w:p>
      <w:pPr>
        <w:ind w:right="40" w:firstLine="430"/>
        <w:spacing w:after="0" w:line="279" w:lineRule="auto"/>
        <w:tabs>
          <w:tab w:leader="none" w:pos="620"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 xml:space="preserve">If at the time of termination of this escrow you should have in your possession any documents, securities, or other property belonging to Purchaser, you shall deliver all of same to Purchaser and shall be discharged of all further obligations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at the time of termination of this escrow you are advised by the Company that the property subject to this escrow is the subject of a pledge or other security agreement, you shall deliver all such property to the pledgeholder or other person designated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60" w:top="270" w:right="439" w:bottom="1440" w:gutter="0" w:footer="0" w:header="0"/>
        </w:sectPr>
      </w:pPr>
    </w:p>
    <w:bookmarkStart w:id="429" w:name="page430"/>
    <w:bookmarkEnd w:id="429"/>
    <w:p>
      <w:pPr>
        <w:ind w:right="20" w:firstLine="430"/>
        <w:spacing w:after="0" w:line="277" w:lineRule="auto"/>
        <w:tabs>
          <w:tab w:leader="none" w:pos="62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these Joint Escrow Instructions, your duties hereunder may be altered, amended, modified or revoked only by a writing signed by all of the parties hereto.</w:t>
      </w:r>
    </w:p>
    <w:p>
      <w:pPr>
        <w:spacing w:after="0" w:line="61" w:lineRule="exact"/>
        <w:rPr>
          <w:rFonts w:ascii="Arial" w:cs="Arial" w:eastAsia="Arial" w:hAnsi="Arial"/>
          <w:sz w:val="18"/>
          <w:szCs w:val="18"/>
          <w:b w:val="1"/>
          <w:bCs w:val="1"/>
          <w:color w:val="auto"/>
        </w:rPr>
      </w:pPr>
    </w:p>
    <w:p>
      <w:pPr>
        <w:ind w:right="20" w:firstLine="430"/>
        <w:spacing w:after="0" w:line="256" w:lineRule="auto"/>
        <w:tabs>
          <w:tab w:leader="none" w:pos="62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83" w:lineRule="exact"/>
        <w:rPr>
          <w:rFonts w:ascii="Arial" w:cs="Arial" w:eastAsia="Arial" w:hAnsi="Arial"/>
          <w:sz w:val="18"/>
          <w:szCs w:val="18"/>
          <w:b w:val="1"/>
          <w:bCs w:val="1"/>
          <w:color w:val="auto"/>
        </w:rPr>
      </w:pPr>
    </w:p>
    <w:p>
      <w:pPr>
        <w:ind w:right="100" w:firstLine="430"/>
        <w:spacing w:after="0" w:line="275" w:lineRule="auto"/>
        <w:tabs>
          <w:tab w:leader="none" w:pos="620" w:val="left"/>
        </w:tabs>
        <w:numPr>
          <w:ilvl w:val="0"/>
          <w:numId w:val="325"/>
        </w:numPr>
        <w:rPr>
          <w:rFonts w:ascii="Arial" w:cs="Arial" w:eastAsia="Arial" w:hAnsi="Arial"/>
          <w:sz w:val="17"/>
          <w:szCs w:val="17"/>
          <w:b w:val="1"/>
          <w:bCs w:val="1"/>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67" w:lineRule="exact"/>
        <w:rPr>
          <w:rFonts w:ascii="Arial" w:cs="Arial" w:eastAsia="Arial" w:hAnsi="Arial"/>
          <w:sz w:val="17"/>
          <w:szCs w:val="17"/>
          <w:b w:val="1"/>
          <w:bCs w:val="1"/>
          <w:color w:val="auto"/>
        </w:rPr>
      </w:pPr>
    </w:p>
    <w:p>
      <w:pPr>
        <w:ind w:firstLine="430"/>
        <w:spacing w:after="0" w:line="277" w:lineRule="auto"/>
        <w:tabs>
          <w:tab w:leader="none" w:pos="62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61" w:lineRule="exact"/>
        <w:rPr>
          <w:rFonts w:ascii="Arial" w:cs="Arial" w:eastAsia="Arial" w:hAnsi="Arial"/>
          <w:sz w:val="18"/>
          <w:szCs w:val="18"/>
          <w:b w:val="1"/>
          <w:bCs w:val="1"/>
          <w:color w:val="auto"/>
        </w:rPr>
      </w:pPr>
    </w:p>
    <w:p>
      <w:pPr>
        <w:ind w:right="280" w:firstLine="430"/>
        <w:spacing w:after="0" w:line="277" w:lineRule="auto"/>
        <w:tabs>
          <w:tab w:leader="none" w:pos="71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You shall not be liable for the outlawing of any rights under any statute of limitations with respect to these Joint Escrow Instructions or any documents deposited with you.</w:t>
      </w:r>
    </w:p>
    <w:p>
      <w:pPr>
        <w:spacing w:after="0" w:line="61" w:lineRule="exact"/>
        <w:rPr>
          <w:rFonts w:ascii="Arial" w:cs="Arial" w:eastAsia="Arial" w:hAnsi="Arial"/>
          <w:sz w:val="18"/>
          <w:szCs w:val="18"/>
          <w:b w:val="1"/>
          <w:bCs w:val="1"/>
          <w:color w:val="auto"/>
        </w:rPr>
      </w:pPr>
    </w:p>
    <w:p>
      <w:pPr>
        <w:ind w:right="120" w:firstLine="430"/>
        <w:spacing w:after="0" w:line="259" w:lineRule="auto"/>
        <w:tabs>
          <w:tab w:leader="none" w:pos="70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Your responsibilities as Escrow Agent hereunder shall terminate if you shall cease to be the Company’s legal counsel or if you shall resign by written notice to the Company. In the event of any such termination, the Secretary of the Company shall automatically become the successor Escrow Agent unless the Company shall appoint another successor Escrow Agent, and Purchaser hereby confirms the appointment of such successor as Purchaser’s attorney-in-fact and agent to the full extent of your appointment.</w:t>
      </w:r>
    </w:p>
    <w:p>
      <w:pPr>
        <w:spacing w:after="0" w:line="77" w:lineRule="exact"/>
        <w:rPr>
          <w:rFonts w:ascii="Arial" w:cs="Arial" w:eastAsia="Arial" w:hAnsi="Arial"/>
          <w:sz w:val="18"/>
          <w:szCs w:val="18"/>
          <w:b w:val="1"/>
          <w:bCs w:val="1"/>
          <w:color w:val="auto"/>
        </w:rPr>
      </w:pPr>
    </w:p>
    <w:p>
      <w:pPr>
        <w:ind w:right="200" w:firstLine="430"/>
        <w:spacing w:after="0" w:line="277" w:lineRule="auto"/>
        <w:tabs>
          <w:tab w:leader="none" w:pos="71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61" w:lineRule="exact"/>
        <w:rPr>
          <w:rFonts w:ascii="Arial" w:cs="Arial" w:eastAsia="Arial" w:hAnsi="Arial"/>
          <w:sz w:val="18"/>
          <w:szCs w:val="18"/>
          <w:b w:val="1"/>
          <w:bCs w:val="1"/>
          <w:color w:val="auto"/>
        </w:rPr>
      </w:pPr>
    </w:p>
    <w:p>
      <w:pPr>
        <w:ind w:right="20" w:firstLine="430"/>
        <w:spacing w:after="0" w:line="301" w:lineRule="auto"/>
        <w:tabs>
          <w:tab w:leader="none" w:pos="710" w:val="left"/>
        </w:tabs>
        <w:numPr>
          <w:ilvl w:val="0"/>
          <w:numId w:val="325"/>
        </w:numPr>
        <w:rPr>
          <w:rFonts w:ascii="Arial" w:cs="Arial" w:eastAsia="Arial" w:hAnsi="Arial"/>
          <w:sz w:val="16"/>
          <w:szCs w:val="16"/>
          <w:b w:val="1"/>
          <w:bCs w:val="1"/>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60" w:top="274" w:right="439" w:bottom="1440" w:gutter="0" w:footer="0" w:header="0"/>
        </w:sectPr>
      </w:pPr>
    </w:p>
    <w:bookmarkStart w:id="430" w:name="page431"/>
    <w:bookmarkEnd w:id="430"/>
    <w:p>
      <w:pPr>
        <w:ind w:left="-20" w:right="120" w:firstLine="430"/>
        <w:spacing w:after="0" w:line="259" w:lineRule="auto"/>
        <w:tabs>
          <w:tab w:leader="none" w:pos="69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required or permitted hereunder shall be given in writing and shall be deemed effectively given upon personal delivery, including delivery by express courier or five days after deposit in the United States Post Office, by registered or certified mail with postage and fees prepaid, addressed to each of the other parties hereunto entitled at the following addresses, or at such other addresses as a party may designate by ten days’ advance written notice to each of the other parties hereto:</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220"/>
        </w:trPr>
        <w:tc>
          <w:tcPr>
            <w:tcW w:w="16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Personalis, Inc.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1330 O’Brien Drive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Menlo Park, California 94025</w:t>
            </w:r>
          </w:p>
        </w:tc>
        <w:tc>
          <w:tcPr>
            <w:tcW w:w="0" w:type="dxa"/>
            <w:vAlign w:val="bottom"/>
          </w:tcPr>
          <w:p>
            <w:pPr>
              <w:spacing w:after="0"/>
              <w:rPr>
                <w:sz w:val="1"/>
                <w:szCs w:val="1"/>
                <w:color w:val="auto"/>
              </w:rPr>
            </w:pPr>
          </w:p>
        </w:tc>
      </w:tr>
      <w:tr>
        <w:trPr>
          <w:trHeight w:val="445"/>
        </w:trPr>
        <w:tc>
          <w:tcPr>
            <w:tcW w:w="162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620" w:type="dxa"/>
            <w:vAlign w:val="bottom"/>
            <w:vMerge w:val="continue"/>
          </w:tcPr>
          <w:p>
            <w:pPr>
              <w:spacing w:after="0"/>
              <w:rPr>
                <w:sz w:val="24"/>
                <w:szCs w:val="24"/>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Cooley LLP</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Attn: James C. Kitch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3175 Hanover Street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Palo Alto, California 94304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right="480" w:firstLine="430"/>
        <w:spacing w:after="0" w:line="277" w:lineRule="auto"/>
        <w:tabs>
          <w:tab w:leader="none" w:pos="69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61" w:lineRule="exact"/>
        <w:rPr>
          <w:rFonts w:ascii="Arial" w:cs="Arial" w:eastAsia="Arial" w:hAnsi="Arial"/>
          <w:sz w:val="18"/>
          <w:szCs w:val="18"/>
          <w:b w:val="1"/>
          <w:bCs w:val="1"/>
          <w:color w:val="auto"/>
        </w:rPr>
      </w:pPr>
    </w:p>
    <w:p>
      <w:pPr>
        <w:ind w:left="-20" w:right="140" w:firstLine="430"/>
        <w:spacing w:after="0" w:line="259" w:lineRule="auto"/>
        <w:tabs>
          <w:tab w:leader="none" w:pos="69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You shall be entitled to employ such legal counsel and other experts (including without limitation the firm of Cooley LLP) as you may deem necessary properly to advise you in connection with your obligations hereunder. You may rely upon the advice of such counsel, and may pay such counsel reasonable compensation therefor. The Company shall be responsible for all fees generated by such legal counsel in connection with your obligations hereunder.</w:t>
      </w:r>
    </w:p>
    <w:p>
      <w:pPr>
        <w:spacing w:after="0" w:line="77" w:lineRule="exact"/>
        <w:rPr>
          <w:rFonts w:ascii="Arial" w:cs="Arial" w:eastAsia="Arial" w:hAnsi="Arial"/>
          <w:sz w:val="18"/>
          <w:szCs w:val="18"/>
          <w:b w:val="1"/>
          <w:bCs w:val="1"/>
          <w:color w:val="auto"/>
        </w:rPr>
      </w:pPr>
    </w:p>
    <w:p>
      <w:pPr>
        <w:ind w:left="-20" w:firstLine="430"/>
        <w:spacing w:after="0" w:line="259" w:lineRule="auto"/>
        <w:tabs>
          <w:tab w:leader="none" w:pos="69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Agreement and these Joint Escrow Instructions in whole or in part.</w:t>
      </w:r>
    </w:p>
    <w:p>
      <w:pPr>
        <w:spacing w:after="0" w:line="77" w:lineRule="exact"/>
        <w:rPr>
          <w:rFonts w:ascii="Arial" w:cs="Arial" w:eastAsia="Arial" w:hAnsi="Arial"/>
          <w:sz w:val="18"/>
          <w:szCs w:val="18"/>
          <w:b w:val="1"/>
          <w:bCs w:val="1"/>
          <w:color w:val="auto"/>
        </w:rPr>
      </w:pPr>
    </w:p>
    <w:p>
      <w:pPr>
        <w:ind w:left="-20" w:right="140" w:firstLine="430"/>
        <w:spacing w:after="0" w:line="277" w:lineRule="auto"/>
        <w:tabs>
          <w:tab w:leader="none" w:pos="69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interpreted and determined in accordance with the laws of the State of California, as such laws are applied by California courts to contracts made and to be performed entirely in California by residents of that state.</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480" w:top="274" w:right="479" w:bottom="1440" w:gutter="0" w:footer="0" w:header="0"/>
        </w:sectPr>
      </w:pPr>
    </w:p>
    <w:bookmarkStart w:id="431" w:name="page432"/>
    <w:bookmarkEnd w:id="431"/>
    <w:p>
      <w:pPr>
        <w:ind w:left="6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14605</wp:posOffset>
            </wp:positionV>
            <wp:extent cx="25095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-1905</wp:posOffset>
            </wp:positionV>
            <wp:extent cx="25095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01"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291465</wp:posOffset>
            </wp:positionV>
            <wp:extent cx="27927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27927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James C. Kitch</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99"/>
          </w:cols>
          <w:pgMar w:left="460" w:top="489" w:right="1440"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SEPARATE FROM 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VALUE RECEIVED and pursuant to that certain Early Exercise Stock Purchase Agreement between the undersigned (“</w:t>
      </w:r>
      <w:r>
        <w:rPr>
          <w:rFonts w:ascii="Arial" w:cs="Arial" w:eastAsia="Arial" w:hAnsi="Arial"/>
          <w:sz w:val="16"/>
          <w:szCs w:val="16"/>
          <w:u w:val="single" w:color="auto"/>
          <w:color w:val="auto"/>
        </w:rPr>
        <w:t>Purchaser</w:t>
      </w:r>
      <w:r>
        <w:rPr>
          <w:rFonts w:ascii="Arial" w:cs="Arial" w:eastAsia="Arial" w:hAnsi="Arial"/>
          <w:sz w:val="16"/>
          <w:szCs w:val="16"/>
          <w:color w:val="auto"/>
        </w:rPr>
        <w:t>”) and</w:t>
      </w:r>
    </w:p>
    <w:p>
      <w:pPr>
        <w:spacing w:after="0" w:line="46"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Personalis,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Agreement</w:t>
      </w:r>
      <w:r>
        <w:rPr>
          <w:rFonts w:ascii="Arial" w:cs="Arial" w:eastAsia="Arial" w:hAnsi="Arial"/>
          <w:sz w:val="16"/>
          <w:szCs w:val="16"/>
          <w:color w:val="auto"/>
        </w:rPr>
        <w:t>”), Purchaser hereby sells, assigns and transfers unto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-19685</wp:posOffset>
            </wp:positionV>
            <wp:extent cx="68516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ind w:left="3560" w:hanging="783"/>
        <w:spacing w:after="0"/>
        <w:tabs>
          <w:tab w:leader="none" w:pos="35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shares of the Common Stock of the Company standing in Purchaser’s name on the Company’s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226441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264410" cy="8255"/>
                    </a:xfrm>
                    <a:prstGeom prst="rect">
                      <a:avLst/>
                    </a:prstGeom>
                    <a:noFill/>
                  </pic:spPr>
                </pic:pic>
              </a:graphicData>
            </a:graphic>
          </wp:anchor>
        </w:drawing>
      </w:r>
    </w:p>
    <w:p>
      <w:pPr>
        <w:spacing w:after="0" w:line="12" w:lineRule="exact"/>
        <w:rPr>
          <w:sz w:val="20"/>
          <w:szCs w:val="20"/>
          <w:color w:val="auto"/>
        </w:rPr>
      </w:pPr>
    </w:p>
    <w:p>
      <w:pPr>
        <w:spacing w:after="0"/>
        <w:tabs>
          <w:tab w:leader="none" w:pos="2840" w:val="left"/>
          <w:tab w:leader="none" w:pos="8480" w:val="left"/>
        </w:tabs>
        <w:rPr>
          <w:sz w:val="20"/>
          <w:szCs w:val="20"/>
          <w:color w:val="auto"/>
        </w:rPr>
      </w:pPr>
      <w:r>
        <w:rPr>
          <w:rFonts w:ascii="Arial" w:cs="Arial" w:eastAsia="Arial" w:hAnsi="Arial"/>
          <w:sz w:val="18"/>
          <w:szCs w:val="18"/>
          <w:color w:val="auto"/>
        </w:rPr>
        <w:t>and represented by Certificate No.</w:t>
      </w:r>
      <w:r>
        <w:rPr>
          <w:sz w:val="20"/>
          <w:szCs w:val="20"/>
          <w:color w:val="auto"/>
        </w:rPr>
        <w:tab/>
      </w:r>
      <w:r>
        <w:rPr>
          <w:rFonts w:ascii="Arial" w:cs="Arial" w:eastAsia="Arial" w:hAnsi="Arial"/>
          <w:sz w:val="18"/>
          <w:szCs w:val="18"/>
          <w:color w:val="auto"/>
        </w:rPr>
        <w:t>, and does hereby irrevocably constitute and appoint</w:t>
      </w:r>
      <w:r>
        <w:rPr>
          <w:sz w:val="20"/>
          <w:szCs w:val="20"/>
          <w:color w:val="auto"/>
        </w:rPr>
        <w:tab/>
      </w:r>
      <w:r>
        <w:rPr>
          <w:rFonts w:ascii="Arial" w:cs="Arial" w:eastAsia="Arial" w:hAnsi="Arial"/>
          <w:sz w:val="16"/>
          <w:szCs w:val="16"/>
          <w:color w:val="auto"/>
        </w:rPr>
        <w:t>to transfer said stock on the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-19685</wp:posOffset>
            </wp:positionV>
            <wp:extent cx="22860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-19685</wp:posOffset>
            </wp:positionV>
            <wp:extent cx="114173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ind w:right="820"/>
        <w:spacing w:after="0" w:line="260" w:lineRule="auto"/>
        <w:rPr>
          <w:sz w:val="20"/>
          <w:szCs w:val="20"/>
          <w:color w:val="auto"/>
        </w:rPr>
      </w:pPr>
      <w:r>
        <w:rPr>
          <w:rFonts w:ascii="Arial" w:cs="Arial" w:eastAsia="Arial" w:hAnsi="Arial"/>
          <w:sz w:val="18"/>
          <w:szCs w:val="18"/>
          <w:color w:val="auto"/>
        </w:rPr>
        <w:t>of the Company with full power of substitution in the premises. THIS ASSIGNMENT MAY ONLY BE USED AS AUTHORIZED BY THE AGREEMENT AND THE EXHIBITS THERETO.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-10160</wp:posOffset>
            </wp:positionV>
            <wp:extent cx="114173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288925</wp:posOffset>
            </wp:positionV>
            <wp:extent cx="279273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288925</wp:posOffset>
            </wp:positionV>
            <wp:extent cx="279273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Spouse of Stockholder (if applicable)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69" w:right="479" w:bottom="1440" w:gutter="0" w:footer="0" w:header="0"/>
        </w:sectPr>
      </w:pPr>
    </w:p>
    <w:bookmarkStart w:id="433" w:name="page434"/>
    <w:bookmarkEnd w:id="43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 AND STATEMENT OF DECISION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REGARDING SECTION 83(b) ELECTION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has entered a stock purchase agreement with Personalis,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which the</w:t>
      </w:r>
    </w:p>
    <w:p>
      <w:pPr>
        <w:spacing w:after="0" w:line="4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undersigned is purchasing shares of Common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In connection with the purchase of the Shares, the undersigned hereby represents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-172720</wp:posOffset>
            </wp:positionV>
            <wp:extent cx="45656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165" w:lineRule="exact"/>
        <w:rPr>
          <w:sz w:val="20"/>
          <w:szCs w:val="20"/>
          <w:color w:val="auto"/>
        </w:rPr>
      </w:pPr>
    </w:p>
    <w:p>
      <w:pPr>
        <w:ind w:left="740" w:hanging="310"/>
        <w:spacing w:after="0"/>
        <w:tabs>
          <w:tab w:leader="none" w:pos="7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36" w:lineRule="exact"/>
        <w:rPr>
          <w:rFonts w:ascii="Arial" w:cs="Arial" w:eastAsia="Arial" w:hAnsi="Arial"/>
          <w:sz w:val="17"/>
          <w:szCs w:val="17"/>
          <w:color w:val="auto"/>
        </w:rPr>
      </w:pPr>
    </w:p>
    <w:p>
      <w:pPr>
        <w:ind w:left="740" w:hanging="310"/>
        <w:spacing w:after="0"/>
        <w:tabs>
          <w:tab w:leader="none" w:pos="7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Arial" w:cs="Arial" w:eastAsia="Arial" w:hAnsi="Arial"/>
                <w:sz w:val="18"/>
                <w:szCs w:val="18"/>
                <w:color w:val="auto"/>
              </w:rPr>
              <w:t>(a)</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w w:val="89"/>
              </w:rPr>
              <w:t>has consulted, and has been fully advised by, the undersigned’s own tax advisor,</w:t>
            </w:r>
          </w:p>
        </w:tc>
        <w:tc>
          <w:tcPr>
            <w:tcW w:w="222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84"/>
              </w:rPr>
              <w:t>, whose business address</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ind w:left="120"/>
              <w:spacing w:after="0" w:line="196" w:lineRule="exact"/>
              <w:rPr>
                <w:sz w:val="20"/>
                <w:szCs w:val="20"/>
                <w:color w:val="auto"/>
              </w:rPr>
            </w:pPr>
            <w:r>
              <w:rPr>
                <w:rFonts w:ascii="Arial" w:cs="Arial" w:eastAsia="Arial" w:hAnsi="Arial"/>
                <w:sz w:val="18"/>
                <w:szCs w:val="18"/>
                <w:color w:val="auto"/>
              </w:rPr>
              <w:t>is</w:t>
            </w:r>
          </w:p>
        </w:tc>
        <w:tc>
          <w:tcPr>
            <w:tcW w:w="2200" w:type="dxa"/>
            <w:vAlign w:val="bottom"/>
            <w:tcBorders>
              <w:bottom w:val="single" w:sz="8" w:color="auto"/>
            </w:tcBorders>
          </w:tcPr>
          <w:p>
            <w:pPr>
              <w:spacing w:after="0"/>
              <w:rPr>
                <w:sz w:val="17"/>
                <w:szCs w:val="17"/>
                <w:color w:val="auto"/>
              </w:rPr>
            </w:pPr>
          </w:p>
        </w:tc>
        <w:tc>
          <w:tcPr>
            <w:tcW w:w="7440" w:type="dxa"/>
            <w:vAlign w:val="bottom"/>
            <w:gridSpan w:val="3"/>
          </w:tcPr>
          <w:p>
            <w:pPr>
              <w:spacing w:after="0" w:line="196" w:lineRule="exact"/>
              <w:rPr>
                <w:sz w:val="20"/>
                <w:szCs w:val="20"/>
                <w:color w:val="auto"/>
              </w:rPr>
            </w:pPr>
            <w:r>
              <w:rPr>
                <w:rFonts w:ascii="Arial" w:cs="Arial" w:eastAsia="Arial" w:hAnsi="Arial"/>
                <w:sz w:val="18"/>
                <w:szCs w:val="18"/>
                <w:color w:val="auto"/>
                <w:w w:val="93"/>
              </w:rPr>
              <w:t>, regarding the federal, state and local tax consequences of purchasing the Shares, and particularly</w:t>
            </w:r>
          </w:p>
        </w:tc>
      </w:tr>
    </w:tbl>
    <w:p>
      <w:pPr>
        <w:spacing w:after="0" w:line="13"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62" w:lineRule="exact"/>
        <w:rPr>
          <w:sz w:val="20"/>
          <w:szCs w:val="20"/>
          <w:color w:val="auto"/>
        </w:rPr>
      </w:pPr>
    </w:p>
    <w:p>
      <w:pPr>
        <w:ind w:left="1100" w:hanging="681"/>
        <w:spacing w:after="0"/>
        <w:tabs>
          <w:tab w:leader="none" w:pos="11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-10160</wp:posOffset>
            </wp:positionV>
            <wp:extent cx="22860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The undersigned hereby states that the undersigned has decided [check as applicable]:</w:t>
      </w:r>
    </w:p>
    <w:p>
      <w:pPr>
        <w:spacing w:after="0" w:line="130" w:lineRule="exact"/>
        <w:rPr>
          <w:sz w:val="20"/>
          <w:szCs w:val="20"/>
          <w:color w:val="auto"/>
        </w:rPr>
      </w:pPr>
    </w:p>
    <w:p>
      <w:pPr>
        <w:jc w:val="both"/>
        <w:ind w:left="1100" w:right="120" w:hanging="670"/>
        <w:spacing w:after="0" w:line="263" w:lineRule="auto"/>
        <w:tabs>
          <w:tab w:leader="none" w:pos="11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to make an election pursuant to Section 83(b) of the Code, and is submitting to the Company, together with the undersigned’s executed Common Stock Purchase Agreement, an executed form entitled “Election Under Section 83(b) of the Internal Revenue Code of 1986;” or</w:t>
      </w:r>
    </w:p>
    <w:p>
      <w:pPr>
        <w:spacing w:after="0" w:line="74" w:lineRule="exact"/>
        <w:rPr>
          <w:rFonts w:ascii="Arial" w:cs="Arial" w:eastAsia="Arial" w:hAnsi="Arial"/>
          <w:sz w:val="18"/>
          <w:szCs w:val="18"/>
          <w:color w:val="auto"/>
        </w:rPr>
      </w:pPr>
    </w:p>
    <w:p>
      <w:pPr>
        <w:ind w:left="1100" w:hanging="681"/>
        <w:spacing w:after="0"/>
        <w:tabs>
          <w:tab w:leader="none" w:pos="11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pacing w:after="0" w:line="224" w:lineRule="exact"/>
        <w:rPr>
          <w:rFonts w:ascii="Arial" w:cs="Arial" w:eastAsia="Arial" w:hAnsi="Arial"/>
          <w:sz w:val="18"/>
          <w:szCs w:val="18"/>
          <w:color w:val="auto"/>
        </w:rPr>
      </w:pPr>
    </w:p>
    <w:p>
      <w:pPr>
        <w:jc w:val="both"/>
        <w:ind w:right="40" w:firstLine="430"/>
        <w:spacing w:after="0" w:line="263" w:lineRule="auto"/>
        <w:tabs>
          <w:tab w:leader="none" w:pos="7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-1064895</wp:posOffset>
            </wp:positionV>
            <wp:extent cx="22860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-584835</wp:posOffset>
            </wp:positionV>
            <wp:extent cx="22860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-1905</wp:posOffset>
            </wp:positionV>
            <wp:extent cx="662114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621145" cy="8255"/>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-27305</wp:posOffset>
            </wp:positionV>
            <wp:extent cx="257810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578100" cy="8255"/>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-1905</wp:posOffset>
            </wp:positionV>
            <wp:extent cx="25095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Spouse of Stockholder</w:t>
      </w:r>
    </w:p>
    <w:p>
      <w:pPr>
        <w:sectPr>
          <w:pgSz w:w="11900" w:h="16838" w:orient="portrait"/>
          <w:cols w:equalWidth="0" w:num="1">
            <w:col w:w="10920"/>
          </w:cols>
          <w:pgMar w:left="460" w:top="270" w:right="519" w:bottom="1440" w:gutter="0" w:footer="0" w:header="0"/>
        </w:sectPr>
      </w:pPr>
    </w:p>
    <w:bookmarkStart w:id="434" w:name="page435"/>
    <w:bookmarkEnd w:id="434"/>
    <w:p>
      <w:pPr>
        <w:jc w:val="center"/>
        <w:ind w:right="-2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UNDER SECTION 83(b)</w:t>
      </w:r>
    </w:p>
    <w:p>
      <w:pPr>
        <w:spacing w:after="0" w:line="2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u w:val="single" w:color="auto"/>
          <w:color w:val="auto"/>
        </w:rPr>
        <w:t>OF THE INTERNAL REVENUE CODE OF 1986</w:t>
      </w:r>
    </w:p>
    <w:p>
      <w:pPr>
        <w:spacing w:after="0" w:line="210" w:lineRule="exact"/>
        <w:rPr>
          <w:sz w:val="20"/>
          <w:szCs w:val="20"/>
          <w:color w:val="auto"/>
        </w:rPr>
      </w:pPr>
    </w:p>
    <w:p>
      <w:pPr>
        <w:ind w:left="10" w:firstLine="440"/>
        <w:spacing w:after="0" w:line="263" w:lineRule="auto"/>
        <w:rPr>
          <w:sz w:val="20"/>
          <w:szCs w:val="20"/>
          <w:color w:val="auto"/>
        </w:rPr>
      </w:pPr>
      <w:r>
        <w:rPr>
          <w:rFonts w:ascii="Arial" w:cs="Arial" w:eastAsia="Arial" w:hAnsi="Arial"/>
          <w:sz w:val="18"/>
          <w:szCs w:val="18"/>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210" w:lineRule="exact"/>
        <w:rPr>
          <w:sz w:val="20"/>
          <w:szCs w:val="20"/>
          <w:color w:val="auto"/>
        </w:rPr>
      </w:pPr>
    </w:p>
    <w:p>
      <w:pPr>
        <w:ind w:left="430" w:hanging="430"/>
        <w:spacing w:after="0"/>
        <w:tabs>
          <w:tab w:leader="none" w:pos="43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116" w:lineRule="exact"/>
        <w:rPr>
          <w:rFonts w:ascii="Arial" w:cs="Arial" w:eastAsia="Arial" w:hAnsi="Arial"/>
          <w:sz w:val="18"/>
          <w:szCs w:val="18"/>
          <w:color w:val="auto"/>
        </w:rPr>
      </w:pPr>
    </w:p>
    <w:p>
      <w:pPr>
        <w:ind w:left="450" w:right="8720"/>
        <w:spacing w:after="0" w:line="418" w:lineRule="auto"/>
        <w:rPr>
          <w:rFonts w:ascii="Arial" w:cs="Arial" w:eastAsia="Arial" w:hAnsi="Arial"/>
          <w:sz w:val="18"/>
          <w:szCs w:val="18"/>
          <w:color w:val="auto"/>
        </w:rPr>
      </w:pPr>
      <w:r>
        <w:rPr>
          <w:rFonts w:ascii="Arial" w:cs="Arial" w:eastAsia="Arial" w:hAnsi="Arial"/>
          <w:sz w:val="17"/>
          <w:szCs w:val="17"/>
          <w:color w:val="auto"/>
        </w:rPr>
        <w:t>NAME OF TAXPAYER: NAME OF SPOUSE: ADDRESS:</w:t>
      </w:r>
    </w:p>
    <w:p>
      <w:pPr>
        <w:spacing w:after="0" w:line="57" w:lineRule="exact"/>
        <w:rPr>
          <w:rFonts w:ascii="Arial" w:cs="Arial" w:eastAsia="Arial" w:hAnsi="Arial"/>
          <w:sz w:val="18"/>
          <w:szCs w:val="18"/>
          <w:color w:val="auto"/>
        </w:rPr>
      </w:pPr>
    </w:p>
    <w:p>
      <w:pPr>
        <w:ind w:left="450" w:right="7480"/>
        <w:spacing w:after="0" w:line="380"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spacing w:after="0" w:line="1" w:lineRule="exact"/>
        <w:rPr>
          <w:rFonts w:ascii="Arial" w:cs="Arial" w:eastAsia="Arial" w:hAnsi="Arial"/>
          <w:sz w:val="18"/>
          <w:szCs w:val="18"/>
          <w:color w:val="auto"/>
        </w:rPr>
      </w:pPr>
    </w:p>
    <w:p>
      <w:pPr>
        <w:ind w:left="430" w:hanging="430"/>
        <w:spacing w:after="0"/>
        <w:tabs>
          <w:tab w:leader="none" w:pos="43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117" w:lineRule="exact"/>
        <w:rPr>
          <w:sz w:val="20"/>
          <w:szCs w:val="20"/>
          <w:color w:val="auto"/>
        </w:rPr>
      </w:pPr>
    </w:p>
    <w:p>
      <w:pPr>
        <w:ind w:left="1390"/>
        <w:spacing w:after="0"/>
        <w:rPr>
          <w:sz w:val="20"/>
          <w:szCs w:val="20"/>
          <w:color w:val="auto"/>
        </w:rPr>
      </w:pPr>
      <w:r>
        <w:rPr>
          <w:rFonts w:ascii="Arial" w:cs="Arial" w:eastAsia="Arial" w:hAnsi="Arial"/>
          <w:sz w:val="18"/>
          <w:szCs w:val="18"/>
          <w:color w:val="auto"/>
        </w:rPr>
        <w:t>shares of the Common Stock of Personalis, Inc., a Delaware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-10160</wp:posOffset>
            </wp:positionV>
            <wp:extent cx="5708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10" w:lineRule="exact"/>
        <w:rPr>
          <w:sz w:val="20"/>
          <w:szCs w:val="20"/>
          <w:color w:val="auto"/>
        </w:rPr>
      </w:pPr>
    </w:p>
    <w:p>
      <w:pPr>
        <w:ind w:left="430" w:hanging="430"/>
        <w:spacing w:after="0"/>
        <w:tabs>
          <w:tab w:leader="none" w:pos="43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6" w:lineRule="exact"/>
        <w:rPr>
          <w:rFonts w:ascii="Arial" w:cs="Arial" w:eastAsia="Arial" w:hAnsi="Arial"/>
          <w:sz w:val="18"/>
          <w:szCs w:val="18"/>
          <w:color w:val="auto"/>
        </w:rPr>
      </w:pPr>
    </w:p>
    <w:p>
      <w:pPr>
        <w:ind w:left="450"/>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fair market value at the time of transfer, determined without regard to any restriction other than a restriction which by its terms will never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-636905</wp:posOffset>
            </wp:positionV>
            <wp:extent cx="5708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w w:val="89"/>
              </w:rPr>
              <w:t>lapse, of such property is: $</w:t>
            </w:r>
          </w:p>
        </w:tc>
        <w:tc>
          <w:tcPr>
            <w:tcW w:w="360" w:type="dxa"/>
            <w:vAlign w:val="bottom"/>
            <w:tcBorders>
              <w:bottom w:val="single" w:sz="8" w:color="auto"/>
            </w:tcBorders>
          </w:tcPr>
          <w:p>
            <w:pPr>
              <w:spacing w:after="0"/>
              <w:rPr>
                <w:sz w:val="17"/>
                <w:szCs w:val="17"/>
                <w:color w:val="auto"/>
              </w:rPr>
            </w:pPr>
          </w:p>
        </w:tc>
        <w:tc>
          <w:tcPr>
            <w:tcW w:w="920" w:type="dxa"/>
            <w:vAlign w:val="bottom"/>
          </w:tcPr>
          <w:p>
            <w:pPr>
              <w:jc w:val="right"/>
              <w:ind w:right="770"/>
              <w:spacing w:after="0"/>
              <w:rPr>
                <w:sz w:val="20"/>
                <w:szCs w:val="20"/>
                <w:color w:val="auto"/>
              </w:rPr>
            </w:pPr>
            <w:r>
              <w:rPr>
                <w:rFonts w:ascii="Arial" w:cs="Arial" w:eastAsia="Arial" w:hAnsi="Arial"/>
                <w:sz w:val="18"/>
                <w:szCs w:val="18"/>
                <w:color w:val="auto"/>
                <w:w w:val="78"/>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7"/>
        </w:trPr>
        <w:tc>
          <w:tcPr>
            <w:tcW w:w="280" w:type="dxa"/>
            <w:vAlign w:val="bottom"/>
          </w:tcPr>
          <w:p>
            <w:pPr>
              <w:jc w:val="right"/>
              <w:ind w:right="76"/>
              <w:spacing w:after="0"/>
              <w:rPr>
                <w:sz w:val="20"/>
                <w:szCs w:val="20"/>
                <w:color w:val="auto"/>
              </w:rPr>
            </w:pPr>
            <w:r>
              <w:rPr>
                <w:rFonts w:ascii="Arial" w:cs="Arial" w:eastAsia="Arial" w:hAnsi="Arial"/>
                <w:sz w:val="17"/>
                <w:szCs w:val="17"/>
                <w:color w:val="auto"/>
                <w:w w:val="70"/>
              </w:rPr>
              <w:t>6.</w:t>
            </w:r>
          </w:p>
        </w:tc>
        <w:tc>
          <w:tcPr>
            <w:tcW w:w="3400" w:type="dxa"/>
            <w:vAlign w:val="bottom"/>
            <w:gridSpan w:val="3"/>
          </w:tcPr>
          <w:p>
            <w:pPr>
              <w:ind w:left="140"/>
              <w:spacing w:after="0"/>
              <w:rPr>
                <w:sz w:val="20"/>
                <w:szCs w:val="20"/>
                <w:color w:val="auto"/>
              </w:rPr>
            </w:pPr>
            <w:r>
              <w:rPr>
                <w:rFonts w:ascii="Arial" w:cs="Arial" w:eastAsia="Arial" w:hAnsi="Arial"/>
                <w:sz w:val="18"/>
                <w:szCs w:val="18"/>
                <w:color w:val="auto"/>
                <w:w w:val="91"/>
              </w:rPr>
              <w:t>The amount (if any) paid for such property: $</w:t>
            </w:r>
          </w:p>
        </w:tc>
        <w:tc>
          <w:tcPr>
            <w:tcW w:w="36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28" w:lineRule="exact"/>
        <w:rPr>
          <w:sz w:val="20"/>
          <w:szCs w:val="20"/>
          <w:color w:val="auto"/>
        </w:rPr>
      </w:pPr>
    </w:p>
    <w:p>
      <w:pPr>
        <w:ind w:left="10" w:right="340"/>
        <w:spacing w:after="0" w:line="263" w:lineRule="auto"/>
        <w:rPr>
          <w:sz w:val="20"/>
          <w:szCs w:val="20"/>
          <w:color w:val="auto"/>
        </w:rPr>
      </w:pPr>
      <w:r>
        <w:rPr>
          <w:rFonts w:ascii="Arial" w:cs="Arial" w:eastAsia="Arial" w:hAnsi="Arial"/>
          <w:sz w:val="18"/>
          <w:szCs w:val="18"/>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79"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-1905</wp:posOffset>
            </wp:positionV>
            <wp:extent cx="662114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621145" cy="8255"/>
                    </a:xfrm>
                    <a:prstGeom prst="rect">
                      <a:avLst/>
                    </a:prstGeom>
                    <a:noFill/>
                  </pic:spPr>
                </pic:pic>
              </a:graphicData>
            </a:graphic>
          </wp:anchor>
        </w:drawing>
      </w:r>
    </w:p>
    <w:p>
      <w:pPr>
        <w:spacing w:after="0" w:line="3" w:lineRule="exact"/>
        <w:rPr>
          <w:sz w:val="20"/>
          <w:szCs w:val="20"/>
          <w:color w:val="auto"/>
        </w:rPr>
      </w:pPr>
    </w:p>
    <w:p>
      <w:pPr>
        <w:ind w:left="7050"/>
        <w:spacing w:after="0"/>
        <w:rPr>
          <w:sz w:val="20"/>
          <w:szCs w:val="20"/>
          <w:color w:val="auto"/>
        </w:rPr>
      </w:pPr>
      <w:r>
        <w:rPr>
          <w:rFonts w:ascii="Arial" w:cs="Arial" w:eastAsia="Arial" w:hAnsi="Arial"/>
          <w:sz w:val="18"/>
          <w:szCs w:val="18"/>
          <w:color w:val="auto"/>
        </w:rPr>
        <w:t>Taxpayer</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-27305</wp:posOffset>
            </wp:positionV>
            <wp:extent cx="25781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7810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-1905</wp:posOffset>
            </wp:positionV>
            <wp:extent cx="25095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3" w:lineRule="exact"/>
        <w:rPr>
          <w:sz w:val="20"/>
          <w:szCs w:val="20"/>
          <w:color w:val="auto"/>
        </w:rPr>
      </w:pPr>
    </w:p>
    <w:p>
      <w:pPr>
        <w:ind w:left="7050"/>
        <w:spacing w:after="0"/>
        <w:rPr>
          <w:sz w:val="20"/>
          <w:szCs w:val="20"/>
          <w:color w:val="auto"/>
        </w:rPr>
      </w:pPr>
      <w:r>
        <w:rPr>
          <w:rFonts w:ascii="Arial" w:cs="Arial" w:eastAsia="Arial" w:hAnsi="Arial"/>
          <w:sz w:val="18"/>
          <w:szCs w:val="18"/>
          <w:color w:val="auto"/>
        </w:rPr>
        <w:t>Spouse of Taxpayer</w:t>
      </w:r>
    </w:p>
    <w:p>
      <w:pPr>
        <w:spacing w:after="0" w:line="14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70"/>
          </w:cols>
          <w:pgMar w:left="450" w:top="270" w:right="47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LEASE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left="1040" w:right="2040"/>
        <w:spacing w:after="0" w:line="266" w:lineRule="auto"/>
        <w:rPr>
          <w:sz w:val="20"/>
          <w:szCs w:val="20"/>
          <w:color w:val="auto"/>
        </w:rPr>
      </w:pPr>
      <w:r>
        <w:rPr>
          <w:rFonts w:ascii="Arial" w:cs="Arial" w:eastAsia="Arial" w:hAnsi="Arial"/>
          <w:sz w:val="18"/>
          <w:szCs w:val="18"/>
          <w:b w:val="1"/>
          <w:bCs w:val="1"/>
          <w:color w:val="auto"/>
        </w:rPr>
        <w:t>MENLO PREHC I, LLC, a Delaware limited liability company, MENLO PREPI I, LLC, a Delaware limited liability company, and TPI INVESTORS 9, LLC, a California limited liability company, LESSOR</w:t>
      </w:r>
    </w:p>
    <w:p>
      <w:pPr>
        <w:spacing w:after="0" w:line="17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PERSONALIS, INC., LESSEE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Menlo Business Park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1330 O’Brien and 1360 O’Brien (2nd floor)</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Menlo Park, California 94025</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February 2, 2015</w:t>
      </w:r>
    </w:p>
    <w:p>
      <w:pPr>
        <w:sectPr>
          <w:pgSz w:w="11900" w:h="16838" w:orient="portrait"/>
          <w:cols w:equalWidth="0" w:num="1">
            <w:col w:w="10020"/>
          </w:cols>
          <w:pgMar w:left="1440" w:top="122" w:right="43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060" w:type="dxa"/>
            <w:vAlign w:val="bottom"/>
          </w:tcPr>
          <w:p>
            <w:pPr>
              <w:ind w:left="45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59"/>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8060" w:type="dxa"/>
            <w:vAlign w:val="bottom"/>
          </w:tcPr>
          <w:p>
            <w:pPr>
              <w:ind w:left="100"/>
              <w:spacing w:after="0"/>
              <w:rPr>
                <w:sz w:val="20"/>
                <w:szCs w:val="20"/>
                <w:color w:val="auto"/>
              </w:rPr>
            </w:pPr>
            <w:r>
              <w:rPr>
                <w:rFonts w:ascii="Arial" w:cs="Arial" w:eastAsia="Arial" w:hAnsi="Arial"/>
                <w:sz w:val="18"/>
                <w:szCs w:val="18"/>
                <w:color w:val="auto"/>
              </w:rPr>
              <w:t>Lease</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8060" w:type="dxa"/>
            <w:vAlign w:val="bottom"/>
          </w:tcPr>
          <w:p>
            <w:pPr>
              <w:ind w:left="100"/>
              <w:spacing w:after="0"/>
              <w:rPr>
                <w:sz w:val="20"/>
                <w:szCs w:val="20"/>
                <w:color w:val="auto"/>
              </w:rPr>
            </w:pPr>
            <w:r>
              <w:rPr>
                <w:rFonts w:ascii="Arial" w:cs="Arial" w:eastAsia="Arial" w:hAnsi="Arial"/>
                <w:sz w:val="18"/>
                <w:szCs w:val="18"/>
                <w:color w:val="auto"/>
              </w:rPr>
              <w:t>Term</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8060" w:type="dxa"/>
            <w:vAlign w:val="bottom"/>
          </w:tcPr>
          <w:p>
            <w:pPr>
              <w:ind w:left="100"/>
              <w:spacing w:after="0"/>
              <w:rPr>
                <w:sz w:val="20"/>
                <w:szCs w:val="20"/>
                <w:color w:val="auto"/>
              </w:rPr>
            </w:pPr>
            <w:r>
              <w:rPr>
                <w:rFonts w:ascii="Arial" w:cs="Arial" w:eastAsia="Arial" w:hAnsi="Arial"/>
                <w:sz w:val="18"/>
                <w:szCs w:val="18"/>
                <w:color w:val="auto"/>
              </w:rPr>
              <w:t>Option to Extend</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8060" w:type="dxa"/>
            <w:vAlign w:val="bottom"/>
          </w:tcPr>
          <w:p>
            <w:pPr>
              <w:ind w:left="100"/>
              <w:spacing w:after="0"/>
              <w:rPr>
                <w:sz w:val="20"/>
                <w:szCs w:val="20"/>
                <w:color w:val="auto"/>
              </w:rPr>
            </w:pPr>
            <w:r>
              <w:rPr>
                <w:rFonts w:ascii="Arial" w:cs="Arial" w:eastAsia="Arial" w:hAnsi="Arial"/>
                <w:sz w:val="18"/>
                <w:szCs w:val="18"/>
                <w:color w:val="auto"/>
              </w:rPr>
              <w:t>Monthly Base Rent; Required Deposits upon Execution of Lease</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tcPr>
          <w:p>
            <w:pPr>
              <w:ind w:left="100"/>
              <w:spacing w:after="0"/>
              <w:rPr>
                <w:sz w:val="20"/>
                <w:szCs w:val="20"/>
                <w:color w:val="auto"/>
              </w:rPr>
            </w:pPr>
            <w:r>
              <w:rPr>
                <w:rFonts w:ascii="Arial" w:cs="Arial" w:eastAsia="Arial" w:hAnsi="Arial"/>
                <w:sz w:val="18"/>
                <w:szCs w:val="18"/>
                <w:color w:val="auto"/>
              </w:rPr>
              <w:t>Additional Rent; Operating Expenses and Taxes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tcPr>
          <w:p>
            <w:pPr>
              <w:ind w:left="100"/>
              <w:spacing w:after="0"/>
              <w:rPr>
                <w:sz w:val="20"/>
                <w:szCs w:val="20"/>
                <w:color w:val="auto"/>
              </w:rPr>
            </w:pPr>
            <w:r>
              <w:rPr>
                <w:rFonts w:ascii="Arial" w:cs="Arial" w:eastAsia="Arial" w:hAnsi="Arial"/>
                <w:sz w:val="18"/>
                <w:szCs w:val="18"/>
                <w:color w:val="auto"/>
              </w:rPr>
              <w:t>Payment of Rent</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8060" w:type="dxa"/>
            <w:vAlign w:val="bottom"/>
          </w:tcPr>
          <w:p>
            <w:pPr>
              <w:ind w:left="100"/>
              <w:spacing w:after="0"/>
              <w:rPr>
                <w:sz w:val="20"/>
                <w:szCs w:val="20"/>
                <w:color w:val="auto"/>
              </w:rPr>
            </w:pPr>
            <w:r>
              <w:rPr>
                <w:rFonts w:ascii="Arial" w:cs="Arial" w:eastAsia="Arial" w:hAnsi="Arial"/>
                <w:sz w:val="18"/>
                <w:szCs w:val="18"/>
                <w:color w:val="auto"/>
              </w:rPr>
              <w:t>Security Deposit</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8060" w:type="dxa"/>
            <w:vAlign w:val="bottom"/>
          </w:tcPr>
          <w:p>
            <w:pPr>
              <w:ind w:left="100"/>
              <w:spacing w:after="0"/>
              <w:rPr>
                <w:sz w:val="20"/>
                <w:szCs w:val="20"/>
                <w:color w:val="auto"/>
              </w:rPr>
            </w:pPr>
            <w:r>
              <w:rPr>
                <w:rFonts w:ascii="Arial" w:cs="Arial" w:eastAsia="Arial" w:hAnsi="Arial"/>
                <w:sz w:val="18"/>
                <w:szCs w:val="18"/>
                <w:color w:val="auto"/>
              </w:rPr>
              <w:t>Use</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8060" w:type="dxa"/>
            <w:vAlign w:val="bottom"/>
          </w:tcPr>
          <w:p>
            <w:pPr>
              <w:ind w:left="100"/>
              <w:spacing w:after="0"/>
              <w:rPr>
                <w:sz w:val="20"/>
                <w:szCs w:val="20"/>
                <w:color w:val="auto"/>
              </w:rPr>
            </w:pPr>
            <w:r>
              <w:rPr>
                <w:rFonts w:ascii="Arial" w:cs="Arial" w:eastAsia="Arial" w:hAnsi="Arial"/>
                <w:sz w:val="18"/>
                <w:szCs w:val="18"/>
                <w:color w:val="auto"/>
              </w:rPr>
              <w:t>Hazardous Materials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8060" w:type="dxa"/>
            <w:vAlign w:val="bottom"/>
          </w:tcPr>
          <w:p>
            <w:pPr>
              <w:ind w:left="100"/>
              <w:spacing w:after="0"/>
              <w:rPr>
                <w:sz w:val="20"/>
                <w:szCs w:val="20"/>
                <w:color w:val="auto"/>
              </w:rPr>
            </w:pPr>
            <w:r>
              <w:rPr>
                <w:rFonts w:ascii="Arial" w:cs="Arial" w:eastAsia="Arial" w:hAnsi="Arial"/>
                <w:sz w:val="18"/>
                <w:szCs w:val="18"/>
                <w:color w:val="auto"/>
              </w:rPr>
              <w:t>Taxes on Lessee’s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80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806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8060" w:type="dxa"/>
            <w:vAlign w:val="bottom"/>
          </w:tcPr>
          <w:p>
            <w:pPr>
              <w:ind w:left="100"/>
              <w:spacing w:after="0"/>
              <w:rPr>
                <w:sz w:val="20"/>
                <w:szCs w:val="20"/>
                <w:color w:val="auto"/>
              </w:rPr>
            </w:pPr>
            <w:r>
              <w:rPr>
                <w:rFonts w:ascii="Arial" w:cs="Arial" w:eastAsia="Arial" w:hAnsi="Arial"/>
                <w:sz w:val="18"/>
                <w:szCs w:val="18"/>
                <w:color w:val="auto"/>
              </w:rPr>
              <w:t>Tenant Improvements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8060" w:type="dxa"/>
            <w:vAlign w:val="bottom"/>
          </w:tcPr>
          <w:p>
            <w:pPr>
              <w:ind w:left="100"/>
              <w:spacing w:after="0"/>
              <w:rPr>
                <w:sz w:val="20"/>
                <w:szCs w:val="20"/>
                <w:color w:val="auto"/>
              </w:rPr>
            </w:pPr>
            <w:r>
              <w:rPr>
                <w:rFonts w:ascii="Arial" w:cs="Arial" w:eastAsia="Arial" w:hAnsi="Arial"/>
                <w:sz w:val="18"/>
                <w:szCs w:val="18"/>
                <w:color w:val="auto"/>
              </w:rPr>
              <w:t>Maintenance and Repairs; Alterations; Surrender and Restoration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8060" w:type="dxa"/>
            <w:vAlign w:val="bottom"/>
          </w:tcPr>
          <w:p>
            <w:pPr>
              <w:ind w:left="100"/>
              <w:spacing w:after="0"/>
              <w:rPr>
                <w:sz w:val="20"/>
                <w:szCs w:val="20"/>
                <w:color w:val="auto"/>
              </w:rPr>
            </w:pPr>
            <w:r>
              <w:rPr>
                <w:rFonts w:ascii="Arial" w:cs="Arial" w:eastAsia="Arial" w:hAnsi="Arial"/>
                <w:sz w:val="18"/>
                <w:szCs w:val="18"/>
                <w:color w:val="auto"/>
              </w:rPr>
              <w:t>Utilities and Services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8060" w:type="dxa"/>
            <w:vAlign w:val="bottom"/>
          </w:tcPr>
          <w:p>
            <w:pPr>
              <w:ind w:left="100"/>
              <w:spacing w:after="0"/>
              <w:rPr>
                <w:sz w:val="20"/>
                <w:szCs w:val="20"/>
                <w:color w:val="auto"/>
              </w:rPr>
            </w:pPr>
            <w:r>
              <w:rPr>
                <w:rFonts w:ascii="Arial" w:cs="Arial" w:eastAsia="Arial" w:hAnsi="Arial"/>
                <w:sz w:val="18"/>
                <w:szCs w:val="18"/>
                <w:color w:val="auto"/>
              </w:rPr>
              <w:t>Liens</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8060" w:type="dxa"/>
            <w:vAlign w:val="bottom"/>
          </w:tcPr>
          <w:p>
            <w:pPr>
              <w:ind w:left="100"/>
              <w:spacing w:after="0"/>
              <w:rPr>
                <w:sz w:val="20"/>
                <w:szCs w:val="20"/>
                <w:color w:val="auto"/>
              </w:rPr>
            </w:pPr>
            <w:r>
              <w:rPr>
                <w:rFonts w:ascii="Arial" w:cs="Arial" w:eastAsia="Arial" w:hAnsi="Arial"/>
                <w:sz w:val="18"/>
                <w:szCs w:val="18"/>
                <w:color w:val="auto"/>
              </w:rPr>
              <w:t>Assignment and Subletting</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8060" w:type="dxa"/>
            <w:vAlign w:val="bottom"/>
          </w:tcPr>
          <w:p>
            <w:pPr>
              <w:ind w:left="100"/>
              <w:spacing w:after="0"/>
              <w:rPr>
                <w:sz w:val="20"/>
                <w:szCs w:val="20"/>
                <w:color w:val="auto"/>
              </w:rPr>
            </w:pPr>
            <w:r>
              <w:rPr>
                <w:rFonts w:ascii="Arial" w:cs="Arial" w:eastAsia="Arial" w:hAnsi="Arial"/>
                <w:sz w:val="18"/>
                <w:szCs w:val="18"/>
                <w:color w:val="auto"/>
              </w:rPr>
              <w:t>Non-Waiver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8060" w:type="dxa"/>
            <w:vAlign w:val="bottom"/>
          </w:tcPr>
          <w:p>
            <w:pPr>
              <w:ind w:left="100"/>
              <w:spacing w:after="0"/>
              <w:rPr>
                <w:sz w:val="20"/>
                <w:szCs w:val="20"/>
                <w:color w:val="auto"/>
              </w:rPr>
            </w:pPr>
            <w:r>
              <w:rPr>
                <w:rFonts w:ascii="Arial" w:cs="Arial" w:eastAsia="Arial" w:hAnsi="Arial"/>
                <w:sz w:val="18"/>
                <w:szCs w:val="18"/>
                <w:color w:val="auto"/>
              </w:rPr>
              <w:t>Holding Over</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8060" w:type="dxa"/>
            <w:vAlign w:val="bottom"/>
          </w:tcPr>
          <w:p>
            <w:pPr>
              <w:ind w:left="100"/>
              <w:spacing w:after="0"/>
              <w:rPr>
                <w:sz w:val="20"/>
                <w:szCs w:val="20"/>
                <w:color w:val="auto"/>
              </w:rPr>
            </w:pPr>
            <w:r>
              <w:rPr>
                <w:rFonts w:ascii="Arial" w:cs="Arial" w:eastAsia="Arial" w:hAnsi="Arial"/>
                <w:sz w:val="18"/>
                <w:szCs w:val="18"/>
                <w:color w:val="auto"/>
              </w:rPr>
              <w:t>Damage or Destruction</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8060" w:type="dxa"/>
            <w:vAlign w:val="bottom"/>
          </w:tcPr>
          <w:p>
            <w:pPr>
              <w:ind w:left="100"/>
              <w:spacing w:after="0"/>
              <w:rPr>
                <w:sz w:val="20"/>
                <w:szCs w:val="20"/>
                <w:color w:val="auto"/>
              </w:rPr>
            </w:pPr>
            <w:r>
              <w:rPr>
                <w:rFonts w:ascii="Arial" w:cs="Arial" w:eastAsia="Arial" w:hAnsi="Arial"/>
                <w:sz w:val="18"/>
                <w:szCs w:val="18"/>
                <w:color w:val="auto"/>
              </w:rPr>
              <w:t>Eminent Domain</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8060" w:type="dxa"/>
            <w:vAlign w:val="bottom"/>
          </w:tcPr>
          <w:p>
            <w:pPr>
              <w:ind w:left="100"/>
              <w:spacing w:after="0"/>
              <w:rPr>
                <w:sz w:val="20"/>
                <w:szCs w:val="20"/>
                <w:color w:val="auto"/>
              </w:rPr>
            </w:pPr>
            <w:r>
              <w:rPr>
                <w:rFonts w:ascii="Arial" w:cs="Arial" w:eastAsia="Arial" w:hAnsi="Arial"/>
                <w:sz w:val="18"/>
                <w:szCs w:val="18"/>
                <w:color w:val="auto"/>
              </w:rPr>
              <w:t>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8060" w:type="dxa"/>
            <w:vAlign w:val="bottom"/>
          </w:tcPr>
          <w:p>
            <w:pPr>
              <w:ind w:left="100"/>
              <w:spacing w:after="0"/>
              <w:rPr>
                <w:sz w:val="20"/>
                <w:szCs w:val="20"/>
                <w:color w:val="auto"/>
              </w:rPr>
            </w:pPr>
            <w:r>
              <w:rPr>
                <w:rFonts w:ascii="Arial" w:cs="Arial" w:eastAsia="Arial" w:hAnsi="Arial"/>
                <w:sz w:val="18"/>
                <w:szCs w:val="18"/>
                <w:color w:val="auto"/>
              </w:rPr>
              <w:t>Lessee’s Personal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24.</w:t>
            </w:r>
          </w:p>
        </w:tc>
        <w:tc>
          <w:tcPr>
            <w:tcW w:w="8060" w:type="dxa"/>
            <w:vAlign w:val="bottom"/>
          </w:tcPr>
          <w:p>
            <w:pPr>
              <w:ind w:left="10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25.</w:t>
            </w:r>
          </w:p>
        </w:tc>
        <w:tc>
          <w:tcPr>
            <w:tcW w:w="8060" w:type="dxa"/>
            <w:vAlign w:val="bottom"/>
          </w:tcPr>
          <w:p>
            <w:pPr>
              <w:ind w:left="100"/>
              <w:spacing w:after="0"/>
              <w:rPr>
                <w:sz w:val="20"/>
                <w:szCs w:val="20"/>
                <w:color w:val="auto"/>
              </w:rPr>
            </w:pPr>
            <w:r>
              <w:rPr>
                <w:rFonts w:ascii="Arial" w:cs="Arial" w:eastAsia="Arial" w:hAnsi="Arial"/>
                <w:sz w:val="18"/>
                <w:szCs w:val="18"/>
                <w:color w:val="auto"/>
              </w:rPr>
              <w:t>Estoppel Certificate</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26.</w:t>
            </w:r>
          </w:p>
        </w:tc>
        <w:tc>
          <w:tcPr>
            <w:tcW w:w="8060" w:type="dxa"/>
            <w:vAlign w:val="bottom"/>
          </w:tcPr>
          <w:p>
            <w:pPr>
              <w:ind w:left="100"/>
              <w:spacing w:after="0"/>
              <w:rPr>
                <w:sz w:val="20"/>
                <w:szCs w:val="20"/>
                <w:color w:val="auto"/>
              </w:rPr>
            </w:pPr>
            <w:r>
              <w:rPr>
                <w:rFonts w:ascii="Arial" w:cs="Arial" w:eastAsia="Arial" w:hAnsi="Arial"/>
                <w:sz w:val="18"/>
                <w:szCs w:val="18"/>
                <w:color w:val="auto"/>
              </w:rPr>
              <w:t>Signage</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27.</w:t>
            </w:r>
          </w:p>
        </w:tc>
        <w:tc>
          <w:tcPr>
            <w:tcW w:w="8060" w:type="dxa"/>
            <w:vAlign w:val="bottom"/>
          </w:tcPr>
          <w:p>
            <w:pPr>
              <w:ind w:left="100"/>
              <w:spacing w:after="0"/>
              <w:rPr>
                <w:sz w:val="20"/>
                <w:szCs w:val="20"/>
                <w:color w:val="auto"/>
              </w:rPr>
            </w:pPr>
            <w:r>
              <w:rPr>
                <w:rFonts w:ascii="Arial" w:cs="Arial" w:eastAsia="Arial" w:hAnsi="Arial"/>
                <w:sz w:val="18"/>
                <w:szCs w:val="18"/>
                <w:color w:val="auto"/>
              </w:rPr>
              <w:t>Real Estate Brokers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28.</w:t>
            </w:r>
          </w:p>
        </w:tc>
        <w:tc>
          <w:tcPr>
            <w:tcW w:w="8060" w:type="dxa"/>
            <w:vAlign w:val="bottom"/>
          </w:tcPr>
          <w:p>
            <w:pPr>
              <w:ind w:left="100"/>
              <w:spacing w:after="0"/>
              <w:rPr>
                <w:sz w:val="20"/>
                <w:szCs w:val="20"/>
                <w:color w:val="auto"/>
              </w:rPr>
            </w:pPr>
            <w:r>
              <w:rPr>
                <w:rFonts w:ascii="Arial" w:cs="Arial" w:eastAsia="Arial" w:hAnsi="Arial"/>
                <w:sz w:val="18"/>
                <w:szCs w:val="18"/>
                <w:color w:val="auto"/>
              </w:rPr>
              <w:t>Parking</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29.</w:t>
            </w:r>
          </w:p>
        </w:tc>
        <w:tc>
          <w:tcPr>
            <w:tcW w:w="8060" w:type="dxa"/>
            <w:vAlign w:val="bottom"/>
          </w:tcPr>
          <w:p>
            <w:pPr>
              <w:ind w:left="100"/>
              <w:spacing w:after="0"/>
              <w:rPr>
                <w:sz w:val="20"/>
                <w:szCs w:val="20"/>
                <w:color w:val="auto"/>
              </w:rPr>
            </w:pPr>
            <w:r>
              <w:rPr>
                <w:rFonts w:ascii="Arial" w:cs="Arial" w:eastAsia="Arial" w:hAnsi="Arial"/>
                <w:sz w:val="18"/>
                <w:szCs w:val="18"/>
                <w:color w:val="auto"/>
              </w:rPr>
              <w:t>Subordination; Attornment</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30.</w:t>
            </w:r>
          </w:p>
        </w:tc>
        <w:tc>
          <w:tcPr>
            <w:tcW w:w="8060" w:type="dxa"/>
            <w:vAlign w:val="bottom"/>
          </w:tcPr>
          <w:p>
            <w:pPr>
              <w:ind w:left="100"/>
              <w:spacing w:after="0"/>
              <w:rPr>
                <w:sz w:val="20"/>
                <w:szCs w:val="20"/>
                <w:color w:val="auto"/>
              </w:rPr>
            </w:pPr>
            <w:r>
              <w:rPr>
                <w:rFonts w:ascii="Arial" w:cs="Arial" w:eastAsia="Arial" w:hAnsi="Arial"/>
                <w:sz w:val="18"/>
                <w:szCs w:val="18"/>
                <w:color w:val="auto"/>
              </w:rPr>
              <w:t>No Termination Right</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4"/>
        </w:trPr>
        <w:tc>
          <w:tcPr>
            <w:tcW w:w="320" w:type="dxa"/>
            <w:vAlign w:val="bottom"/>
          </w:tcPr>
          <w:p>
            <w:pPr>
              <w:spacing w:after="0"/>
              <w:rPr>
                <w:sz w:val="24"/>
                <w:szCs w:val="24"/>
                <w:color w:val="auto"/>
              </w:rPr>
            </w:pPr>
          </w:p>
        </w:tc>
        <w:tc>
          <w:tcPr>
            <w:tcW w:w="8060" w:type="dxa"/>
            <w:vAlign w:val="bottom"/>
          </w:tcPr>
          <w:p>
            <w:pPr>
              <w:ind w:left="5080"/>
              <w:spacing w:after="0"/>
              <w:rPr>
                <w:sz w:val="20"/>
                <w:szCs w:val="20"/>
                <w:color w:val="auto"/>
              </w:rPr>
            </w:pPr>
            <w:r>
              <w:rPr>
                <w:rFonts w:ascii="Arial" w:cs="Arial" w:eastAsia="Arial" w:hAnsi="Arial"/>
                <w:sz w:val="18"/>
                <w:szCs w:val="18"/>
                <w:color w:val="auto"/>
              </w:rPr>
              <w:t>-i-</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6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7" w:name="page438"/>
    <w:bookmarkEnd w:id="437"/>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160" w:type="dxa"/>
            <w:vAlign w:val="bottom"/>
          </w:tcPr>
          <w:p>
            <w:pPr>
              <w:jc w:val="center"/>
              <w:ind w:right="4630"/>
              <w:spacing w:after="0"/>
              <w:rPr>
                <w:sz w:val="20"/>
                <w:szCs w:val="20"/>
                <w:color w:val="auto"/>
              </w:rPr>
            </w:pPr>
            <w:r>
              <w:rPr>
                <w:rFonts w:ascii="Arial" w:cs="Arial" w:eastAsia="Arial" w:hAnsi="Arial"/>
                <w:sz w:val="18"/>
                <w:szCs w:val="18"/>
                <w:b w:val="1"/>
                <w:bCs w:val="1"/>
                <w:color w:val="auto"/>
                <w:w w:val="89"/>
              </w:rPr>
              <w:t>Table of Contents</w:t>
            </w:r>
          </w:p>
        </w:tc>
      </w:tr>
      <w:tr>
        <w:trPr>
          <w:trHeight w:val="230"/>
        </w:trPr>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60" w:type="dxa"/>
            <w:vAlign w:val="bottom"/>
          </w:tcPr>
          <w:p>
            <w:pPr>
              <w:jc w:val="center"/>
              <w:ind w:right="4650"/>
              <w:spacing w:after="0"/>
              <w:rPr>
                <w:sz w:val="20"/>
                <w:szCs w:val="20"/>
                <w:color w:val="auto"/>
              </w:rPr>
            </w:pPr>
            <w:r>
              <w:rPr>
                <w:rFonts w:ascii="Arial" w:cs="Arial" w:eastAsia="Arial" w:hAnsi="Arial"/>
                <w:sz w:val="18"/>
                <w:szCs w:val="18"/>
                <w:color w:val="auto"/>
                <w:w w:val="91"/>
              </w:rPr>
              <w:t>(continued)</w:t>
            </w:r>
          </w:p>
        </w:tc>
      </w:tr>
      <w:tr>
        <w:trPr>
          <w:trHeight w:val="459"/>
        </w:trPr>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480" w:type="dxa"/>
            <w:vAlign w:val="bottom"/>
          </w:tcPr>
          <w:p>
            <w:pPr>
              <w:ind w:left="60"/>
              <w:spacing w:after="0"/>
              <w:rPr>
                <w:sz w:val="20"/>
                <w:szCs w:val="20"/>
                <w:color w:val="auto"/>
              </w:rPr>
            </w:pPr>
            <w:r>
              <w:rPr>
                <w:rFonts w:ascii="Arial" w:cs="Arial" w:eastAsia="Arial" w:hAnsi="Arial"/>
                <w:sz w:val="18"/>
                <w:szCs w:val="18"/>
                <w:color w:val="auto"/>
              </w:rPr>
              <w:t>Lessor’s Entry</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480" w:type="dxa"/>
            <w:vAlign w:val="bottom"/>
          </w:tcPr>
          <w:p>
            <w:pPr>
              <w:ind w:left="60"/>
              <w:spacing w:after="0"/>
              <w:rPr>
                <w:sz w:val="20"/>
                <w:szCs w:val="20"/>
                <w:color w:val="auto"/>
              </w:rPr>
            </w:pPr>
            <w:r>
              <w:rPr>
                <w:rFonts w:ascii="Arial" w:cs="Arial" w:eastAsia="Arial" w:hAnsi="Arial"/>
                <w:sz w:val="18"/>
                <w:szCs w:val="18"/>
                <w:color w:val="auto"/>
              </w:rPr>
              <w:t>Attorneys’ Fees</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480" w:type="dxa"/>
            <w:vAlign w:val="bottom"/>
          </w:tcPr>
          <w:p>
            <w:pPr>
              <w:ind w:left="60"/>
              <w:spacing w:after="0"/>
              <w:rPr>
                <w:sz w:val="20"/>
                <w:szCs w:val="20"/>
                <w:color w:val="auto"/>
              </w:rPr>
            </w:pPr>
            <w:r>
              <w:rPr>
                <w:rFonts w:ascii="Arial" w:cs="Arial" w:eastAsia="Arial" w:hAnsi="Arial"/>
                <w:sz w:val="18"/>
                <w:szCs w:val="18"/>
                <w:color w:val="auto"/>
              </w:rPr>
              <w:t>Quiet Enjoyment</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Financial Information</w:t>
            </w: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35.</w:t>
            </w:r>
          </w:p>
        </w:tc>
        <w:tc>
          <w:tcPr>
            <w:tcW w:w="1480" w:type="dxa"/>
            <w:vAlign w:val="bottom"/>
          </w:tcPr>
          <w:p>
            <w:pPr>
              <w:ind w:left="60"/>
              <w:spacing w:after="0"/>
              <w:rPr>
                <w:sz w:val="20"/>
                <w:szCs w:val="20"/>
                <w:color w:val="auto"/>
              </w:rPr>
            </w:pPr>
            <w:r>
              <w:rPr>
                <w:rFonts w:ascii="Arial" w:cs="Arial" w:eastAsia="Arial" w:hAnsi="Arial"/>
                <w:sz w:val="18"/>
                <w:szCs w:val="18"/>
                <w:color w:val="auto"/>
              </w:rPr>
              <w:t>SDN List</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36.</w:t>
            </w:r>
          </w:p>
        </w:tc>
        <w:tc>
          <w:tcPr>
            <w:tcW w:w="1480" w:type="dxa"/>
            <w:vAlign w:val="bottom"/>
          </w:tcPr>
          <w:p>
            <w:pPr>
              <w:ind w:left="60"/>
              <w:spacing w:after="0"/>
              <w:rPr>
                <w:sz w:val="20"/>
                <w:szCs w:val="20"/>
                <w:color w:val="auto"/>
              </w:rPr>
            </w:pPr>
            <w:r>
              <w:rPr>
                <w:rFonts w:ascii="Arial" w:cs="Arial" w:eastAsia="Arial" w:hAnsi="Arial"/>
                <w:sz w:val="18"/>
                <w:szCs w:val="18"/>
                <w:color w:val="auto"/>
                <w:w w:val="95"/>
              </w:rPr>
              <w:t>Right of First Offer</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37.</w:t>
            </w:r>
          </w:p>
        </w:tc>
        <w:tc>
          <w:tcPr>
            <w:tcW w:w="1480" w:type="dxa"/>
            <w:vAlign w:val="bottom"/>
          </w:tcPr>
          <w:p>
            <w:pPr>
              <w:ind w:left="60"/>
              <w:spacing w:after="0"/>
              <w:rPr>
                <w:sz w:val="20"/>
                <w:szCs w:val="20"/>
                <w:color w:val="auto"/>
              </w:rPr>
            </w:pPr>
            <w:r>
              <w:rPr>
                <w:rFonts w:ascii="Arial" w:cs="Arial" w:eastAsia="Arial" w:hAnsi="Arial"/>
                <w:sz w:val="18"/>
                <w:szCs w:val="18"/>
                <w:color w:val="auto"/>
                <w:w w:val="92"/>
              </w:rPr>
              <w:t>General Provisions</w:t>
            </w:r>
          </w:p>
        </w:tc>
        <w:tc>
          <w:tcPr>
            <w:tcW w:w="3040" w:type="dxa"/>
            <w:vAlign w:val="bottom"/>
          </w:tcPr>
          <w:p>
            <w:pPr>
              <w:spacing w:after="0"/>
              <w:rPr>
                <w:sz w:val="24"/>
                <w:szCs w:val="24"/>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9"/>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SCHEDULE OF EXHIBITS</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3040" w:type="dxa"/>
            <w:vAlign w:val="bottom"/>
          </w:tcPr>
          <w:p>
            <w:pPr>
              <w:ind w:left="20"/>
              <w:spacing w:after="0"/>
              <w:rPr>
                <w:sz w:val="20"/>
                <w:szCs w:val="20"/>
                <w:color w:val="auto"/>
              </w:rPr>
            </w:pPr>
            <w:r>
              <w:rPr>
                <w:rFonts w:ascii="Arial" w:cs="Arial" w:eastAsia="Arial" w:hAnsi="Arial"/>
                <w:sz w:val="18"/>
                <w:szCs w:val="18"/>
                <w:color w:val="auto"/>
                <w:w w:val="94"/>
              </w:rPr>
              <w:t>Legal Description of 1330 O’Brien Drive</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“A-2”</w:t>
            </w:r>
          </w:p>
        </w:tc>
        <w:tc>
          <w:tcPr>
            <w:tcW w:w="3040" w:type="dxa"/>
            <w:vAlign w:val="bottom"/>
          </w:tcPr>
          <w:p>
            <w:pPr>
              <w:ind w:left="20"/>
              <w:spacing w:after="0"/>
              <w:rPr>
                <w:sz w:val="20"/>
                <w:szCs w:val="20"/>
                <w:color w:val="auto"/>
              </w:rPr>
            </w:pPr>
            <w:r>
              <w:rPr>
                <w:rFonts w:ascii="Arial" w:cs="Arial" w:eastAsia="Arial" w:hAnsi="Arial"/>
                <w:sz w:val="18"/>
                <w:szCs w:val="18"/>
                <w:color w:val="auto"/>
                <w:w w:val="94"/>
              </w:rPr>
              <w:t>Legal Description of 1360 O’Brien Drive</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3040" w:type="dxa"/>
            <w:vAlign w:val="bottom"/>
          </w:tcPr>
          <w:p>
            <w:pPr>
              <w:ind w:left="20"/>
              <w:spacing w:after="0"/>
              <w:rPr>
                <w:sz w:val="20"/>
                <w:szCs w:val="20"/>
                <w:color w:val="auto"/>
              </w:rPr>
            </w:pPr>
            <w:r>
              <w:rPr>
                <w:rFonts w:ascii="Arial" w:cs="Arial" w:eastAsia="Arial" w:hAnsi="Arial"/>
                <w:sz w:val="18"/>
                <w:szCs w:val="18"/>
                <w:color w:val="auto"/>
              </w:rPr>
              <w:t>Menlo Business Park Master Plan</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3040" w:type="dxa"/>
            <w:vAlign w:val="bottom"/>
          </w:tcPr>
          <w:p>
            <w:pPr>
              <w:ind w:left="20"/>
              <w:spacing w:after="0"/>
              <w:rPr>
                <w:sz w:val="20"/>
                <w:szCs w:val="20"/>
                <w:color w:val="auto"/>
              </w:rPr>
            </w:pPr>
            <w:r>
              <w:rPr>
                <w:rFonts w:ascii="Arial" w:cs="Arial" w:eastAsia="Arial" w:hAnsi="Arial"/>
                <w:sz w:val="18"/>
                <w:szCs w:val="18"/>
                <w:color w:val="auto"/>
              </w:rPr>
              <w:t>Floor Plan of Building 5</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“C-2”</w:t>
            </w:r>
          </w:p>
        </w:tc>
        <w:tc>
          <w:tcPr>
            <w:tcW w:w="3040" w:type="dxa"/>
            <w:vAlign w:val="bottom"/>
          </w:tcPr>
          <w:p>
            <w:pPr>
              <w:ind w:left="20"/>
              <w:spacing w:after="0"/>
              <w:rPr>
                <w:sz w:val="20"/>
                <w:szCs w:val="20"/>
                <w:color w:val="auto"/>
              </w:rPr>
            </w:pPr>
            <w:r>
              <w:rPr>
                <w:rFonts w:ascii="Arial" w:cs="Arial" w:eastAsia="Arial" w:hAnsi="Arial"/>
                <w:sz w:val="18"/>
                <w:szCs w:val="18"/>
                <w:color w:val="auto"/>
              </w:rPr>
              <w:t>Floor Plan of Building 6</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3040" w:type="dxa"/>
            <w:vAlign w:val="bottom"/>
          </w:tcPr>
          <w:p>
            <w:pPr>
              <w:ind w:left="20"/>
              <w:spacing w:after="0"/>
              <w:rPr>
                <w:sz w:val="20"/>
                <w:szCs w:val="20"/>
                <w:color w:val="auto"/>
              </w:rPr>
            </w:pPr>
            <w:r>
              <w:rPr>
                <w:rFonts w:ascii="Arial" w:cs="Arial" w:eastAsia="Arial" w:hAnsi="Arial"/>
                <w:sz w:val="18"/>
                <w:szCs w:val="18"/>
                <w:color w:val="auto"/>
              </w:rPr>
              <w:t>Commencement Memorandum</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3040" w:type="dxa"/>
            <w:vAlign w:val="bottom"/>
          </w:tcPr>
          <w:p>
            <w:pPr>
              <w:ind w:left="20"/>
              <w:spacing w:after="0"/>
              <w:rPr>
                <w:sz w:val="20"/>
                <w:szCs w:val="20"/>
                <w:color w:val="auto"/>
              </w:rPr>
            </w:pPr>
            <w:r>
              <w:rPr>
                <w:rFonts w:ascii="Arial" w:cs="Arial" w:eastAsia="Arial" w:hAnsi="Arial"/>
                <w:sz w:val="18"/>
                <w:szCs w:val="18"/>
                <w:color w:val="auto"/>
              </w:rPr>
              <w:t>Lessee’s Hazardous Materials</w:t>
            </w:r>
          </w:p>
        </w:tc>
        <w:tc>
          <w:tcPr>
            <w:tcW w:w="6160" w:type="dxa"/>
            <w:vAlign w:val="bottom"/>
          </w:tcPr>
          <w:p>
            <w:pPr>
              <w:spacing w:after="0"/>
              <w:rPr>
                <w:sz w:val="24"/>
                <w:szCs w:val="24"/>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3040" w:type="dxa"/>
            <w:vAlign w:val="bottom"/>
          </w:tcPr>
          <w:p>
            <w:pPr>
              <w:ind w:left="20"/>
              <w:spacing w:after="0"/>
              <w:rPr>
                <w:sz w:val="20"/>
                <w:szCs w:val="20"/>
                <w:color w:val="auto"/>
              </w:rPr>
            </w:pPr>
            <w:r>
              <w:rPr>
                <w:rFonts w:ascii="Arial" w:cs="Arial" w:eastAsia="Arial" w:hAnsi="Arial"/>
                <w:sz w:val="18"/>
                <w:szCs w:val="18"/>
                <w:color w:val="auto"/>
              </w:rPr>
              <w:t>Description of Tenant Improvements</w:t>
            </w:r>
          </w:p>
        </w:tc>
        <w:tc>
          <w:tcPr>
            <w:tcW w:w="6160" w:type="dxa"/>
            <w:vAlign w:val="bottom"/>
          </w:tcPr>
          <w:p>
            <w:pPr>
              <w:spacing w:after="0"/>
              <w:rPr>
                <w:sz w:val="24"/>
                <w:szCs w:val="24"/>
                <w:color w:val="auto"/>
              </w:rPr>
            </w:pPr>
          </w:p>
        </w:tc>
      </w:tr>
      <w:tr>
        <w:trPr>
          <w:trHeight w:val="364"/>
        </w:trPr>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60" w:type="dxa"/>
            <w:vAlign w:val="bottom"/>
          </w:tcPr>
          <w:p>
            <w:pPr>
              <w:jc w:val="center"/>
              <w:ind w:right="4650"/>
              <w:spacing w:after="0"/>
              <w:rPr>
                <w:sz w:val="20"/>
                <w:szCs w:val="20"/>
                <w:color w:val="auto"/>
              </w:rPr>
            </w:pPr>
            <w:r>
              <w:rPr>
                <w:rFonts w:ascii="Arial" w:cs="Arial" w:eastAsia="Arial" w:hAnsi="Arial"/>
                <w:sz w:val="18"/>
                <w:szCs w:val="18"/>
                <w:color w:val="auto"/>
              </w:rPr>
              <w:t>-ii-</w:t>
            </w:r>
          </w:p>
        </w:tc>
      </w:tr>
    </w:tbl>
    <w:p>
      <w:pPr>
        <w:jc w:val="center"/>
        <w:ind w:right="4650"/>
        <w:spacing w:after="0"/>
        <w:rPr>
          <w:sz w:val="20"/>
          <w:szCs w:val="20"/>
          <w:color w:val="auto"/>
        </w:rPr>
        <w:sectPr>
          <w:pgSz w:w="11900" w:h="16838" w:orient="portrait"/>
          <w:cols w:equalWidth="0" w:num="1">
            <w:col w:w="10940"/>
          </w:cols>
          <w:pgMar w:left="46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38" w:name="page439"/>
    <w:bookmarkEnd w:id="43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 E A S 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Menlo Business Park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Building #5 and Portion of Building #6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1330 O’Brien Drive and 1360 O’Brien Drive (2nd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Menlo Park, California 94025</w:t>
      </w:r>
    </w:p>
    <w:p>
      <w:pPr>
        <w:spacing w:after="0" w:line="21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THIS LEASE, referred to herein as this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as of February 2</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2015, by and between MENLO PREHC I, LLC, a Delaware limited liability company, MENLO PREPI I, LLC, a Delaware limited liability company, and TPI Investors 9, LLC, a California limited liability company, hereafter collectively referred to as “</w:t>
      </w:r>
      <w:r>
        <w:rPr>
          <w:rFonts w:ascii="Arial" w:cs="Arial" w:eastAsia="Arial" w:hAnsi="Arial"/>
          <w:sz w:val="18"/>
          <w:szCs w:val="18"/>
          <w:u w:val="single" w:color="auto"/>
          <w:color w:val="auto"/>
        </w:rPr>
        <w:t>Lessor</w:t>
      </w:r>
      <w:r>
        <w:rPr>
          <w:rFonts w:ascii="Arial" w:cs="Arial" w:eastAsia="Arial" w:hAnsi="Arial"/>
          <w:sz w:val="18"/>
          <w:szCs w:val="18"/>
          <w:color w:val="auto"/>
        </w:rPr>
        <w:t>,” and PERSONALIS, INC., a Delaware corporation, hereafter referred to as “</w:t>
      </w:r>
      <w:r>
        <w:rPr>
          <w:rFonts w:ascii="Arial" w:cs="Arial" w:eastAsia="Arial" w:hAnsi="Arial"/>
          <w:sz w:val="18"/>
          <w:szCs w:val="18"/>
          <w:u w:val="single" w:color="auto"/>
          <w:color w:val="auto"/>
        </w:rPr>
        <w:t>Lessee</w:t>
      </w:r>
      <w:r>
        <w:rPr>
          <w:rFonts w:ascii="Arial" w:cs="Arial" w:eastAsia="Arial" w:hAnsi="Arial"/>
          <w:sz w:val="18"/>
          <w:szCs w:val="18"/>
          <w:color w:val="auto"/>
        </w:rPr>
        <w:t>” or “</w:t>
      </w:r>
      <w:r>
        <w:rPr>
          <w:rFonts w:ascii="Arial" w:cs="Arial" w:eastAsia="Arial" w:hAnsi="Arial"/>
          <w:sz w:val="18"/>
          <w:szCs w:val="18"/>
          <w:u w:val="single" w:color="auto"/>
          <w:color w:val="auto"/>
        </w:rPr>
        <w:t>Personalis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A. Lessor is the owner of the real property located in Menlo Business Park, Menlo Park, California, commonly referred to as 1330 O’Brien Drive and 1360 O’Brien Drive, more particularly described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“A-2”</w:t>
      </w:r>
      <w:r>
        <w:rPr>
          <w:rFonts w:ascii="Arial" w:cs="Arial" w:eastAsia="Arial" w:hAnsi="Arial"/>
          <w:sz w:val="17"/>
          <w:szCs w:val="17"/>
          <w:color w:val="auto"/>
        </w:rPr>
        <w:t>, respectively, and attached hereto and incorporated by reference herein, together with all easements and appurtenances thereto (collectively, the “</w:t>
      </w:r>
      <w:r>
        <w:rPr>
          <w:rFonts w:ascii="Arial" w:cs="Arial" w:eastAsia="Arial" w:hAnsi="Arial"/>
          <w:sz w:val="17"/>
          <w:szCs w:val="17"/>
          <w:u w:val="single" w:color="auto"/>
          <w:color w:val="auto"/>
        </w:rPr>
        <w:t>Land</w:t>
      </w:r>
      <w:r>
        <w:rPr>
          <w:rFonts w:ascii="Arial" w:cs="Arial" w:eastAsia="Arial" w:hAnsi="Arial"/>
          <w:sz w:val="17"/>
          <w:szCs w:val="17"/>
          <w:color w:val="auto"/>
        </w:rPr>
        <w:t xml:space="preserve">”) and the existing buildings thereon, referred to as Building #5, containing approximately 25,366 rentable square feet with respect to 1330 O’Brien Drive and Building #6, containing approximately 20,624 rentable square feet with respect to 1360 O’Brien Drive, and all other improvements located thereon (collectively, the </w:t>
      </w:r>
      <w:r>
        <w:rPr>
          <w:rFonts w:ascii="Arial" w:cs="Arial" w:eastAsia="Arial" w:hAnsi="Arial"/>
          <w:sz w:val="17"/>
          <w:szCs w:val="17"/>
          <w:u w:val="single" w:color="auto"/>
          <w:color w:val="auto"/>
        </w:rPr>
        <w:t>“Improvements</w:t>
      </w:r>
      <w:r>
        <w:rPr>
          <w:rFonts w:ascii="Arial" w:cs="Arial" w:eastAsia="Arial" w:hAnsi="Arial"/>
          <w:sz w:val="17"/>
          <w:szCs w:val="17"/>
          <w:color w:val="auto"/>
        </w:rPr>
        <w:t>”). The Land and Improvements are referred to herein collectively as the “</w:t>
      </w:r>
      <w:r>
        <w:rPr>
          <w:rFonts w:ascii="Arial" w:cs="Arial" w:eastAsia="Arial" w:hAnsi="Arial"/>
          <w:sz w:val="17"/>
          <w:szCs w:val="17"/>
          <w:u w:val="single" w:color="auto"/>
          <w:color w:val="auto"/>
        </w:rPr>
        <w:t>Property</w:t>
      </w:r>
      <w:r>
        <w:rPr>
          <w:rFonts w:ascii="Arial" w:cs="Arial" w:eastAsia="Arial" w:hAnsi="Arial"/>
          <w:sz w:val="17"/>
          <w:szCs w:val="17"/>
          <w:color w:val="auto"/>
        </w:rPr>
        <w:t xml:space="preserve">.” The Menlo Business Park Master Plan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incorporated by reference herein, and identifies the properties that comprise the Menlo Business Park. Building #5 and Building #6 are collectively and individually referred to herein as the “Building.” The floor plan of Building #5 is attached hereto as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and the floor plan of Building #6 is attached hereto as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and both exhibits are incorporated by reference herein.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Lessor and Lessee wish to enter into this Lease of the Premises defined in Paragraph 1 upon the terms and conditions set forth herein.</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agree as follows:</w:t>
      </w:r>
    </w:p>
    <w:p>
      <w:pPr>
        <w:spacing w:after="0" w:line="117" w:lineRule="exact"/>
        <w:rPr>
          <w:sz w:val="20"/>
          <w:szCs w:val="20"/>
          <w:color w:val="auto"/>
        </w:rPr>
      </w:pPr>
    </w:p>
    <w:p>
      <w:pPr>
        <w:ind w:firstLine="430"/>
        <w:spacing w:after="0" w:line="289" w:lineRule="auto"/>
        <w:tabs>
          <w:tab w:leader="none" w:pos="62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Lease</w:t>
      </w:r>
      <w:r>
        <w:rPr>
          <w:rFonts w:ascii="Arial" w:cs="Arial" w:eastAsia="Arial" w:hAnsi="Arial"/>
          <w:sz w:val="16"/>
          <w:szCs w:val="16"/>
          <w:color w:val="auto"/>
        </w:rPr>
        <w:t xml:space="preserve">. Lessor hereby leases to Lessee, and Lessee leases from Lessor, at the rental rate and upon the terms and conditions set forth herein, the Premises (as hereinafter defined). Beginning on the Commencement Date (as defined in Paragraph 2(a)), Lessor hereby leases to Lessee, and Lessee leases from Lessor, (a) all of Building 5 consisting of approximately Twenty Five Thousand Three Hundred Sixty Six (25,366) rentable square feet, as shown on the floor plan of Building 5 attached hereto as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Building 5 Premises</w:t>
      </w:r>
      <w:r>
        <w:rPr>
          <w:rFonts w:ascii="Arial" w:cs="Arial" w:eastAsia="Arial" w:hAnsi="Arial"/>
          <w:sz w:val="16"/>
          <w:szCs w:val="16"/>
          <w:color w:val="auto"/>
        </w:rPr>
        <w:t xml:space="preserve">”) and (b) the second floor portion of Building 6 consisting of approximately Five Thousand Nine Hundred Fourteen (5,914) rentable square feet, as shown on the floor plan of Building 6 attached hereto as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Building 6 Premises</w:t>
      </w:r>
      <w:r>
        <w:rPr>
          <w:rFonts w:ascii="Arial" w:cs="Arial" w:eastAsia="Arial" w:hAnsi="Arial"/>
          <w:sz w:val="16"/>
          <w:szCs w:val="16"/>
          <w:color w:val="auto"/>
        </w:rPr>
        <w:t>” and, collectively with the Building 5 Premises, referred to as the “</w:t>
      </w:r>
      <w:r>
        <w:rPr>
          <w:rFonts w:ascii="Arial" w:cs="Arial" w:eastAsia="Arial" w:hAnsi="Arial"/>
          <w:sz w:val="16"/>
          <w:szCs w:val="16"/>
          <w:u w:val="single" w:color="auto"/>
          <w:color w:val="auto"/>
        </w:rPr>
        <w:t>Premises</w:t>
      </w:r>
      <w:r>
        <w:rPr>
          <w:rFonts w:ascii="Arial" w:cs="Arial" w:eastAsia="Arial" w:hAnsi="Arial"/>
          <w:sz w:val="16"/>
          <w:szCs w:val="16"/>
          <w:color w:val="auto"/>
        </w:rPr>
        <w:t>”), together with the right to use Lessee’s share of the on-site parking spaces pursuant to Paragraph 28, and the non-exclusive right to use the common areas of the Building and the other Improvements on the Property intended for use in common by the tenants of the Building. Lessee’s Pro Rata Share of Building 5 shall mean 100% (25,366/25,366) and Lessee’s Pro Rata Share of Building 6 shall mean 28.68% (5,914/20,624).</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60" w:top="274" w:right="499" w:bottom="1440" w:gutter="0" w:footer="0" w:header="0"/>
        </w:sectPr>
      </w:pPr>
    </w:p>
    <w:bookmarkStart w:id="439" w:name="page440"/>
    <w:bookmarkEnd w:id="439"/>
    <w:p>
      <w:pPr>
        <w:ind w:left="630" w:hanging="190"/>
        <w:spacing w:after="0"/>
        <w:tabs>
          <w:tab w:leader="none" w:pos="630"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0" w:right="100" w:firstLine="871"/>
        <w:spacing w:after="0" w:line="285" w:lineRule="auto"/>
        <w:tabs>
          <w:tab w:leader="none" w:pos="1135" w:val="left"/>
        </w:tabs>
        <w:numPr>
          <w:ilvl w:val="2"/>
          <w:numId w:val="336"/>
        </w:numPr>
        <w:rPr>
          <w:rFonts w:ascii="Arial" w:cs="Arial" w:eastAsia="Arial" w:hAnsi="Arial"/>
          <w:sz w:val="16"/>
          <w:szCs w:val="16"/>
          <w:color w:val="auto"/>
        </w:rPr>
      </w:pPr>
      <w:r>
        <w:rPr>
          <w:rFonts w:ascii="Arial" w:cs="Arial" w:eastAsia="Arial" w:hAnsi="Arial"/>
          <w:sz w:val="16"/>
          <w:szCs w:val="16"/>
          <w:color w:val="auto"/>
        </w:rPr>
        <w:t>The term of this Lease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commence on the later of (i) the date that Lessor delivers the Premises to Lessee with the Tenant Improvements summarized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Substantially Completed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and (ii) March 1, 2015. Upon the Commencement Date, the Building and all of the systems of the Building, shall be in good operating condition and repair, including the roof and HVAC, mechanical, electrical, life safety and plumbing systems, and Landlord shall have labeled all electrical outlets and their corresponding electrical panels. If the Premises should be found to not be in compliance with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Lease on the Commencement Date or within the first ninety</w:t>
      </w:r>
    </w:p>
    <w:p>
      <w:pPr>
        <w:spacing w:after="0" w:line="1" w:lineRule="exact"/>
        <w:rPr>
          <w:rFonts w:ascii="Arial" w:cs="Arial" w:eastAsia="Arial" w:hAnsi="Arial"/>
          <w:sz w:val="16"/>
          <w:szCs w:val="16"/>
          <w:color w:val="auto"/>
        </w:rPr>
      </w:pPr>
    </w:p>
    <w:p>
      <w:pPr>
        <w:ind w:left="10" w:right="20" w:hanging="10"/>
        <w:spacing w:after="0" w:line="252" w:lineRule="auto"/>
        <w:tabs>
          <w:tab w:leader="none" w:pos="35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days of the Term, provided Lessee provides Lessor with written notice of the need for repair with a reasonable description thereof on or before the expiration of the ninetieth (90th) day following the Commencement Date, Lessor agrees to remedy such non-compliance, at its sole cost and expense (and not as a charge to or Operating Expense payable by Lessee) within a reasonable amount of time following its receipt of Lessee’s notice hereunder. The Commencement Date shall be confirmed in writing by Lessor and Lessee by the execution and delivery of the Commencement Memorandum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 w:firstLine="871"/>
        <w:spacing w:after="0" w:line="277" w:lineRule="auto"/>
        <w:tabs>
          <w:tab w:leader="none" w:pos="1145" w:val="left"/>
        </w:tabs>
        <w:numPr>
          <w:ilvl w:val="2"/>
          <w:numId w:val="337"/>
        </w:numPr>
        <w:rPr>
          <w:rFonts w:ascii="Arial" w:cs="Arial" w:eastAsia="Arial" w:hAnsi="Arial"/>
          <w:sz w:val="18"/>
          <w:szCs w:val="18"/>
          <w:color w:val="auto"/>
        </w:rPr>
      </w:pPr>
      <w:r>
        <w:rPr>
          <w:rFonts w:ascii="Arial" w:cs="Arial" w:eastAsia="Arial" w:hAnsi="Arial"/>
          <w:sz w:val="18"/>
          <w:szCs w:val="18"/>
          <w:color w:val="auto"/>
        </w:rPr>
        <w:t>The Term of this Lease shall expire, unless sooner terminated in accordance with the provisions hereof or as permitted by law, on the last day of the sixty-sixth (66th) full calendar month after the Commencement Date.</w:t>
      </w:r>
    </w:p>
    <w:p>
      <w:pPr>
        <w:spacing w:after="0" w:line="61" w:lineRule="exact"/>
        <w:rPr>
          <w:rFonts w:ascii="Arial" w:cs="Arial" w:eastAsia="Arial" w:hAnsi="Arial"/>
          <w:sz w:val="18"/>
          <w:szCs w:val="18"/>
          <w:color w:val="auto"/>
        </w:rPr>
      </w:pPr>
    </w:p>
    <w:p>
      <w:pPr>
        <w:ind w:left="10" w:right="20" w:firstLine="871"/>
        <w:spacing w:after="0" w:line="286" w:lineRule="auto"/>
        <w:tabs>
          <w:tab w:leader="none" w:pos="1135" w:val="left"/>
        </w:tabs>
        <w:numPr>
          <w:ilvl w:val="2"/>
          <w:numId w:val="337"/>
        </w:numPr>
        <w:rPr>
          <w:rFonts w:ascii="Arial" w:cs="Arial" w:eastAsia="Arial" w:hAnsi="Arial"/>
          <w:sz w:val="16"/>
          <w:szCs w:val="16"/>
          <w:color w:val="auto"/>
        </w:rPr>
      </w:pPr>
      <w:r>
        <w:rPr>
          <w:rFonts w:ascii="Arial" w:cs="Arial" w:eastAsia="Arial" w:hAnsi="Arial"/>
          <w:sz w:val="16"/>
          <w:szCs w:val="16"/>
          <w:color w:val="auto"/>
        </w:rPr>
        <w:t>Lessee acknowledges that the applicable ordinance of the City of Menlo Park (the “</w:t>
      </w:r>
      <w:r>
        <w:rPr>
          <w:rFonts w:ascii="Arial" w:cs="Arial" w:eastAsia="Arial" w:hAnsi="Arial"/>
          <w:sz w:val="16"/>
          <w:szCs w:val="16"/>
          <w:u w:val="single" w:color="auto"/>
          <w:color w:val="auto"/>
        </w:rPr>
        <w:t>City</w:t>
      </w:r>
      <w:r>
        <w:rPr>
          <w:rFonts w:ascii="Arial" w:cs="Arial" w:eastAsia="Arial" w:hAnsi="Arial"/>
          <w:sz w:val="16"/>
          <w:szCs w:val="16"/>
          <w:color w:val="auto"/>
        </w:rPr>
        <w:t>”) requires that Lessee must obtain a Conditional Use Permit (“</w:t>
      </w:r>
      <w:r>
        <w:rPr>
          <w:rFonts w:ascii="Arial" w:cs="Arial" w:eastAsia="Arial" w:hAnsi="Arial"/>
          <w:sz w:val="16"/>
          <w:szCs w:val="16"/>
          <w:u w:val="single" w:color="auto"/>
          <w:color w:val="auto"/>
        </w:rPr>
        <w:t>CUP</w:t>
      </w:r>
      <w:r>
        <w:rPr>
          <w:rFonts w:ascii="Arial" w:cs="Arial" w:eastAsia="Arial" w:hAnsi="Arial"/>
          <w:sz w:val="16"/>
          <w:szCs w:val="16"/>
          <w:color w:val="auto"/>
        </w:rPr>
        <w:t>”) from the City if Lessee maintains on the Premises five (5) gallons or more of Hazardous Materials (as defined in Paragraph 9). Accordingly, for the period from the Commencement Date until the date Lessee obtains the CUP from the City permitting Lessee to maintain on the Premises five (5) gallons or more of Hazardous Materials (estimated to be approximately seventy-five (75) days), Lessee shall maintain less than five</w:t>
      </w:r>
    </w:p>
    <w:p>
      <w:pPr>
        <w:ind w:left="10" w:right="20" w:hanging="10"/>
        <w:spacing w:after="0" w:line="271" w:lineRule="auto"/>
        <w:tabs>
          <w:tab w:leader="none" w:pos="26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gallons of Hazardous Materials on the Premises. Lessee shall promptly apply for and shall use its commercially reasonable good faith diligent efforts to comply with the City’s requirements for the issuance to Lessee of the CUP. Lessor shall assist Lessee in the filing and processing of the application for the CUP, and Lessee shall pay all costs associated with such efforts, including but not limited to the costs and fees incurred by Green Environment and DES Architects/Engineers as well as City fees associated with the CUP; provided, however, Lessor shall not be responsible for the issuance of the CUP. Lessee shall deliver a copy of the CUP to Lessor and Lessee shall comply with the provisions thereof.</w:t>
      </w:r>
    </w:p>
    <w:p>
      <w:pPr>
        <w:spacing w:after="0" w:line="177" w:lineRule="exact"/>
        <w:rPr>
          <w:rFonts w:ascii="Arial" w:cs="Arial" w:eastAsia="Arial" w:hAnsi="Arial"/>
          <w:sz w:val="17"/>
          <w:szCs w:val="17"/>
          <w:color w:val="auto"/>
        </w:rPr>
      </w:pPr>
    </w:p>
    <w:p>
      <w:pPr>
        <w:ind w:left="630" w:hanging="190"/>
        <w:spacing w:after="0"/>
        <w:tabs>
          <w:tab w:leader="none" w:pos="630"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Option to Extend</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0" w:firstLine="871"/>
        <w:spacing w:after="0" w:line="311" w:lineRule="auto"/>
        <w:tabs>
          <w:tab w:leader="none" w:pos="1135" w:val="left"/>
        </w:tabs>
        <w:numPr>
          <w:ilvl w:val="2"/>
          <w:numId w:val="338"/>
        </w:numPr>
        <w:rPr>
          <w:rFonts w:ascii="Arial" w:cs="Arial" w:eastAsia="Arial" w:hAnsi="Arial"/>
          <w:sz w:val="16"/>
          <w:szCs w:val="16"/>
          <w:color w:val="auto"/>
        </w:rPr>
      </w:pPr>
      <w:r>
        <w:rPr>
          <w:rFonts w:ascii="Arial" w:cs="Arial" w:eastAsia="Arial" w:hAnsi="Arial"/>
          <w:sz w:val="16"/>
          <w:szCs w:val="16"/>
          <w:color w:val="auto"/>
        </w:rPr>
        <w:t>Lessor hereby grants to Lessee one (1) option to extend the term of this Lease (the “</w:t>
      </w:r>
      <w:r>
        <w:rPr>
          <w:rFonts w:ascii="Arial" w:cs="Arial" w:eastAsia="Arial" w:hAnsi="Arial"/>
          <w:sz w:val="16"/>
          <w:szCs w:val="16"/>
          <w:u w:val="single" w:color="auto"/>
          <w:color w:val="auto"/>
        </w:rPr>
        <w:t>Option to Extend</w:t>
      </w:r>
      <w:r>
        <w:rPr>
          <w:rFonts w:ascii="Arial" w:cs="Arial" w:eastAsia="Arial" w:hAnsi="Arial"/>
          <w:sz w:val="16"/>
          <w:szCs w:val="16"/>
          <w:color w:val="auto"/>
        </w:rPr>
        <w:t>”) for a period of three (3) years (the “</w:t>
      </w:r>
      <w:r>
        <w:rPr>
          <w:rFonts w:ascii="Arial" w:cs="Arial" w:eastAsia="Arial" w:hAnsi="Arial"/>
          <w:sz w:val="16"/>
          <w:szCs w:val="16"/>
          <w:u w:val="single" w:color="auto"/>
          <w:color w:val="auto"/>
        </w:rPr>
        <w:t>Extended Term</w:t>
      </w:r>
      <w:r>
        <w:rPr>
          <w:rFonts w:ascii="Arial" w:cs="Arial" w:eastAsia="Arial" w:hAnsi="Arial"/>
          <w:sz w:val="16"/>
          <w:szCs w:val="16"/>
          <w:color w:val="auto"/>
        </w:rPr>
        <w:t xml:space="preserve">”) immediately following the expiration of the Term. Lessee may exercise the Option to Extend by giving written notice of exercise to Lessor at least nine (9) months but no more than twelve (12) months prior to the expiration of the initial Term of this Lease (“the </w:t>
      </w:r>
      <w:r>
        <w:rPr>
          <w:rFonts w:ascii="Arial" w:cs="Arial" w:eastAsia="Arial" w:hAnsi="Arial"/>
          <w:sz w:val="16"/>
          <w:szCs w:val="16"/>
          <w:u w:val="single" w:color="auto"/>
          <w:color w:val="auto"/>
        </w:rPr>
        <w:t>Option Exercise</w:t>
      </w:r>
    </w:p>
    <w:p>
      <w:pPr>
        <w:spacing w:after="0" w:line="8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4" w:right="459" w:bottom="1440" w:gutter="0" w:footer="0" w:header="0"/>
        </w:sectPr>
      </w:pPr>
    </w:p>
    <w:bookmarkStart w:id="440" w:name="page441"/>
    <w:bookmarkEnd w:id="440"/>
    <w:p>
      <w:pPr>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w:t>
      </w:r>
      <w:r>
        <w:rPr>
          <w:rFonts w:ascii="Arial" w:cs="Arial" w:eastAsia="Arial" w:hAnsi="Arial"/>
          <w:sz w:val="18"/>
          <w:szCs w:val="18"/>
          <w:color w:val="auto"/>
        </w:rPr>
        <w:t>”), time being of the essence; provided that if Lessee is in a state of uncured default after the expiration of all applicable notice and cure periods under this Lease at either the time of the exercise of the Option to Extend or on the commencement date of the Extended Term, such notice shall be void and of no force or effect. The Extended Term, if the Option to Extend is exercised, shall be upon the same terms and conditions as the initial Term of this Lease, including the payment by Lessee of the Additional Rent pursuant to Paragraph 5, except that (1) Lessee shall pay Monthly Base Rent, as determined as set forth in this Paragraph 3, during the Extended Term, (2) there shall be no additional option to extend, and (3) Lessee shall accept the Premises in their then “as is” condition. If Lessee does not exercise the Option to Extend in a timely manner the Option to Extend shall lapse, time being of the essence.</w:t>
      </w:r>
    </w:p>
    <w:p>
      <w:pPr>
        <w:spacing w:after="0" w:line="85" w:lineRule="exact"/>
        <w:rPr>
          <w:sz w:val="20"/>
          <w:szCs w:val="20"/>
          <w:color w:val="auto"/>
        </w:rPr>
      </w:pPr>
    </w:p>
    <w:p>
      <w:pPr>
        <w:ind w:right="180" w:firstLine="871"/>
        <w:spacing w:after="0" w:line="263" w:lineRule="auto"/>
        <w:tabs>
          <w:tab w:leader="none" w:pos="11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Option to Extend granted to Lessee by this Paragraph 3 is granted for the personal benefit of Personalis, Inc. and any assignee of a Permitted Transfer (defined in Section 17 below) only, and shall be exercisable only by Personalis, Inc. or an assignee of a Permitted Transfer. The Option to Extend may not be assigned or transferred to any other assignee or sublessee.</w:t>
      </w:r>
    </w:p>
    <w:p>
      <w:pPr>
        <w:spacing w:after="0" w:line="74" w:lineRule="exact"/>
        <w:rPr>
          <w:rFonts w:ascii="Arial" w:cs="Arial" w:eastAsia="Arial" w:hAnsi="Arial"/>
          <w:sz w:val="18"/>
          <w:szCs w:val="18"/>
          <w:color w:val="auto"/>
        </w:rPr>
      </w:pPr>
    </w:p>
    <w:p>
      <w:pPr>
        <w:ind w:right="60" w:firstLine="871"/>
        <w:spacing w:after="0" w:line="259" w:lineRule="auto"/>
        <w:tabs>
          <w:tab w:leader="none" w:pos="112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Monthly Base Rent for the Premises during the Extended Term shall be determined pursuant to the provisions of this Paragraph 3(c) and shall equal the then current fair market rental for the Premises on the commencement date of the Extended Term as determined by agreement between the Lessor and Lessee reached prior to the expiration of the Option Exercise Period, if possible, and by the process of appraisal if the parties cannot reach agreement.</w:t>
      </w:r>
    </w:p>
    <w:p>
      <w:pPr>
        <w:spacing w:after="0" w:line="77" w:lineRule="exact"/>
        <w:rPr>
          <w:rFonts w:ascii="Arial" w:cs="Arial" w:eastAsia="Arial" w:hAnsi="Arial"/>
          <w:sz w:val="18"/>
          <w:szCs w:val="18"/>
          <w:color w:val="auto"/>
        </w:rPr>
      </w:pPr>
    </w:p>
    <w:p>
      <w:pPr>
        <w:ind w:right="200" w:firstLine="871"/>
        <w:spacing w:after="0" w:line="275" w:lineRule="auto"/>
        <w:tabs>
          <w:tab w:leader="none" w:pos="1135" w:val="left"/>
        </w:tabs>
        <w:numPr>
          <w:ilvl w:val="0"/>
          <w:numId w:val="339"/>
        </w:numPr>
        <w:rPr>
          <w:rFonts w:ascii="Arial" w:cs="Arial" w:eastAsia="Arial" w:hAnsi="Arial"/>
          <w:sz w:val="17"/>
          <w:szCs w:val="17"/>
          <w:color w:val="auto"/>
        </w:rPr>
      </w:pPr>
      <w:r>
        <w:rPr>
          <w:rFonts w:ascii="Arial" w:cs="Arial" w:eastAsia="Arial" w:hAnsi="Arial"/>
          <w:sz w:val="17"/>
          <w:szCs w:val="17"/>
          <w:color w:val="auto"/>
        </w:rPr>
        <w:t>Upon the written request by Lessee to Lessor received by Lessor at any time during the thirty (30) day period prior to the expiration of the Option Exercise Period and prior to the exercise by Lessee of the Option to Extend, Lessor shall give Lessee written notice of Lessor’s good faith opinion of the amount equal to the fair market rental value of the Premises for the Extended Term. Thereafter, upon the request of Lessee, Lessor and Lessee shall enter into good faith negotiations during the remainder of the thirty (30) days prior to the expiration of the Option Exercise Period in an effort to reach agreement on the initial Monthly Base Rent for the Premises during the Extended Term.</w:t>
      </w:r>
    </w:p>
    <w:p>
      <w:pPr>
        <w:spacing w:after="0" w:line="175"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If Lessor and Lessee are unable to agree upon the amount equal to the fair market rental value of the Premises for the Extended Term, and thereafter, prior to the expiration of the Option Exercise Period, Lessee exercises the Option to Extend, said amount shall be determined by appraisal. The appraisal shall be performed by one appraiser if the parties are able to agree upon one appraiser. If the parties are unable to agree upon one appraiser, then each party shall appoint an appraiser and the two appraisers shall select a third appraiser. Each appraiser selected shall be a member of the American Institute of Real Estate Appraisers (AIREA) with at least five (5) years of full-time commercial real estate appraisal experience in the Menlo Park office/R&amp;D/manufacturing rental market.</w:t>
      </w:r>
    </w:p>
    <w:p>
      <w:pPr>
        <w:spacing w:after="0" w:line="191"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If only one appraiser is selected, that appraiser shall notify the parties in simple letter form of its determination of the amount equal to the fair market Monthly Base Rent for the Premises on the commencement date of the Extended Term within fifteen (15) days following its selection. Said appraisal shall be binding on the parties as the appraised current “fair market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441" w:name="page442"/>
    <w:bookmarkEnd w:id="44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rental” for the Premises which shall be based upon what a willing new lessee would pay and a willing lessor would accept at arm’s length for comparable premises in the Menlo Park market of similar age, size, quality of construction and specifications (excluding the value of any improvements to the Premises made at Lessee’s cost with Lessor’s prior written consent except as otherwise permitted herein) for a lease similar to this Lease and taking into consideration that there will be no free rent, improvement allowance, or other rent concessions. If multiple appraisers are selected, the parties shall deliver their respective opinions of current fair market rental for the Premises to each appraiser, and each appraiser shall within ten (10) days of being selected make its determination of which of the opinions, Lessor’s or Lessee’s, such appraiser has selected as the amount equal to the fair market Monthly Base Rent for the Premises on the commencement date of the Extended Term in simple letter form. If two (2) or more of the appraisers agree on said amount, such agreement shall be binding upon the parties. If multiple appraisers are selected and two (2) appraisers are unable to agree on said amount, the amount equal to the fair market Monthly Base Rent for the Premises on the commencement date of the Extended Term shall be determined by taking the mean average of the opinions of fair market rent for the Premises, provided, that any high or low appraisal, differing from the middle appraisal by more than ten percent (10%) of the middle appraisal, shall be disregarded in calculating the average.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only one appraiser is selected, then each party shall pay one-half of the fees and expenses of that appraiser. If three appraisers are selected, each party shall bear the fees of the appraiser it selects and one-half of the fees and expenses of the third appraiser.</w:t>
      </w:r>
    </w:p>
    <w:p>
      <w:pPr>
        <w:spacing w:after="0" w:line="62" w:lineRule="exact"/>
        <w:rPr>
          <w:sz w:val="20"/>
          <w:szCs w:val="20"/>
          <w:color w:val="auto"/>
        </w:rPr>
      </w:pPr>
    </w:p>
    <w:p>
      <w:pPr>
        <w:ind w:firstLine="871"/>
        <w:spacing w:after="0" w:line="263" w:lineRule="auto"/>
        <w:tabs>
          <w:tab w:leader="none" w:pos="1125"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Thereafter, provided that Lessee has previously given timely notice to Lessor of the exercise by Lessee of the Option to Extend, Lessor and Lessee shall execute an amendment to this Lease stating that the initial Monthly Base Rent for the Premises during the Extended Term shall be equal to the determination by appraisal.</w:t>
      </w:r>
    </w:p>
    <w:p>
      <w:pPr>
        <w:spacing w:after="0" w:line="74" w:lineRule="exact"/>
        <w:rPr>
          <w:rFonts w:ascii="Arial" w:cs="Arial" w:eastAsia="Arial" w:hAnsi="Arial"/>
          <w:sz w:val="18"/>
          <w:szCs w:val="18"/>
          <w:color w:val="auto"/>
        </w:rPr>
      </w:pPr>
    </w:p>
    <w:p>
      <w:pPr>
        <w:ind w:left="620" w:hanging="190"/>
        <w:spacing w:after="0"/>
        <w:tabs>
          <w:tab w:leader="none" w:pos="62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Monthly Base Rent; Required Deposits upon Execution of Lease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120" w:firstLine="871"/>
        <w:spacing w:after="0" w:line="341" w:lineRule="auto"/>
        <w:tabs>
          <w:tab w:leader="none" w:pos="1125" w:val="left"/>
        </w:tabs>
        <w:numPr>
          <w:ilvl w:val="1"/>
          <w:numId w:val="341"/>
        </w:numPr>
        <w:rPr>
          <w:rFonts w:ascii="Arial" w:cs="Arial" w:eastAsia="Arial" w:hAnsi="Arial"/>
          <w:sz w:val="16"/>
          <w:szCs w:val="16"/>
          <w:color w:val="auto"/>
        </w:rPr>
      </w:pPr>
      <w:r>
        <w:rPr>
          <w:rFonts w:ascii="Arial" w:cs="Arial" w:eastAsia="Arial" w:hAnsi="Arial"/>
          <w:sz w:val="16"/>
          <w:szCs w:val="16"/>
          <w:color w:val="auto"/>
        </w:rPr>
        <w:t>Commencing on the Commencement Date and continuing on the first day of each calendar month thereafter until the end of the Term, Lessee shall pay to Lessor in monthly installments in advance the Monthly Base Rent for the Premises in lawful money of the United States as follows:</w:t>
      </w:r>
    </w:p>
    <w:p>
      <w:pPr>
        <w:spacing w:after="0" w:line="147"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Months</w:t>
            </w:r>
          </w:p>
        </w:tc>
        <w:tc>
          <w:tcPr>
            <w:tcW w:w="5680" w:type="dxa"/>
            <w:vAlign w:val="bottom"/>
            <w:gridSpan w:val="2"/>
          </w:tcPr>
          <w:p>
            <w:pPr>
              <w:jc w:val="right"/>
              <w:spacing w:after="0"/>
              <w:rPr>
                <w:sz w:val="20"/>
                <w:szCs w:val="20"/>
                <w:color w:val="auto"/>
              </w:rPr>
            </w:pPr>
            <w:r>
              <w:rPr>
                <w:rFonts w:ascii="Arial" w:cs="Arial" w:eastAsia="Arial" w:hAnsi="Arial"/>
                <w:sz w:val="14"/>
                <w:szCs w:val="14"/>
                <w:color w:val="auto"/>
              </w:rPr>
              <w:t>Square Feet</w:t>
            </w:r>
          </w:p>
        </w:tc>
        <w:tc>
          <w:tcPr>
            <w:tcW w:w="1420" w:type="dxa"/>
            <w:vAlign w:val="bottom"/>
            <w:gridSpan w:val="3"/>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/SF/Mo./NNN</w:t>
            </w:r>
          </w:p>
        </w:tc>
        <w:tc>
          <w:tcPr>
            <w:tcW w:w="1700" w:type="dxa"/>
            <w:vAlign w:val="bottom"/>
            <w:gridSpan w:val="4"/>
          </w:tcPr>
          <w:p>
            <w:pPr>
              <w:ind w:left="520"/>
              <w:spacing w:after="0"/>
              <w:rPr>
                <w:sz w:val="20"/>
                <w:szCs w:val="20"/>
                <w:color w:val="auto"/>
              </w:rPr>
            </w:pPr>
            <w:r>
              <w:rPr>
                <w:rFonts w:ascii="Arial" w:cs="Arial" w:eastAsia="Arial" w:hAnsi="Arial"/>
                <w:sz w:val="14"/>
                <w:szCs w:val="14"/>
                <w:color w:val="auto"/>
                <w:w w:val="98"/>
              </w:rPr>
              <w:t>Monthly Base Rent</w:t>
            </w:r>
          </w:p>
        </w:tc>
      </w:tr>
      <w:tr>
        <w:trPr>
          <w:trHeight w:val="203"/>
        </w:trPr>
        <w:tc>
          <w:tcPr>
            <w:tcW w:w="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1-2</w:t>
            </w:r>
          </w:p>
        </w:tc>
        <w:tc>
          <w:tcPr>
            <w:tcW w:w="4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31,280</w:t>
            </w: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3-12</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65,250.00</w:t>
            </w:r>
          </w:p>
        </w:tc>
        <w:tc>
          <w:tcPr>
            <w:tcW w:w="6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13-24</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31,280</w:t>
            </w:r>
          </w:p>
        </w:tc>
        <w:tc>
          <w:tcPr>
            <w:tcW w:w="8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84,143.20</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1"/>
              </w:rPr>
              <w:t>25-36</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31,280</w:t>
            </w:r>
          </w:p>
        </w:tc>
        <w:tc>
          <w:tcPr>
            <w:tcW w:w="8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86,645.60</w:t>
            </w:r>
          </w:p>
        </w:tc>
        <w:tc>
          <w:tcPr>
            <w:tcW w:w="6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37-48</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31,280</w:t>
            </w:r>
          </w:p>
        </w:tc>
        <w:tc>
          <w:tcPr>
            <w:tcW w:w="8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89,148.00</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1"/>
              </w:rPr>
              <w:t>49-60</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31,280</w:t>
            </w:r>
          </w:p>
        </w:tc>
        <w:tc>
          <w:tcPr>
            <w:tcW w:w="8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91,963.20</w:t>
            </w:r>
          </w:p>
        </w:tc>
        <w:tc>
          <w:tcPr>
            <w:tcW w:w="6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61-66</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31,280</w:t>
            </w:r>
          </w:p>
        </w:tc>
        <w:tc>
          <w:tcPr>
            <w:tcW w:w="8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94,778.40</w:t>
            </w:r>
          </w:p>
        </w:tc>
        <w:tc>
          <w:tcPr>
            <w:tcW w:w="60" w:type="dxa"/>
            <w:vAlign w:val="bottom"/>
            <w:shd w:val="clear" w:color="auto" w:fill="CCEEFF"/>
          </w:tcPr>
          <w:p>
            <w:pPr>
              <w:spacing w:after="0"/>
              <w:rPr>
                <w:sz w:val="18"/>
                <w:szCs w:val="18"/>
                <w:color w:val="auto"/>
              </w:rPr>
            </w:pPr>
          </w:p>
        </w:tc>
      </w:tr>
      <w:tr>
        <w:trPr>
          <w:trHeight w:val="364"/>
        </w:trPr>
        <w:tc>
          <w:tcPr>
            <w:tcW w:w="440" w:type="dxa"/>
            <w:vAlign w:val="bottom"/>
          </w:tcPr>
          <w:p>
            <w:pPr>
              <w:spacing w:after="0"/>
              <w:rPr>
                <w:sz w:val="24"/>
                <w:szCs w:val="24"/>
                <w:color w:val="auto"/>
              </w:rPr>
            </w:pPr>
          </w:p>
        </w:tc>
        <w:tc>
          <w:tcPr>
            <w:tcW w:w="4980" w:type="dxa"/>
            <w:vAlign w:val="bottom"/>
          </w:tcPr>
          <w:p>
            <w:pPr>
              <w:jc w:val="right"/>
              <w:ind w:right="612"/>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460" w:top="274" w:right="439" w:bottom="1440" w:gutter="0" w:footer="0" w:header="0"/>
        </w:sectPr>
      </w:pPr>
    </w:p>
    <w:bookmarkStart w:id="442" w:name="page443"/>
    <w:bookmarkEnd w:id="442"/>
    <w:p>
      <w:pPr>
        <w:ind w:right="20" w:firstLine="871"/>
        <w:spacing w:after="0" w:line="272" w:lineRule="auto"/>
        <w:tabs>
          <w:tab w:leader="none" w:pos="1135" w:val="left"/>
        </w:tabs>
        <w:numPr>
          <w:ilvl w:val="1"/>
          <w:numId w:val="3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execution and delivery of this Lease by Lessee, Lessee shall pay to Lessor (1) the cash sum of Sixty-Five Thousand Two Hundred and 00/100 Dollars ($65,250.00) representing the installment of Monthly Base Rent for the first full month in which Monthly Base Rent is due following the Commencement Date. Thereafter, Monthly Base Rent shall be paid monthly in advance on the first day of each calendar month. Lessee shall also pay to Lessor upon execution and delivery of this Lease, the amount of Forty Nine Thousand Two Hundred Fifty and 00/100 Dollars ($49,250.00), which amount shall be applied to the Additional Rent (as hereinafter defined) for the first calendar month of the Term. Lessee shall also pay to Lessor upon the execution and delivery of this Lease the additional amount of Two Hundred Forty Four Thousand Nine Hundred Twenty Two and 40/100 Dollars ($244,922.40) representing the Security Deposit (as defined in Paragraph 7 below).</w:t>
      </w:r>
    </w:p>
    <w:p>
      <w:pPr>
        <w:spacing w:after="0" w:line="67" w:lineRule="exact"/>
        <w:rPr>
          <w:rFonts w:ascii="Arial" w:cs="Arial" w:eastAsia="Arial" w:hAnsi="Arial"/>
          <w:sz w:val="17"/>
          <w:szCs w:val="17"/>
          <w:color w:val="auto"/>
        </w:rPr>
      </w:pPr>
    </w:p>
    <w:p>
      <w:pPr>
        <w:ind w:left="620" w:hanging="190"/>
        <w:spacing w:after="0"/>
        <w:tabs>
          <w:tab w:leader="none" w:pos="62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Additional Rent; Operating Expenses and Taxes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69" w:lineRule="auto"/>
        <w:tabs>
          <w:tab w:leader="none" w:pos="1125" w:val="left"/>
        </w:tabs>
        <w:numPr>
          <w:ilvl w:val="1"/>
          <w:numId w:val="343"/>
        </w:numPr>
        <w:rPr>
          <w:rFonts w:ascii="Arial" w:cs="Arial" w:eastAsia="Arial" w:hAnsi="Arial"/>
          <w:sz w:val="17"/>
          <w:szCs w:val="17"/>
          <w:color w:val="auto"/>
        </w:rPr>
      </w:pPr>
      <w:r>
        <w:rPr>
          <w:rFonts w:ascii="Arial" w:cs="Arial" w:eastAsia="Arial" w:hAnsi="Arial"/>
          <w:sz w:val="17"/>
          <w:szCs w:val="17"/>
          <w:color w:val="auto"/>
        </w:rPr>
        <w:t>In addition to the Monthly Base Rent payable by Lessee pursuant to Paragraph 4, commencing on the Commencement Date Lessee shall pay to Lessor, as “Additional Rent,” (1) Lessee’s Pro Rata Share of the Operating Expenses of the Property, (2) Lessee’s pro rata share of the operating expenses for the Menlo Business Park of which the Property is a part (the “</w:t>
      </w:r>
      <w:r>
        <w:rPr>
          <w:rFonts w:ascii="Arial" w:cs="Arial" w:eastAsia="Arial" w:hAnsi="Arial"/>
          <w:sz w:val="17"/>
          <w:szCs w:val="17"/>
          <w:u w:val="single" w:color="auto"/>
          <w:color w:val="auto"/>
        </w:rPr>
        <w:t>Park Expenses</w:t>
      </w:r>
      <w:r>
        <w:rPr>
          <w:rFonts w:ascii="Arial" w:cs="Arial" w:eastAsia="Arial" w:hAnsi="Arial"/>
          <w:sz w:val="17"/>
          <w:szCs w:val="17"/>
          <w:color w:val="auto"/>
        </w:rPr>
        <w:t xml:space="preserve">”), and (3) Lessee’s Pro Rata Share of the Taxes (as defined in Paragraph 5(c) below). Lessee’s pro rata share of the operating expenses of Menlo Business Park is 3.56% based upon the ratio of the number of square feet of the Land allocable to the Property to the total number of square feet of land in Menlo Business Park, as shown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Lessee’s pro rata share of the Operating Expenses for 1330 O’Brien Drive (Building #5) is 100% (25,366/25,366) and for 1360 O’Brien Drive (Building #6) is 28.68% (5,914/20,624). The Park Expenses, of which the Property is a part, currently include maintenance of the common areas of Menlo Business Park, parking lot lighting (cost of electricity and maintenance of the fixtures), maintenance of the network conduit, all landscape maintenance and irrigation of Menlo Business Park, Lessor’s insurance coverages of Menlo Business Park, and security patrol. The Park Expenses may include other commercially reasonable and customary items from time to time during the term of this Lease. Monthly Base Rent and Additional Rent are referred to herein collectively as “</w:t>
      </w:r>
      <w:r>
        <w:rPr>
          <w:rFonts w:ascii="Arial" w:cs="Arial" w:eastAsia="Arial" w:hAnsi="Arial"/>
          <w:sz w:val="17"/>
          <w:szCs w:val="17"/>
          <w:u w:val="single" w:color="auto"/>
          <w:color w:val="auto"/>
        </w:rPr>
        <w:t>rent</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right="40" w:firstLine="871"/>
        <w:spacing w:after="0" w:line="259" w:lineRule="auto"/>
        <w:tabs>
          <w:tab w:leader="none" w:pos="1135"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Expenses</w:t>
      </w:r>
      <w:r>
        <w:rPr>
          <w:rFonts w:ascii="Arial" w:cs="Arial" w:eastAsia="Arial" w:hAnsi="Arial"/>
          <w:sz w:val="18"/>
          <w:szCs w:val="18"/>
          <w:color w:val="auto"/>
        </w:rPr>
        <w:t>,” as used herein, shall include all commercially reasonable and customary direct costs actually incurred by Lessor in the management, operation, maintenance, repair and replacement of the Property, including the cost of all maintenance, repairs, and restoration of the Property performed by Lessor pursuant to Paragraphs 14(b) and 14(c) hereof, as determined by generally accepted accounting principles (unless excluded by this Lease), including, but not limited to:</w:t>
      </w:r>
    </w:p>
    <w:p>
      <w:pPr>
        <w:spacing w:after="0" w:line="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Personal property taxes related to the Premises; any parking taxes or parking levies imposed on the Premises in the future by any governmental agency; a management fee charged for the management and operation of Menlo Business Park, in an amount equal to four percent (4%) of the total gross income received by Lessor from the Lessee (including Monthly Base Rent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443" w:name="page444"/>
    <w:bookmarkEnd w:id="44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Additional Rent), and not just Lessee’s Pro Rata Share of this fee; water and sewer charges; waste disposal; insurance premiums for insurance coverages maintained by Lessor pursuant to Paragraph 11(b) hereof; license, permit, and inspection fees; charges for electricity, heating, air conditioning, gas, and any other utilities (including, without limitation, any temporary or permanent utility surcharge or other exaction); security; maintenance, repair, and replacement of the roof membrane (which if such replacement is a capital expenditure as determined in accordance with generally accepted accounting principles shall be subject to amortization as more fully described below); painting and repairing, interior and exterior; maintenance and replacement of floor and window coverings (which if such replacements are capital expenditures as determined in accordance with generally accepted accounting principles shall be subject to amortization as more fully described below); repair, maintenance, and replacement (which if such replacement is a capital expenditure as determined in accordance with generally accepted accounting principles shall be subject to amortization as more fully described below) of air-conditioning, heating, mechanical and electrical systems, elevators, plumbing and sewage systems; janitorial service; landscaping, gardening, and tree trimming; glazing; repair, maintenance, cleaning, sweeping, striping, and resurfacing of the parking area; exterior Building lighting and parking lot lighting; supplies, materials, equipment and tools in the maintenance of the Property; costs for accounting services incurred in the calculation of Operating Expenses and Taxes; and the cost of any other capital expenditures for any improvements or changes to the Building which are required by laws, ordinances, or other governmental regulations adopted after the Commencement Date, or for any items or capital expenditures voluntarily made by Lessor which are intended to reduce Operating Expenses; provided, however, that except for capital improvements required because of Lessee’s specific use of the Property, if Lessor is required to or voluntarily makes such capital improvements, Lessor shall amortize the cost of said improvements over the useful life of said improvements calculated in accordance with generally accepted accounting principles (together with interest on the unamortized balance at the rate equal to the prime rate of interest as published in the “Wall Street Journal,” plus two percent (2%)) as an Operating Expense in accordance with generally accepted accounting principles, except that with respect to capital improvements made to save Operating Expenses such amortization shall not be at a rate greater than the actual savings in Operating Expenses. Operating Expenses shall also include any other expense or charge, whether or not described herein not specifically excluded by other provisions of this Lease, which in accordance with generally accepted accounting principles would be considered an expense of managing, operating, maintaining, and repairing the Property.</w:t>
      </w:r>
    </w:p>
    <w:p>
      <w:pPr>
        <w:spacing w:after="0" w:line="68" w:lineRule="exact"/>
        <w:rPr>
          <w:sz w:val="20"/>
          <w:szCs w:val="20"/>
          <w:color w:val="auto"/>
        </w:rPr>
      </w:pPr>
    </w:p>
    <w:p>
      <w:pPr>
        <w:ind w:right="420" w:firstLine="871"/>
        <w:spacing w:after="0" w:line="277" w:lineRule="auto"/>
        <w:tabs>
          <w:tab w:leader="none" w:pos="112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Real property taxes and assessments upon the Property, during each lease year or partial lease year during the term of this Lease are referred to herein as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Taxes</w:t>
      </w:r>
      <w:r>
        <w:rPr>
          <w:rFonts w:ascii="Arial" w:cs="Arial" w:eastAsia="Arial" w:hAnsi="Arial"/>
          <w:sz w:val="18"/>
          <w:szCs w:val="18"/>
          <w:color w:val="auto"/>
        </w:rPr>
        <w:t>” shall mean:</w:t>
      </w:r>
    </w:p>
    <w:p>
      <w:pPr>
        <w:spacing w:after="0" w:line="117" w:lineRule="exact"/>
        <w:rPr>
          <w:sz w:val="20"/>
          <w:szCs w:val="20"/>
          <w:color w:val="auto"/>
        </w:rPr>
      </w:pPr>
    </w:p>
    <w:p>
      <w:pPr>
        <w:ind w:right="20" w:firstLine="1421"/>
        <w:spacing w:after="0" w:line="259" w:lineRule="auto"/>
        <w:tabs>
          <w:tab w:leader="none" w:pos="168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real estate taxes, assessments, charges and any other taxes which are levied or assessed against the Property including the Land, the Building, and all improvements located thereon, including any increase in Taxes resulting from a reassessment following any transfer of ownership of the Property or any interest therein or following any improvements to the Property, or improvements to Menlo Business Park which are for the benefit of all occupants of Menlo Business Park;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444" w:name="page445"/>
    <w:bookmarkEnd w:id="444"/>
    <w:p>
      <w:pPr>
        <w:ind w:firstLine="1421"/>
        <w:spacing w:after="0" w:line="272" w:lineRule="auto"/>
        <w:tabs>
          <w:tab w:leader="none" w:pos="1686" w:val="left"/>
        </w:tabs>
        <w:numPr>
          <w:ilvl w:val="0"/>
          <w:numId w:val="3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 district or division thereof, for public improvements, services, or benefits which are assessed, levied, confirmed, imposed, or become a lien (1) upon the Property, and/or any legal or equitable interest of Lessor in any part thereof; or (2) upon this transaction or any document to which Lessee is a party creating or transferring any interest in the Property; and (3) any tax or excise, however described, imposed in addition to, or in substitution partially or totally of, any tax previously included within the definition of “Taxes” or any tax the nature of which was previously included in the definition “Taxes.”</w:t>
      </w:r>
    </w:p>
    <w:p>
      <w:pPr>
        <w:spacing w:after="0" w:line="17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Not included within the definition of “Taxes” are any net income, profits, transfer, franchise, estate, gift, rental income, or inheritance taxes imposed by any governmental authority. “Taxes” also shall not include penalties or interest charges assessed on delinquent Taxes so long as Lessee is not in default in the payment of Monthly Base Rent or Additional Rent.</w:t>
      </w:r>
    </w:p>
    <w:p>
      <w:pPr>
        <w:spacing w:after="0" w:line="183" w:lineRule="exact"/>
        <w:rPr>
          <w:sz w:val="20"/>
          <w:szCs w:val="20"/>
          <w:color w:val="auto"/>
        </w:rPr>
      </w:pPr>
    </w:p>
    <w:p>
      <w:pPr>
        <w:jc w:val="both"/>
        <w:ind w:right="400" w:firstLine="440"/>
        <w:spacing w:after="0" w:line="311" w:lineRule="auto"/>
        <w:rPr>
          <w:sz w:val="20"/>
          <w:szCs w:val="20"/>
          <w:color w:val="auto"/>
        </w:rPr>
      </w:pPr>
      <w:r>
        <w:rPr>
          <w:rFonts w:ascii="Arial" w:cs="Arial" w:eastAsia="Arial" w:hAnsi="Arial"/>
          <w:sz w:val="16"/>
          <w:szCs w:val="16"/>
          <w:color w:val="auto"/>
        </w:rPr>
        <w:t>With respect to any assessments which may be levied against or upon the Property, which under the laws then in force may be evidenced by improvement or other bonds, or may be paid in annual installments, only the amount of such annual installment (with appropriate proration of any partial year) and statutory interest shall be included within the computation of the annual Taxes levied against the Property.</w:t>
      </w:r>
    </w:p>
    <w:p>
      <w:pPr>
        <w:spacing w:after="0" w:line="40" w:lineRule="exact"/>
        <w:rPr>
          <w:sz w:val="20"/>
          <w:szCs w:val="20"/>
          <w:color w:val="auto"/>
        </w:rPr>
      </w:pPr>
    </w:p>
    <w:p>
      <w:pPr>
        <w:ind w:left="1120" w:hanging="249"/>
        <w:spacing w:after="0"/>
        <w:tabs>
          <w:tab w:leader="none" w:pos="11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following costs (“</w:t>
      </w:r>
      <w:r>
        <w:rPr>
          <w:rFonts w:ascii="Arial" w:cs="Arial" w:eastAsia="Arial" w:hAnsi="Arial"/>
          <w:sz w:val="18"/>
          <w:szCs w:val="18"/>
          <w:u w:val="single" w:color="auto"/>
          <w:color w:val="auto"/>
        </w:rPr>
        <w:t>Costs</w:t>
      </w:r>
      <w:r>
        <w:rPr>
          <w:rFonts w:ascii="Arial" w:cs="Arial" w:eastAsia="Arial" w:hAnsi="Arial"/>
          <w:sz w:val="18"/>
          <w:szCs w:val="18"/>
          <w:color w:val="auto"/>
        </w:rPr>
        <w:t>”) shall be excluded from the definition of Operating Expenses:</w:t>
      </w:r>
    </w:p>
    <w:p>
      <w:pPr>
        <w:spacing w:after="0" w:line="116" w:lineRule="exact"/>
        <w:rPr>
          <w:rFonts w:ascii="Arial" w:cs="Arial" w:eastAsia="Arial" w:hAnsi="Arial"/>
          <w:sz w:val="18"/>
          <w:szCs w:val="18"/>
          <w:color w:val="auto"/>
        </w:rPr>
      </w:pPr>
    </w:p>
    <w:p>
      <w:pPr>
        <w:ind w:right="540" w:firstLine="1421"/>
        <w:spacing w:after="0" w:line="277" w:lineRule="auto"/>
        <w:tabs>
          <w:tab w:leader="none" w:pos="168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Costs occasioned by the act, omission or violation of law by Lessor, any other occupant of Menlo Business Park, or their respective agents, employees or contractors;</w:t>
      </w:r>
    </w:p>
    <w:p>
      <w:pPr>
        <w:spacing w:after="0" w:line="61" w:lineRule="exact"/>
        <w:rPr>
          <w:rFonts w:ascii="Arial" w:cs="Arial" w:eastAsia="Arial" w:hAnsi="Arial"/>
          <w:sz w:val="18"/>
          <w:szCs w:val="18"/>
          <w:color w:val="auto"/>
        </w:rPr>
      </w:pPr>
    </w:p>
    <w:p>
      <w:pPr>
        <w:ind w:left="1680" w:hanging="259"/>
        <w:spacing w:after="0"/>
        <w:tabs>
          <w:tab w:leader="none" w:pos="16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Costs for which Lessor receives reimbursement from others, including reimbursement from insurance;</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Interest, charges and fees incurred on debt or payments on any deed of trust or ground lease on the Property, or Menlo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Park;</w:t>
      </w:r>
    </w:p>
    <w:p>
      <w:pPr>
        <w:spacing w:after="0" w:line="102" w:lineRule="exact"/>
        <w:rPr>
          <w:rFonts w:ascii="Arial" w:cs="Arial" w:eastAsia="Arial" w:hAnsi="Arial"/>
          <w:sz w:val="16"/>
          <w:szCs w:val="16"/>
          <w:color w:val="auto"/>
        </w:rPr>
      </w:pPr>
    </w:p>
    <w:p>
      <w:pPr>
        <w:ind w:left="1680" w:hanging="259"/>
        <w:spacing w:after="0"/>
        <w:tabs>
          <w:tab w:leader="none" w:pos="168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Advertising or promotional costs or other costs incurred by Lessor in procuring tenants for the Property or other portions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Menlo Business Park;</w:t>
      </w:r>
    </w:p>
    <w:p>
      <w:pPr>
        <w:spacing w:after="0" w:line="102" w:lineRule="exact"/>
        <w:rPr>
          <w:rFonts w:ascii="Arial" w:cs="Arial" w:eastAsia="Arial" w:hAnsi="Arial"/>
          <w:sz w:val="17"/>
          <w:szCs w:val="17"/>
          <w:color w:val="auto"/>
        </w:rPr>
      </w:pPr>
    </w:p>
    <w:p>
      <w:pPr>
        <w:ind w:right="300" w:firstLine="1421"/>
        <w:spacing w:after="0" w:line="277" w:lineRule="auto"/>
        <w:tabs>
          <w:tab w:leader="none" w:pos="168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Costs incurred in repairing, maintaining or replacing any structural elements of the Building for which Lessor is responsible pursuant to Paragraph 14(a) hereof;</w:t>
      </w:r>
    </w:p>
    <w:p>
      <w:pPr>
        <w:spacing w:after="0" w:line="61" w:lineRule="exact"/>
        <w:rPr>
          <w:rFonts w:ascii="Arial" w:cs="Arial" w:eastAsia="Arial" w:hAnsi="Arial"/>
          <w:sz w:val="18"/>
          <w:szCs w:val="18"/>
          <w:color w:val="auto"/>
        </w:rPr>
      </w:pPr>
    </w:p>
    <w:p>
      <w:pPr>
        <w:jc w:val="both"/>
        <w:ind w:firstLine="1421"/>
        <w:spacing w:after="0" w:line="259" w:lineRule="auto"/>
        <w:tabs>
          <w:tab w:leader="none" w:pos="168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Any wages, bonuses or other compensation of employees above the grade of building manager and any executive salary of any officer or employee of Lessor or for employees to the extent not stationed at Menlo Business Park, including fringe benefits other than insurance plans and tax-qualified benefit plans, or any fee, profit or compensation retained by Lessor or its affiliates for management and administration of the Property in excess of the management fee referred to in Paragraph 5(b) of this Lease;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60" w:top="274" w:right="539" w:bottom="1440" w:gutter="0" w:footer="0" w:header="0"/>
        </w:sectPr>
      </w:pPr>
    </w:p>
    <w:bookmarkStart w:id="445" w:name="page446"/>
    <w:bookmarkEnd w:id="445"/>
    <w:p>
      <w:pPr>
        <w:ind w:left="1680" w:hanging="259"/>
        <w:spacing w:after="0"/>
        <w:tabs>
          <w:tab w:leader="none" w:pos="1680" w:val="left"/>
        </w:tabs>
        <w:numPr>
          <w:ilvl w:val="0"/>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office overhead and general and administrative expenses of Lessor, except as specifically provided in Paragraph 5(b);</w:t>
      </w:r>
    </w:p>
    <w:p>
      <w:pPr>
        <w:spacing w:after="0" w:line="139" w:lineRule="exact"/>
        <w:rPr>
          <w:rFonts w:ascii="Arial" w:cs="Arial" w:eastAsia="Arial" w:hAnsi="Arial"/>
          <w:sz w:val="16"/>
          <w:szCs w:val="16"/>
          <w:color w:val="auto"/>
        </w:rPr>
      </w:pPr>
    </w:p>
    <w:p>
      <w:pPr>
        <w:ind w:left="1680" w:hanging="259"/>
        <w:spacing w:after="0"/>
        <w:tabs>
          <w:tab w:leader="none" w:pos="16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Leasing expenses and broker commissions payable by Lessor;</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Costs occasioned by casualties or by the exercise of the power of eminent domain;</w:t>
      </w:r>
    </w:p>
    <w:p>
      <w:pPr>
        <w:spacing w:after="0" w:line="116" w:lineRule="exact"/>
        <w:rPr>
          <w:rFonts w:ascii="Arial" w:cs="Arial" w:eastAsia="Arial" w:hAnsi="Arial"/>
          <w:sz w:val="18"/>
          <w:szCs w:val="18"/>
          <w:color w:val="auto"/>
        </w:rPr>
      </w:pPr>
    </w:p>
    <w:p>
      <w:pPr>
        <w:ind w:left="1760" w:hanging="339"/>
        <w:spacing w:after="0"/>
        <w:tabs>
          <w:tab w:leader="none" w:pos="176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Costs to correct any construction or design defect in the Building or the Premises existing on the Commencement Date;</w:t>
      </w:r>
    </w:p>
    <w:p>
      <w:pPr>
        <w:spacing w:after="0" w:line="128" w:lineRule="exact"/>
        <w:rPr>
          <w:rFonts w:ascii="Arial" w:cs="Arial" w:eastAsia="Arial" w:hAnsi="Arial"/>
          <w:sz w:val="17"/>
          <w:szCs w:val="17"/>
          <w:color w:val="auto"/>
        </w:rPr>
      </w:pPr>
    </w:p>
    <w:p>
      <w:pPr>
        <w:ind w:right="80" w:firstLine="1421"/>
        <w:spacing w:after="0" w:line="277" w:lineRule="auto"/>
        <w:tabs>
          <w:tab w:leader="none" w:pos="176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Costs of any renovation, improvement, painting or redecorating of any portion of the Property or the Menlo Business Park not made available for Lessee’s use;</w:t>
      </w:r>
    </w:p>
    <w:p>
      <w:pPr>
        <w:spacing w:after="0" w:line="61" w:lineRule="exact"/>
        <w:rPr>
          <w:rFonts w:ascii="Arial" w:cs="Arial" w:eastAsia="Arial" w:hAnsi="Arial"/>
          <w:sz w:val="18"/>
          <w:szCs w:val="18"/>
          <w:color w:val="auto"/>
        </w:rPr>
      </w:pPr>
    </w:p>
    <w:p>
      <w:pPr>
        <w:ind w:right="340" w:firstLine="1421"/>
        <w:spacing w:after="0" w:line="341" w:lineRule="auto"/>
        <w:tabs>
          <w:tab w:leader="none" w:pos="17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Costs incurred in connection with negotiations or disputes with any other occupant of the Menlo Business Park and Costs arising from the violation by Lessor or any other occupant of the Menlo Business Park of the terms and conditions of any lease or other agreement;</w:t>
      </w:r>
    </w:p>
    <w:p>
      <w:pPr>
        <w:spacing w:after="0" w:line="16" w:lineRule="exact"/>
        <w:rPr>
          <w:rFonts w:ascii="Arial" w:cs="Arial" w:eastAsia="Arial" w:hAnsi="Arial"/>
          <w:sz w:val="16"/>
          <w:szCs w:val="16"/>
          <w:color w:val="auto"/>
        </w:rPr>
      </w:pPr>
    </w:p>
    <w:p>
      <w:pPr>
        <w:jc w:val="both"/>
        <w:ind w:right="420" w:firstLine="1421"/>
        <w:spacing w:after="0" w:line="263" w:lineRule="auto"/>
        <w:tabs>
          <w:tab w:leader="none" w:pos="177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Costs incurred in connection with the presence of any Hazardous Materials on the Property or on other property in Menlo Business Park that were not caused by or the result of a release by Lessee or its employees, agents, contractors, invitees, sublessees, successors or assigns; and</w:t>
      </w:r>
    </w:p>
    <w:p>
      <w:pPr>
        <w:spacing w:after="0" w:line="74" w:lineRule="exact"/>
        <w:rPr>
          <w:rFonts w:ascii="Arial" w:cs="Arial" w:eastAsia="Arial" w:hAnsi="Arial"/>
          <w:sz w:val="18"/>
          <w:szCs w:val="18"/>
          <w:color w:val="auto"/>
        </w:rPr>
      </w:pPr>
    </w:p>
    <w:p>
      <w:pPr>
        <w:ind w:left="1760" w:hanging="339"/>
        <w:spacing w:after="0"/>
        <w:tabs>
          <w:tab w:leader="none" w:pos="17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Expense reserves; and</w:t>
      </w:r>
    </w:p>
    <w:p>
      <w:pPr>
        <w:spacing w:after="0" w:line="116" w:lineRule="exact"/>
        <w:rPr>
          <w:rFonts w:ascii="Arial" w:cs="Arial" w:eastAsia="Arial" w:hAnsi="Arial"/>
          <w:sz w:val="18"/>
          <w:szCs w:val="18"/>
          <w:color w:val="auto"/>
        </w:rPr>
      </w:pPr>
    </w:p>
    <w:p>
      <w:pPr>
        <w:ind w:left="1760" w:hanging="339"/>
        <w:spacing w:after="0"/>
        <w:tabs>
          <w:tab w:leader="none" w:pos="17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Capital costs, except to the extent permitted in Paragraph 5(b) above.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Lessor shall at all times use its best efforts to operate the Property in an economically reasonable manner at costs not disproportionately higher than those experienced by other comparable premises in the market area in which the Property is located.</w:t>
      </w:r>
    </w:p>
    <w:p>
      <w:pPr>
        <w:spacing w:after="0" w:line="62" w:lineRule="exact"/>
        <w:rPr>
          <w:sz w:val="20"/>
          <w:szCs w:val="20"/>
          <w:color w:val="auto"/>
        </w:rPr>
      </w:pPr>
    </w:p>
    <w:p>
      <w:pPr>
        <w:ind w:firstLine="871"/>
        <w:spacing w:after="0" w:line="271" w:lineRule="auto"/>
        <w:tabs>
          <w:tab w:leader="none" w:pos="112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Prior to the execution of this Lease, Lessor has delivered to Lessee Lessor’s estimate of 2014 Operating Expenses, Taxes and Park Expenses. Throughout the term of this Lease, as close as reasonably possible after the end of each calendar year thereafter but no later than April 1 of the following year, Lessor shall notify Lessee of the Operating Expenses, Taxes and Park Expenses estimated by Lessor for the calendar year 2015, and for each following calendar year. Concurrently with such notice, Lessor shall provide a description of such Operating Expenses, Taxes and Park Expenses. Commencing on the Commencement Date, and on the first (1st) day of each calendar month thereafter, Lessee shall pay to Lessor, as Additional Rent, one-twelfth (1/12th) of Lessee’s Pro Rata Share of the estimated Operating Expenses, Taxes and Park Expenses. If at any time during any such calendar year, it appears to Lessor that the Operating Expenses, Taxes or Park Expenses for such year will vary from Lessor’s estimate, Lessor may, by written notice to Lessee, revise Lessor’s estimate for such</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60" w:top="274" w:right="519" w:bottom="1440" w:gutter="0" w:footer="0" w:header="0"/>
        </w:sectPr>
      </w:pPr>
    </w:p>
    <w:bookmarkStart w:id="446" w:name="page447"/>
    <w:bookmarkEnd w:id="446"/>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and the Additional Rent payments by Lessee for such year shall thereafter be based upon such revised estimate. Lessor shall furnish to Lessee with such revised estimate written verification showing that the actual Operating Expenses, Taxes or Park Expenses are greater than or equal to Lessor’s estimate. The increase in the monthly installments of Additional Rent resulting from Lessor’s revised estimate shall not be retroactive, but the Additional Rent for each calendar year shall be subject to adjustment between Lessor and Lessee after the close of the calendar year, as provided below.</w:t>
      </w:r>
    </w:p>
    <w:p>
      <w:pPr>
        <w:spacing w:after="0" w:line="156"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Within approximately ninety (90) days after the expiration of each calendar year of the term, Lessor shall furnish Lessee a statement certified by a responsible employee or agent of Lessor (the “</w:t>
      </w:r>
      <w:r>
        <w:rPr>
          <w:rFonts w:ascii="Arial" w:cs="Arial" w:eastAsia="Arial" w:hAnsi="Arial"/>
          <w:sz w:val="17"/>
          <w:szCs w:val="17"/>
          <w:u w:val="single" w:color="auto"/>
          <w:color w:val="auto"/>
        </w:rPr>
        <w:t>Operating Statement</w:t>
      </w:r>
      <w:r>
        <w:rPr>
          <w:rFonts w:ascii="Arial" w:cs="Arial" w:eastAsia="Arial" w:hAnsi="Arial"/>
          <w:sz w:val="17"/>
          <w:szCs w:val="17"/>
          <w:color w:val="auto"/>
        </w:rPr>
        <w:t>”) with respect to such year, prepared by an employee or agent of Lessor, showing the actual Operating Expenses, Taxes and Park Expenses for such year broken down by component expenses, and the total payments made by Lessee for such year on the basis of any previous estimate of such Operating Expenses, Taxes and Park Expenses, all in sufficient detail for verification by Lessee. Unless Lessee raises any objections to the Operating Statement within ninety (90) days after receipt of the same, such statement shall conclusively be deemed correct and Lessee shall have no right thereafter to dispute such statement or any item therein or the computation of Operating Expenses and/or Taxes and/or Park Expenses. Upon giving Lessor five (5) days advance written notice, Lessee or its accountants shall have the right to inspect and audit Lessor’s books and records with respect to the Operating Statement in an office of Lessor, or Lessor’s agent, located in Menlo Park, California, during normal business hours, once each Lease Year to verify actual Operating Expenses and/or Taxes and/or Park Expenses. Should Lessee retain any accountant or accounting firm to audit or inspect Lessor’s books and records pursuant to this Paragraph 5(e), such accountant or accounting firm shall be one of national standing and retained on an hourly rate basis or based upon a fixed fee and shall not be paid on a contingency basis. Lessor’s books and records shall be kept in accord with generally accepted accounting principles. If Lessee’s audit of the Operating Expenses and/or Taxes and/or Park Expenses for any year reveals a net overcharge of more than five percent (5%), Lessor shall promptly reimburse Lessee for the cost of the audit; otherwise, Lessee shall bear the cost of Lessee’s audit. If Lessee reasonably objects to Lessor’s Operating Statement, Lessee shall nonetheless continue to pay on a monthly basis the Operating Expenses, Taxes and Park Expenses based upon the Lessor’s most current estimate until such dispute is resolved.</w:t>
      </w:r>
    </w:p>
    <w:p>
      <w:pPr>
        <w:spacing w:after="0" w:line="19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If Lessee’s Pro Rata Share of the Operating Expenses and Taxes and Lessee’s pro rata share of Park Expenses for any year as finally determined exceed the total payments made by Lessee for such year based on Lessor’s estimates, Lessee shall pay to Lessor the deficiency, within thirty (30) days after the receipt of Lessor’s Operating Statement. If the total payments made by Lessee based on Lessor’s estimate of the Operating Expenses and/or Taxes and/or Park Expenses exceed the Lessee’s Pro Rata Share of Operating Expenses and/or Taxes and/or Lessee’s pro rata share of Park Expenses, Lessee’s extra payment, plus the cost of an audit which is the responsibility of Lessor as set forth herein, if any, shall be credited against payments of Monthly Base Rent and Additional Rent next due hereunder or returned within thirty (30) days if the term has expired or this Lease has been terminated.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3" w:right="459" w:bottom="1440" w:gutter="0" w:footer="0" w:header="0"/>
        </w:sectPr>
      </w:pPr>
    </w:p>
    <w:bookmarkStart w:id="447" w:name="page448"/>
    <w:bookmarkEnd w:id="447"/>
    <w:p>
      <w:pPr>
        <w:ind w:left="10" w:right="18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expiration or termination of this Lease, within thirty (30) days after Lessee’s receipt of Lessor’s Operating Statement or the completion of Lessee’s audit regarding the Operating Expenses and/or Taxes and/or Park Expenses for the calendar year in which this</w:t>
      </w:r>
    </w:p>
    <w:p>
      <w:pPr>
        <w:spacing w:after="0" w:line="1" w:lineRule="exact"/>
        <w:rPr>
          <w:sz w:val="20"/>
          <w:szCs w:val="20"/>
          <w:color w:val="auto"/>
        </w:rPr>
      </w:pPr>
    </w:p>
    <w:p>
      <w:pPr>
        <w:ind w:left="10" w:right="140"/>
        <w:spacing w:after="0" w:line="253" w:lineRule="auto"/>
        <w:rPr>
          <w:sz w:val="20"/>
          <w:szCs w:val="20"/>
          <w:color w:val="auto"/>
        </w:rPr>
      </w:pPr>
      <w:r>
        <w:rPr>
          <w:rFonts w:ascii="Arial" w:cs="Arial" w:eastAsia="Arial" w:hAnsi="Arial"/>
          <w:sz w:val="18"/>
          <w:szCs w:val="18"/>
          <w:color w:val="auto"/>
        </w:rPr>
        <w:t>Lease terminates, Lessee shall pay to Lessor or shall receive from Lessor, as the case may be, an amount equal to the difference between the Operating Expenses and/or Taxes and/or Park Expenses for such year, as finally determined (which final determination Lessor shall endeavor to complete within six (6) months following the end of the Term), and the amount previously paid by Lessee on account thereof (prorated to the expiration date or the termination date of this Lease).</w:t>
      </w:r>
    </w:p>
    <w:p>
      <w:pPr>
        <w:spacing w:after="0" w:line="84" w:lineRule="exact"/>
        <w:rPr>
          <w:sz w:val="20"/>
          <w:szCs w:val="20"/>
          <w:color w:val="auto"/>
        </w:rPr>
      </w:pPr>
    </w:p>
    <w:p>
      <w:pPr>
        <w:ind w:left="630" w:hanging="190"/>
        <w:spacing w:after="0"/>
        <w:tabs>
          <w:tab w:leader="none" w:pos="630"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Payment of Rent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100" w:firstLine="871"/>
        <w:spacing w:after="0" w:line="293" w:lineRule="auto"/>
        <w:tabs>
          <w:tab w:leader="none" w:pos="1135" w:val="left"/>
        </w:tabs>
        <w:numPr>
          <w:ilvl w:val="2"/>
          <w:numId w:val="350"/>
        </w:numPr>
        <w:rPr>
          <w:rFonts w:ascii="Arial" w:cs="Arial" w:eastAsia="Arial" w:hAnsi="Arial"/>
          <w:sz w:val="16"/>
          <w:szCs w:val="16"/>
          <w:color w:val="auto"/>
        </w:rPr>
      </w:pPr>
      <w:r>
        <w:rPr>
          <w:rFonts w:ascii="Arial" w:cs="Arial" w:eastAsia="Arial" w:hAnsi="Arial"/>
          <w:sz w:val="16"/>
          <w:szCs w:val="16"/>
          <w:color w:val="auto"/>
        </w:rPr>
        <w:t>All rent shall be due and payable in lawful money of the United States of America at the address of Lessor set forth in Paragraph 24, “Notices,” without deduction or offset and without prior demand or notice, unless otherwise specified herein. Monthly Base Rent and Additional Rent due under this Lease shall be payable monthly, in advance, on the first day of each month. Additional Rent shall be payable monthly, in advance, on the first day of each month for the entire Premises for the entire term of his Lease. Lessee’s obligation to pay rent for any partial month at the commencement of the Term, for any partial month immediately prior to a rental adjustment date (if the rental adjustment date is other than the first day of the calendar month), and for any partial month at the expiration or termination of the Term shall be based upon the number of days in such month.</w:t>
      </w:r>
    </w:p>
    <w:p>
      <w:pPr>
        <w:spacing w:after="0" w:line="55" w:lineRule="exact"/>
        <w:rPr>
          <w:rFonts w:ascii="Arial" w:cs="Arial" w:eastAsia="Arial" w:hAnsi="Arial"/>
          <w:sz w:val="16"/>
          <w:szCs w:val="16"/>
          <w:color w:val="auto"/>
        </w:rPr>
      </w:pPr>
    </w:p>
    <w:p>
      <w:pPr>
        <w:ind w:left="1130" w:hanging="249"/>
        <w:spacing w:after="0"/>
        <w:tabs>
          <w:tab w:leader="none" w:pos="113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If any installment of Monthly Base Rent, Additional Rent or any other sum due from Lessee is not received by Lessor within five</w:t>
      </w:r>
    </w:p>
    <w:p>
      <w:pPr>
        <w:spacing w:after="0" w:line="34" w:lineRule="exact"/>
        <w:rPr>
          <w:rFonts w:ascii="Arial" w:cs="Arial" w:eastAsia="Arial" w:hAnsi="Arial"/>
          <w:sz w:val="17"/>
          <w:szCs w:val="17"/>
          <w:color w:val="auto"/>
        </w:rPr>
      </w:pPr>
    </w:p>
    <w:p>
      <w:pPr>
        <w:ind w:left="10" w:right="260" w:hanging="10"/>
        <w:spacing w:after="0" w:line="281" w:lineRule="auto"/>
        <w:tabs>
          <w:tab w:leader="none" w:pos="26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days after the same is due, Lessee shall pay to Lessor an additional sum equal to five percent (5%) of the amount overdue as a late charge. The parties agree that this late charge represents a fair and reasonable estimate of the costs that Lessor will incur by reason of the late payment by Lessee. Acceptance of any late charge shall not constitute a waiver of Lessee’s default with respect to the overdue amount. Any amount not paid within ten</w:t>
      </w:r>
    </w:p>
    <w:p>
      <w:pPr>
        <w:spacing w:after="0" w:line="1" w:lineRule="exact"/>
        <w:rPr>
          <w:rFonts w:ascii="Arial" w:cs="Arial" w:eastAsia="Arial" w:hAnsi="Arial"/>
          <w:sz w:val="16"/>
          <w:szCs w:val="16"/>
          <w:color w:val="auto"/>
        </w:rPr>
      </w:pPr>
    </w:p>
    <w:p>
      <w:pPr>
        <w:jc w:val="both"/>
        <w:ind w:left="10" w:hanging="10"/>
        <w:spacing w:after="0" w:line="255" w:lineRule="auto"/>
        <w:tabs>
          <w:tab w:leader="none" w:pos="35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days after Lessee’s receipt of written notice that such amount is due shall bear interest from the date due until paid at the lesser rate of (1) the prime rate of interest as published in the “Wall Street Journal,” plus two percent (2%) or (2) the maximum rate allowed by law (the “Interest Rate”), in addition to the late payment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146050</wp:posOffset>
            </wp:positionV>
            <wp:extent cx="565150" cy="2997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65150" cy="29972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274955</wp:posOffset>
            </wp:positionV>
            <wp:extent cx="556895" cy="1714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568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10"/>
        <w:spacing w:after="0"/>
        <w:tabs>
          <w:tab w:leader="none" w:pos="4509" w:val="left"/>
        </w:tabs>
        <w:rPr>
          <w:sz w:val="20"/>
          <w:szCs w:val="20"/>
          <w:color w:val="auto"/>
        </w:rPr>
      </w:pPr>
      <w:r>
        <w:rPr>
          <w:rFonts w:ascii="Arial" w:cs="Arial" w:eastAsia="Arial" w:hAnsi="Arial"/>
          <w:sz w:val="18"/>
          <w:szCs w:val="18"/>
          <w:color w:val="auto"/>
        </w:rPr>
        <w:t>Initials: Lessor</w:t>
      </w:r>
      <w:r>
        <w:rPr>
          <w:sz w:val="20"/>
          <w:szCs w:val="20"/>
          <w:color w:val="auto"/>
        </w:rPr>
        <w:tab/>
      </w:r>
      <w:r>
        <w:rPr>
          <w:rFonts w:ascii="Arial" w:cs="Arial" w:eastAsia="Arial" w:hAnsi="Arial"/>
          <w:sz w:val="15"/>
          <w:szCs w:val="15"/>
          <w:color w:val="auto"/>
        </w:rPr>
        <w:t>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-19050</wp:posOffset>
            </wp:positionV>
            <wp:extent cx="45656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56565"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-19050</wp:posOffset>
            </wp:positionV>
            <wp:extent cx="45656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97" w:lineRule="exact"/>
        <w:rPr>
          <w:sz w:val="20"/>
          <w:szCs w:val="20"/>
          <w:color w:val="auto"/>
        </w:rPr>
      </w:pPr>
    </w:p>
    <w:p>
      <w:pPr>
        <w:ind w:left="10" w:right="40" w:firstLine="430"/>
        <w:spacing w:after="0" w:line="289" w:lineRule="auto"/>
        <w:tabs>
          <w:tab w:leader="none" w:pos="630"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Lessee shall deposit with Lessor upon execution hereof the sum of Two Hundred Forty Four Thousand Nine Hundred Twenty Two and 40/100 Dollars ($244,922.40) (the “Security Deposit”), as security for Lessee’s faithful performance of Lessee’s obligations under this Lease. If Lessee fails to pay Monthly Base Rent or Additional Rent or charges due hereunder within applicable notice and cure periods, or otherwise defaults under this Lease (as defined in Paragraph 22), Lessor may use, apply or retain all or any portion of said Security Deposit to the extent reasonably necessary to cure the default, for the payment of any amount due Lessor, and to reimburse or compensate Lessor for any liability, cost, expense, loss or damage (including attorneys’ fees) which Lessor may suffer or incur by reason thereof. If Lessor uses or applies all or any portion of the Security Deposit, Lessee shall within ten (10) days after written request therefor deposit with Lessor the amount sufficient to restore the Security Deposit to the original amount required by this Lease. Lessor shall not be required to keep all or any part of the Security Deposit separate from its general accounts. In no event or circumstance shall Lessee have the right to any use of the Security Deposit and, specifically,</w:t>
      </w:r>
    </w:p>
    <w:p>
      <w:pPr>
        <w:spacing w:after="0" w:line="9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4" w:right="459" w:bottom="1440" w:gutter="0" w:footer="0" w:header="0"/>
        </w:sectPr>
      </w:pPr>
    </w:p>
    <w:bookmarkStart w:id="448" w:name="page449"/>
    <w:bookmarkEnd w:id="44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Lessee may not use the Security Deposit as a credit or to otherwise offset any payments required hereunder, including, but not limited to, rent or any portion thereof. Lessee waives (i) California Civil Code Section 1950.7 and any and all other laws, rules and regulations applicable to security deposits in the commercial context (“</w:t>
      </w:r>
      <w:r>
        <w:rPr>
          <w:rFonts w:ascii="Arial" w:cs="Arial" w:eastAsia="Arial" w:hAnsi="Arial"/>
          <w:sz w:val="17"/>
          <w:szCs w:val="17"/>
          <w:u w:val="single" w:color="auto"/>
          <w:color w:val="auto"/>
        </w:rPr>
        <w:t>Security Deposit Laws</w:t>
      </w:r>
      <w:r>
        <w:rPr>
          <w:rFonts w:ascii="Arial" w:cs="Arial" w:eastAsia="Arial" w:hAnsi="Arial"/>
          <w:sz w:val="17"/>
          <w:szCs w:val="17"/>
          <w:color w:val="auto"/>
        </w:rPr>
        <w:t>”), and (ii) any and all rights, duties and obligations either party may now has, or in the future will have, relating to or arising from the Security Deposit Laws. Notwithstanding anything to the contrary herein, the Security Deposit may be retained and applied by Lessor (a) to offset rent which is unpaid either before or after termination of this Lease, and (b) against other damages suffered by Lessor before or after termination of this Lease. No part of the Security Deposit shall be considered to be held in trust, to bear interest or other increment for its use, or to be prepayment for any moneys to be paid by Lessee under this Lease.</w:t>
      </w:r>
    </w:p>
    <w:p>
      <w:pPr>
        <w:spacing w:after="0" w:line="68" w:lineRule="exact"/>
        <w:rPr>
          <w:sz w:val="20"/>
          <w:szCs w:val="20"/>
          <w:color w:val="auto"/>
        </w:rPr>
      </w:pPr>
    </w:p>
    <w:p>
      <w:pPr>
        <w:ind w:firstLine="430"/>
        <w:spacing w:after="0" w:line="275" w:lineRule="auto"/>
        <w:tabs>
          <w:tab w:leader="none" w:pos="62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Use</w:t>
      </w:r>
      <w:r>
        <w:rPr>
          <w:rFonts w:ascii="Arial" w:cs="Arial" w:eastAsia="Arial" w:hAnsi="Arial"/>
          <w:sz w:val="17"/>
          <w:szCs w:val="17"/>
          <w:color w:val="auto"/>
        </w:rPr>
        <w:t>. Lessee may only use and occupy the Premises for general office uses, administrative purposes, research and development, laboratory and related legal uses which are permitted by applicable zoning ordinances and the covenants, conditions, and restrictions for Menlo Business Park and which are approved by Lessor in writing, and for no other use or purpose without Lessor’s prior written consent; provided, that the use of the Premises for the manufacture of integrated circuits is expressly prohibited. Any use of the Premises by Lessee or by any sublessee or assignee approved by Lessor pursuant to Paragraph 17 shall comply with the provisions of this Paragraph 8.</w:t>
      </w:r>
    </w:p>
    <w:p>
      <w:pPr>
        <w:spacing w:after="0" w:line="67" w:lineRule="exact"/>
        <w:rPr>
          <w:rFonts w:ascii="Arial" w:cs="Arial" w:eastAsia="Arial" w:hAnsi="Arial"/>
          <w:sz w:val="17"/>
          <w:szCs w:val="17"/>
          <w:color w:val="auto"/>
        </w:rPr>
      </w:pPr>
    </w:p>
    <w:p>
      <w:pPr>
        <w:ind w:left="620" w:hanging="190"/>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60" w:firstLine="871"/>
        <w:spacing w:after="0" w:line="256" w:lineRule="auto"/>
        <w:tabs>
          <w:tab w:leader="none" w:pos="1125"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term “Hazardous Materials” as used in this Lease shall include any substance defined or regulated as radioactive, flammable, toxic, a biohazard, medical waste, “hazardous material”, “extremely hazardous material”, “hazardous waste”, “hazardous substance,” “toxic substance,” “industrial process waste,” or “special waste” in any Environmental Laws as hereafter defined. Hazardous Materials shall include, but not be limited to, petroleum, gasoline, natural gas, natural gas liquids, liquefied natural gas, synthetic gas, and/or crude oil or any products, by-products or fractions thereof.</w:t>
      </w:r>
    </w:p>
    <w:p>
      <w:pPr>
        <w:spacing w:after="0" w:line="83" w:lineRule="exact"/>
        <w:rPr>
          <w:rFonts w:ascii="Arial" w:cs="Arial" w:eastAsia="Arial" w:hAnsi="Arial"/>
          <w:sz w:val="18"/>
          <w:szCs w:val="18"/>
          <w:color w:val="auto"/>
        </w:rPr>
      </w:pPr>
    </w:p>
    <w:p>
      <w:pPr>
        <w:ind w:right="40" w:firstLine="871"/>
        <w:spacing w:after="0" w:line="288" w:lineRule="auto"/>
        <w:tabs>
          <w:tab w:leader="none" w:pos="1135" w:val="left"/>
        </w:tabs>
        <w:numPr>
          <w:ilvl w:val="1"/>
          <w:numId w:val="354"/>
        </w:numPr>
        <w:rPr>
          <w:rFonts w:ascii="Arial" w:cs="Arial" w:eastAsia="Arial" w:hAnsi="Arial"/>
          <w:sz w:val="16"/>
          <w:szCs w:val="16"/>
          <w:color w:val="auto"/>
        </w:rPr>
      </w:pPr>
      <w:r>
        <w:rPr>
          <w:rFonts w:ascii="Arial" w:cs="Arial" w:eastAsia="Arial" w:hAnsi="Arial"/>
          <w:sz w:val="16"/>
          <w:szCs w:val="16"/>
          <w:color w:val="auto"/>
        </w:rPr>
        <w:t>Lessee shall not engage in any activity in or on the Premises or the Property which constitutes a Reportable Use of Hazardous Materials without the express prior written consent of Lessor and timely compliance (at Lessee’s expense) with all Environmental Laws. “</w:t>
      </w:r>
      <w:r>
        <w:rPr>
          <w:rFonts w:ascii="Arial" w:cs="Arial" w:eastAsia="Arial" w:hAnsi="Arial"/>
          <w:sz w:val="16"/>
          <w:szCs w:val="16"/>
          <w:u w:val="single" w:color="auto"/>
          <w:color w:val="auto"/>
        </w:rPr>
        <w:t>Reportable Use</w:t>
      </w:r>
      <w:r>
        <w:rPr>
          <w:rFonts w:ascii="Arial" w:cs="Arial" w:eastAsia="Arial" w:hAnsi="Arial"/>
          <w:sz w:val="16"/>
          <w:szCs w:val="16"/>
          <w:color w:val="auto"/>
        </w:rPr>
        <w:t xml:space="preserve">” shall mean (i) the installation or use of any above or below ground storage tank, (ii) the generation, possession, storage, use, transportation, or disposal of Hazardous Materials that require a permit from, or with respect to which a report, notice, registration or business plan is required to be filed with, any governmental authority, and/or (iii) the presence at the Premises or the Property of Hazardous Materials with respect to which any Environmental Law requires that a notice be given to persons entering or occupying the Premises, or the Property, or neighboring properties. Notwithstanding the foregoing, subject to the provision of Paragraph 2(d) (including the requirement that Lessee shall obtain a Conditional Use Permit from the City before Lessee maintains on the Premises five (5) gallons or more of any Hazardous Materials) Lessee may use the Hazardous Materials on the Premises that are listed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incorporated by reference herein, and any ordinary and customary office supplies, cleaning materials, and other materials reasonably required to be used in the normal course of Lessee’s agreed use of the Premises, so long as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449" w:name="page450"/>
    <w:bookmarkEnd w:id="44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is in compliance with all Environmental Laws, and does not expose the Premises, or the Property, or neighboring property to any unusual or atypical risk of contamination or damage or expose Lessor to any liability therefor. In addition, Lessor may condition its consent to any Reportable Use upon receiving such additional assurances as Lessor reasonably deems necessary to protect itself, the public, the Premises and the Property, and/or the environment against damage, contamination, injury and/or liability, including, but not limited to, the installation (and removal on or before Lease expiration or termination) of any protective modifications installed by Lessee (such as concrete encasements).</w:t>
      </w:r>
    </w:p>
    <w:p>
      <w:pPr>
        <w:spacing w:after="0" w:line="67" w:lineRule="exact"/>
        <w:rPr>
          <w:sz w:val="20"/>
          <w:szCs w:val="20"/>
          <w:color w:val="auto"/>
        </w:rPr>
      </w:pPr>
    </w:p>
    <w:p>
      <w:pPr>
        <w:ind w:right="20" w:firstLine="871"/>
        <w:spacing w:after="0" w:line="269" w:lineRule="auto"/>
        <w:tabs>
          <w:tab w:leader="none" w:pos="112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California Health and Safety Code §§25100 et seq., §§25300 et seq., Sections 25281(f) and 25501 of the California Health and Safety Code, Section 13050 of the Water Code, the Federal Comprehensive Environmental Response, Compensation and Liability Act, as amended, 42 U.S.C. §§9601 et seq. (“</w:t>
      </w:r>
      <w:r>
        <w:rPr>
          <w:rFonts w:ascii="Arial" w:cs="Arial" w:eastAsia="Arial" w:hAnsi="Arial"/>
          <w:sz w:val="17"/>
          <w:szCs w:val="17"/>
          <w:u w:val="single" w:color="auto"/>
          <w:color w:val="auto"/>
        </w:rPr>
        <w:t>CERCLA</w:t>
      </w:r>
      <w:r>
        <w:rPr>
          <w:rFonts w:ascii="Arial" w:cs="Arial" w:eastAsia="Arial" w:hAnsi="Arial"/>
          <w:sz w:val="17"/>
          <w:szCs w:val="17"/>
          <w:color w:val="auto"/>
        </w:rPr>
        <w:t>”), the Superfund Amendments and Reauthorization Act, 42 U.S.C. §§9601 et seq., the Federal Toxic Substances Control Act, 15 U.S.C. §§2601 et seq., the Federal Resource Conservation and Recovery Act as amended, 42 U.S.C. §§6901 et seq., the Federal Hazardous Material Transportation Act, 49 U.S.C. §§1801 et seq., the Federal Clean Air Act, 42 U.S.C. §7401 et seq., the Federal Water Pollution Control Act, 33 U.S.C. §1251 et seq., the River and Harbors Act of 1899, 33 U.S.C. §§401 et seq., and all rules and regulations of the EPA, the California Environmental Protection Agency, or any other state or federal department, board or any other agency or governmental board or entity having jurisdiction over the environment, as any of the foregoing have been, or are hereafter amended.</w:t>
      </w:r>
    </w:p>
    <w:p>
      <w:pPr>
        <w:spacing w:after="0" w:line="72" w:lineRule="exact"/>
        <w:rPr>
          <w:rFonts w:ascii="Arial" w:cs="Arial" w:eastAsia="Arial" w:hAnsi="Arial"/>
          <w:sz w:val="17"/>
          <w:szCs w:val="17"/>
          <w:color w:val="auto"/>
        </w:rPr>
      </w:pPr>
    </w:p>
    <w:p>
      <w:pPr>
        <w:ind w:right="460" w:firstLine="871"/>
        <w:spacing w:after="0" w:line="311" w:lineRule="auto"/>
        <w:tabs>
          <w:tab w:leader="none" w:pos="113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If Lessee knows, or has reasonable cause to believe, that Hazardous Materials have come to be located in, on, under or about the Premises or the Property, other than as previously consented to by Lessor, Lessee shall immediately give written notice of such fact to Lessor and provide Lessor with a copy of any report, notice, claim or other documentation which it has concerning the presence of such Hazardous Materials.</w:t>
      </w:r>
    </w:p>
    <w:p>
      <w:pPr>
        <w:spacing w:after="0" w:line="40" w:lineRule="exact"/>
        <w:rPr>
          <w:rFonts w:ascii="Arial" w:cs="Arial" w:eastAsia="Arial" w:hAnsi="Arial"/>
          <w:sz w:val="16"/>
          <w:szCs w:val="16"/>
          <w:color w:val="auto"/>
        </w:rPr>
      </w:pPr>
    </w:p>
    <w:p>
      <w:pPr>
        <w:ind w:right="20" w:firstLine="871"/>
        <w:spacing w:after="0" w:line="254" w:lineRule="auto"/>
        <w:tabs>
          <w:tab w:leader="none" w:pos="112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Lessee and Lessee’s agents, employees, and contractors shall not cause any Hazardous Materials to be discharged or released into the Building or into the plumbing or sewage system of the Building or into or onto the Land underlying or adjacent to the Building in violation of any Environmental Laws. Lessee shall promptly, at Lessee’s expense, take all investigatory and/or remedial action reasonably recommended, whether or not formally ordered or required, for the cleanup of any contamination in violation of Environmental Laws or the terms of this Lease caused by Lessee or caused by any of Lessee’s employees, agents, or contractors, and for the maintenance, security and/or monitoring of the Premises, the Property, or neighboring properties if such contamination is caused by a release or emission of any Hazardous Materials by Lessee or by any of Lessee’s employees, agents, or contractors.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450" w:name="page451"/>
    <w:bookmarkEnd w:id="450"/>
    <w:p>
      <w:pPr>
        <w:ind w:left="10" w:firstLine="871"/>
        <w:spacing w:after="0" w:line="269" w:lineRule="auto"/>
        <w:tabs>
          <w:tab w:leader="none" w:pos="1115" w:val="left"/>
        </w:tabs>
        <w:numPr>
          <w:ilvl w:val="2"/>
          <w:numId w:val="3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Lessee shall indemnify, defend and hold Lessor and its agents, employees, and lenders and the Premises and the Property harmless from any and all claims, damages, fines, judgments, penalties, costs, liabilities or losses (including, without limitation, any and all sums paid for settlement of claims, attorneys’ fees, consultant and expert fees) arising during or after the term of this Lease out of or involving any Hazardous Materials brought on to the Premises, the Property, or Menlo Business Park by or for Lessee or by anyone under Lessee’s control in violation of Environmental Laws or the terms of this Lease. Lessee’s obligations under this Paragraph 9(f) shall include, but not be limited to, the effects of any contamination or injury to person, property or the environment created or suffered by Lessee, and the cost of investigation (including consultants’ and attorneys’ fees and testing), removal, remediation, restoration and/or abatement thereof, or of any contamination therein involved, as required by Environmental Laws, and shall survive the expiration or earlier termination of this Lease. No termination, cancellation or release agreement entered into by Lessor and Lessee shall release Lessee from its obligations under this Lease with respect to Hazardous Materials, unless specifically so agreed by Lessor in writing at the time of such agreement.</w:t>
      </w:r>
    </w:p>
    <w:p>
      <w:pPr>
        <w:spacing w:after="0" w:line="75" w:lineRule="exact"/>
        <w:rPr>
          <w:rFonts w:ascii="Arial" w:cs="Arial" w:eastAsia="Arial" w:hAnsi="Arial"/>
          <w:sz w:val="17"/>
          <w:szCs w:val="17"/>
          <w:color w:val="auto"/>
        </w:rPr>
      </w:pPr>
    </w:p>
    <w:p>
      <w:pPr>
        <w:ind w:left="10" w:right="160" w:firstLine="430"/>
        <w:spacing w:after="0" w:line="263" w:lineRule="auto"/>
        <w:tabs>
          <w:tab w:leader="none" w:pos="720"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Taxes on Lessee’s Property</w:t>
      </w:r>
      <w:r>
        <w:rPr>
          <w:rFonts w:ascii="Arial" w:cs="Arial" w:eastAsia="Arial" w:hAnsi="Arial"/>
          <w:sz w:val="18"/>
          <w:szCs w:val="18"/>
          <w:color w:val="auto"/>
        </w:rPr>
        <w:t>. Lessee shall pay before delinquency any and all taxes, assessments, license fees, and public charges levied, assessed, or imposed and which become payable during the Term and any extension thereof upon Lessee’s equipment, fixtures, furniture, and personal property installed or located on the Premises.</w:t>
      </w:r>
    </w:p>
    <w:p>
      <w:pPr>
        <w:spacing w:after="0" w:line="74" w:lineRule="exact"/>
        <w:rPr>
          <w:rFonts w:ascii="Arial" w:cs="Arial" w:eastAsia="Arial" w:hAnsi="Arial"/>
          <w:sz w:val="18"/>
          <w:szCs w:val="18"/>
          <w:color w:val="auto"/>
        </w:rPr>
      </w:pPr>
    </w:p>
    <w:p>
      <w:pPr>
        <w:ind w:left="710" w:hanging="270"/>
        <w:spacing w:after="0"/>
        <w:tabs>
          <w:tab w:leader="none" w:pos="710"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0" w:firstLine="871"/>
        <w:spacing w:after="0" w:line="283" w:lineRule="auto"/>
        <w:tabs>
          <w:tab w:leader="none" w:pos="1135" w:val="left"/>
        </w:tabs>
        <w:numPr>
          <w:ilvl w:val="2"/>
          <w:numId w:val="357"/>
        </w:numPr>
        <w:rPr>
          <w:rFonts w:ascii="Arial" w:cs="Arial" w:eastAsia="Arial" w:hAnsi="Arial"/>
          <w:sz w:val="16"/>
          <w:szCs w:val="16"/>
          <w:color w:val="auto"/>
        </w:rPr>
      </w:pPr>
      <w:r>
        <w:rPr>
          <w:rFonts w:ascii="Arial" w:cs="Arial" w:eastAsia="Arial" w:hAnsi="Arial"/>
          <w:sz w:val="16"/>
          <w:szCs w:val="16"/>
          <w:color w:val="auto"/>
        </w:rPr>
        <w:t>Lessee shall, at Lessee’s sole cost and expense, provide and keep in force commencing with the Commencement Date of the Term and continuing during the Term, a commercial general liability insurance policy with a recognized casualty insurance company qualified to do business in California, insuring against liability occasioned by any occurrence in, on, about, or related to the Premises, or arising out of the condition, use, occupancy, alteration or maintenance of the Premises and covering the contractual liability referred to in Paragraph 12(a) of this Lease, having a combined single limit for both bodily injury and property damage in an amount not less than Three Million Dollars ($3,000,000) per occurrence and annual aggregate. Limit requirements may be met through a combination of primary and excess liability policies. All such insurance carried by Lessee shall be in a form reasonably satisfactory to Lessor and its mortgage lender and shall be carried with companies that have a general policyholder’s rating of not less than “A” and a financial rating of not less than Class “X” in the most current edition of Best’s Insurance Reports; shall provide that such policies shall not be subject to reduction in types of coverage or limits below those required in Section 11(a) or cancellation except after at least thirty</w:t>
      </w:r>
    </w:p>
    <w:p>
      <w:pPr>
        <w:spacing w:after="0" w:line="4" w:lineRule="exact"/>
        <w:rPr>
          <w:rFonts w:ascii="Arial" w:cs="Arial" w:eastAsia="Arial" w:hAnsi="Arial"/>
          <w:sz w:val="16"/>
          <w:szCs w:val="16"/>
          <w:color w:val="auto"/>
        </w:rPr>
      </w:pPr>
    </w:p>
    <w:p>
      <w:pPr>
        <w:ind w:left="10" w:hanging="10"/>
        <w:spacing w:after="0" w:line="251" w:lineRule="auto"/>
        <w:tabs>
          <w:tab w:leader="none" w:pos="35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days’ prior written notice to Lessor (which notice may be provided by Lessee if Lessee’s carrier will not agree to provide such notice directly to Lessor); and shall be primary as to Lessor. Prior to the Commencement Date and upon renewal of such policies not less than twenty (20) days prior to the expiration of the term of such coverage, Lessee shall deliver to Lessor certificates of insurance confirming such coverage, naming Lessor and Lessor’s property manager, Tarlton Properties, Inc., as additional insureds. If Lessee fails to procure and maintain the insurance required hereunder, after three (3) business days’ notice to Lessee, Lessor may, but shall not be required to, order such insurance at Lessee’s expense and Lessee shall reimburse Lessor for all costs incurred by Lessor with respect thereto. Lessee’s reimbursement to Lessor for such amounts shall be deemed Additional Rent, and shall include all sums disbursed, incurred or deposited by Lessor, including Lessor’s costs, expenses and reasonable attorneys’ fees with interest thereon at the Interest Rate.</w:t>
      </w:r>
    </w:p>
    <w:p>
      <w:pPr>
        <w:spacing w:after="0" w:line="1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0"/>
          </w:cols>
          <w:pgMar w:left="450" w:top="274" w:right="459" w:bottom="1440" w:gutter="0" w:footer="0" w:header="0"/>
        </w:sectPr>
      </w:pPr>
    </w:p>
    <w:bookmarkStart w:id="451" w:name="page452"/>
    <w:bookmarkEnd w:id="451"/>
    <w:p>
      <w:pPr>
        <w:ind w:firstLine="871"/>
        <w:spacing w:after="0" w:line="287" w:lineRule="auto"/>
        <w:tabs>
          <w:tab w:leader="none" w:pos="1135" w:val="left"/>
        </w:tabs>
        <w:numPr>
          <w:ilvl w:val="1"/>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shall obtain and carry in Lessor’s name, as insured, as an Operating Expense of the Property to the extent provided in Paragraph 5(b), during the lease term, “all risk” property insurance coverage (with rental loss insurance coverage for a period of one year), flood insurance, public liability and property damage insurance, and insurance against such other risks or casualties as Lessor shall reasonably determine, including, but not limited to, insurance coverages required of Lessor by the beneficiary of any deed of trust which encumbers the Property, including earthquake insurance coverage insuring Lessor’s interest in the Property (including the Initial Tenant Improvements constructed in the Premises pursuant to Paragraph 13 and any other leasehold improvements to the Premises constructed by Lessor or by Lessee with Lessor’s prior written approval) in an amount not less than the full replacement cost of the Building and all other Improvements from time to time; provided that the deductible amounts applicable to the coverages maintained by Landlord shall not be materially greater than those typically carried by landlords of properties similar to the Premises and located in Menlo Park, California. The proceeds of any such insurance shall be payable solely to Lessor, and Lessee shall have no right or interest therein. Lessor shall have no obligation to insure against loss by Lessee to Lessee’s equipment, fixtures, furniture, inventory, or other personal property of Lessee in or about the Premises occurring from any cause whatsoever.</w:t>
      </w:r>
    </w:p>
    <w:p>
      <w:pPr>
        <w:spacing w:after="0" w:line="61" w:lineRule="exact"/>
        <w:rPr>
          <w:rFonts w:ascii="Arial" w:cs="Arial" w:eastAsia="Arial" w:hAnsi="Arial"/>
          <w:sz w:val="16"/>
          <w:szCs w:val="16"/>
          <w:color w:val="auto"/>
        </w:rPr>
      </w:pPr>
    </w:p>
    <w:p>
      <w:pPr>
        <w:ind w:right="140" w:firstLine="871"/>
        <w:spacing w:after="0" w:line="287" w:lineRule="auto"/>
        <w:tabs>
          <w:tab w:leader="none" w:pos="1125" w:val="left"/>
        </w:tabs>
        <w:numPr>
          <w:ilvl w:val="1"/>
          <w:numId w:val="35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Lease, the parties release each other, and their respective authorized representatives, employees, officers, directors, shareholders, managers, members, trustees, beneficiaries, assignees, subtenants, invitees, successors, agents, contractors and property managers, from any claims for damage to any person or to the Premises or the Property and to the fixtures, personal property, leasehold improvements and alterations of either Lessor or Lessee in or on the Premises or the Property, to the extent that are caused by or result from risks required by this Lease to be insured against (or actually insured against) under any property insurance policies carried by the parties and such policy is in force at the time of any such damage, whichever is greater. This waiver applies whether or not the loss is due to the negligent acts or omissions of Lessor or Lessee or their respective authorized representatives, employees, officers, directors, shareholders, managers, members, trustees, beneficiaries, assignees, subtenants, invitees, successors, agents, contractors and property managers. Subject to the foregoing, this release and waiver shall be complete and total even if such loss or damage may have been caused by the negligence of the other party, its managers, members, employees, agents, contractors, property managers or invitees. Lessee covenants that the insurance policies required to be maintained by Lessee under this Lease will contain waiver of subrogation endorsements.</w:t>
      </w:r>
    </w:p>
    <w:p>
      <w:pPr>
        <w:spacing w:after="0" w:line="61" w:lineRule="exact"/>
        <w:rPr>
          <w:rFonts w:ascii="Arial" w:cs="Arial" w:eastAsia="Arial" w:hAnsi="Arial"/>
          <w:sz w:val="16"/>
          <w:szCs w:val="16"/>
          <w:color w:val="auto"/>
        </w:rPr>
      </w:pPr>
    </w:p>
    <w:p>
      <w:pPr>
        <w:ind w:left="700" w:hanging="270"/>
        <w:spacing w:after="0"/>
        <w:tabs>
          <w:tab w:leader="none" w:pos="70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20" w:firstLine="871"/>
        <w:spacing w:after="0" w:line="271" w:lineRule="auto"/>
        <w:tabs>
          <w:tab w:leader="none" w:pos="1125" w:val="left"/>
        </w:tabs>
        <w:numPr>
          <w:ilvl w:val="1"/>
          <w:numId w:val="360"/>
        </w:numPr>
        <w:rPr>
          <w:rFonts w:ascii="Arial" w:cs="Arial" w:eastAsia="Arial" w:hAnsi="Arial"/>
          <w:sz w:val="17"/>
          <w:szCs w:val="17"/>
          <w:color w:val="auto"/>
        </w:rPr>
      </w:pPr>
      <w:r>
        <w:rPr>
          <w:rFonts w:ascii="Arial" w:cs="Arial" w:eastAsia="Arial" w:hAnsi="Arial"/>
          <w:sz w:val="17"/>
          <w:szCs w:val="17"/>
          <w:color w:val="auto"/>
        </w:rPr>
        <w:t>Lessee shall indemnify, defend, and hold harmless Lessor from claims, suits, actions, or liabilities for personal injury, death or for loss or damage to property caused by or resulting from (1) any activity, work, or thing done or permitted by Lessee in or about the Premises, the Property or the Park, (2) bodily injury or damage to property which arises in or about the Property to the extent the injury or damage to property is caused by the acts or omissions of Lessee, its employees, agents or contractors, and (3) caused by or resulting from any event of default by Lessee in the performance of any obligation on Lessee’s part to be performed under this Lease. Lessee also waives all claims against Lessor and its employees, agents and contractors for damages to property, or to goods, wares, and merchandise stored in, upon, or about the Premises or the Property, and for injuries to persons in, upon, or about the Premises or the Property from any cause arising at any time, except to the extent caused by the active negligence or willful misconduct of Lessor or its employees, agents or contractors.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3" w:right="459" w:bottom="1440" w:gutter="0" w:footer="0" w:header="0"/>
        </w:sectPr>
      </w:pPr>
    </w:p>
    <w:bookmarkStart w:id="452" w:name="page453"/>
    <w:bookmarkEnd w:id="452"/>
    <w:p>
      <w:pPr>
        <w:jc w:val="both"/>
        <w:ind w:firstLine="871"/>
        <w:spacing w:after="0" w:line="259" w:lineRule="auto"/>
        <w:tabs>
          <w:tab w:leader="none" w:pos="1135"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shall indemnify, defend, and hold harmless Lessee from claims, suits, actions, or liabilities for personal injury, death or for loss or damage to property caused by (1) any activity, work, or thing done by Lessor in or about the Premises or the Property, and (2) bodily injury or damage to property which arises in or about the Property to the extent the injury or damage to property is caused by the active negligent acts of Lessor, its employees, agents or contractors.</w:t>
      </w:r>
    </w:p>
    <w:p>
      <w:pPr>
        <w:spacing w:after="0" w:line="77" w:lineRule="exact"/>
        <w:rPr>
          <w:rFonts w:ascii="Arial" w:cs="Arial" w:eastAsia="Arial" w:hAnsi="Arial"/>
          <w:sz w:val="18"/>
          <w:szCs w:val="18"/>
          <w:color w:val="auto"/>
        </w:rPr>
      </w:pPr>
    </w:p>
    <w:p>
      <w:pPr>
        <w:ind w:right="120" w:firstLine="871"/>
        <w:spacing w:after="0" w:line="254" w:lineRule="auto"/>
        <w:tabs>
          <w:tab w:leader="none" w:pos="112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the absence of comparative or concurrent negligence on the part of Lessee or Lessor, their respective agents, affiliates, and subsidiaries, or their respective officers, directors, members, employees or contractors, the foregoing indemnities by Lessee and Lessor shall also include reasonable costs, expenses and attorneys’ fees incurred in connection with any indemnified claim or incurred by the indemnitee in successfully establishing the right to indemnity. The indemnitor shall have the right to assume the defense of any claim subject to the foregoing indemnities with counsel reasonably satisfactory to the Indemnitee. The indemnitee agrees to cooperate fully with the indemnitor and its counsel in any matter where the indemnitor elects to defend, provided the indemnitor shall promptly reimburse the indemnitee for reasonable costs and expenses incurred in connection with its duty to cooperate.</w:t>
      </w:r>
    </w:p>
    <w:p>
      <w:pPr>
        <w:spacing w:after="0" w:line="193"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The foregoing indemnities shall survive the expiration or earlier termination of this Lease and are conditioned upon the indemnitee providing prompt notice to the indemnitor of any claim or occurrence that is likely to give rise to a claim, suit, action or liability that will fall within the scope of the foregoing indemnities, along with sufficient details that will enable the indemnitor to make a reasonable investigation of the claim.</w:t>
      </w:r>
    </w:p>
    <w:p>
      <w:pPr>
        <w:spacing w:after="0" w:line="1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When the claim is caused by the joint negligence or willful misconduct of Lessee and Lessor or by the indemnitor party and a third party unrelated to the indemnitor party (except indemnitor’s agents, officers, employees or invitees), the indemnitor’s duty to indemnify and defend shall be proportionate to the indemnitor’s allocable share of joint negligence or willful misconduct.</w:t>
      </w:r>
    </w:p>
    <w:p>
      <w:pPr>
        <w:spacing w:after="0" w:line="75" w:lineRule="exact"/>
        <w:rPr>
          <w:sz w:val="20"/>
          <w:szCs w:val="20"/>
          <w:color w:val="auto"/>
        </w:rPr>
      </w:pPr>
    </w:p>
    <w:p>
      <w:pPr>
        <w:ind w:right="100" w:firstLine="871"/>
        <w:spacing w:after="0" w:line="296" w:lineRule="auto"/>
        <w:tabs>
          <w:tab w:leader="none" w:pos="113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Lessor shall not be liable to Lessee for any damage because of any act or negligence of any other occupant of the Building or any other owner or occupant of adjoining or contiguous property, nor for overflow, breakage, or leakage of water, steam, gas, or electricity from pipes, wires, or otherwise in the Premises or the Building, except to the extent caused by the gross negligence or willful misconduct of Lessor or Lessor’s employees, agents, or contractors. Except as otherwise provided herein, Lessee will pay for damage to the Premises or the Property caused by the misuse or neglect of the Premises or the Property by Lessee or its employees, agents, or contractors, including, but not limited to, the breakage of glass in the Building.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60" w:top="274" w:right="439" w:bottom="1440" w:gutter="0" w:footer="0" w:header="0"/>
        </w:sectPr>
      </w:pPr>
    </w:p>
    <w:bookmarkStart w:id="453" w:name="page454"/>
    <w:bookmarkEnd w:id="453"/>
    <w:p>
      <w:pPr>
        <w:ind w:left="680" w:hanging="270"/>
        <w:spacing w:after="0"/>
        <w:tabs>
          <w:tab w:leader="none" w:pos="68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Improvements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0" w:right="240" w:firstLine="871"/>
        <w:spacing w:after="0" w:line="293" w:lineRule="auto"/>
        <w:tabs>
          <w:tab w:leader="none" w:pos="110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 xml:space="preserve">Lessor, at its cost and expense, shall cause to be constructed the interior tenant improvements and modifications to the Premises described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Lessor shall pay directly to the applicable design professional, contractor, materialman or other laborer costs in connection with the construction of the Tenant Improvements. Lessee shall be liable for all fees and costs of the design and construction of the Tenant Improvements which are outside of the scope of work described on Exhibit F attached hereto (such amount referred to herein as the “</w:t>
      </w:r>
      <w:r>
        <w:rPr>
          <w:rFonts w:ascii="Arial" w:cs="Arial" w:eastAsia="Arial" w:hAnsi="Arial"/>
          <w:sz w:val="16"/>
          <w:szCs w:val="16"/>
          <w:u w:val="single" w:color="auto"/>
          <w:color w:val="auto"/>
        </w:rPr>
        <w:t>Tenant Improvement Shortfall</w:t>
      </w:r>
      <w:r>
        <w:rPr>
          <w:rFonts w:ascii="Arial" w:cs="Arial" w:eastAsia="Arial" w:hAnsi="Arial"/>
          <w:sz w:val="16"/>
          <w:szCs w:val="16"/>
          <w:color w:val="auto"/>
        </w:rPr>
        <w:t>”). Lessee shall pay the Tenant Improvement Shortfall upon written request from Lessor accompanied by invoices reflecting such amounts due within thirty (30) days following Lessor’s delivery of such payment request.</w:t>
      </w:r>
    </w:p>
    <w:p>
      <w:pPr>
        <w:spacing w:after="0" w:line="55" w:lineRule="exact"/>
        <w:rPr>
          <w:rFonts w:ascii="Arial" w:cs="Arial" w:eastAsia="Arial" w:hAnsi="Arial"/>
          <w:sz w:val="16"/>
          <w:szCs w:val="16"/>
          <w:color w:val="auto"/>
        </w:rPr>
      </w:pPr>
    </w:p>
    <w:p>
      <w:pPr>
        <w:ind w:left="-20" w:right="100" w:firstLine="871"/>
        <w:spacing w:after="0" w:line="259" w:lineRule="auto"/>
        <w:tabs>
          <w:tab w:leader="none" w:pos="111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w:t>
      </w:r>
      <w:r>
        <w:rPr>
          <w:rFonts w:ascii="Arial" w:cs="Arial" w:eastAsia="Arial" w:hAnsi="Arial"/>
          <w:sz w:val="18"/>
          <w:szCs w:val="18"/>
          <w:u w:val="single" w:color="auto"/>
          <w:color w:val="auto"/>
        </w:rPr>
        <w:t>Substantially Completed</w:t>
      </w:r>
      <w:r>
        <w:rPr>
          <w:rFonts w:ascii="Arial" w:cs="Arial" w:eastAsia="Arial" w:hAnsi="Arial"/>
          <w:sz w:val="18"/>
          <w:szCs w:val="18"/>
          <w:color w:val="auto"/>
        </w:rPr>
        <w:t>” or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 mean the date the Tenant Improvements are completed in good and workmanlike manner in accordance with applicable laws, and the Premises are in the condition required by this Lease, excepting only minor Punch List items (as defined below), which do not unreasonably interfere with Lessee’s ability to commence business operations at the Premises.</w:t>
      </w:r>
    </w:p>
    <w:p>
      <w:pPr>
        <w:spacing w:after="0" w:line="77" w:lineRule="exact"/>
        <w:rPr>
          <w:rFonts w:ascii="Arial" w:cs="Arial" w:eastAsia="Arial" w:hAnsi="Arial"/>
          <w:sz w:val="18"/>
          <w:szCs w:val="18"/>
          <w:color w:val="auto"/>
        </w:rPr>
      </w:pPr>
    </w:p>
    <w:p>
      <w:pPr>
        <w:ind w:left="-20" w:right="420" w:firstLine="871"/>
        <w:spacing w:after="0" w:line="275" w:lineRule="auto"/>
        <w:tabs>
          <w:tab w:leader="none" w:pos="110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Tenant Improvements shall be constructed in accordance with all applicable laws and the terms of this Lease, in a good and workmanlike manner, free of defects and using new materials and equipment of good quality. Upon delivery of the Premises to Lessee, Lessor and Lessee shall coordinate a walk-through of the Premises and Lessor and Lessee shall complete a punch list indicating any deficiencies in the Tenant Improvements (“</w:t>
      </w:r>
      <w:r>
        <w:rPr>
          <w:rFonts w:ascii="Arial" w:cs="Arial" w:eastAsia="Arial" w:hAnsi="Arial"/>
          <w:sz w:val="17"/>
          <w:szCs w:val="17"/>
          <w:u w:val="single" w:color="auto"/>
          <w:color w:val="auto"/>
        </w:rPr>
        <w:t>Punch List</w:t>
      </w:r>
      <w:r>
        <w:rPr>
          <w:rFonts w:ascii="Arial" w:cs="Arial" w:eastAsia="Arial" w:hAnsi="Arial"/>
          <w:sz w:val="17"/>
          <w:szCs w:val="17"/>
          <w:color w:val="auto"/>
        </w:rPr>
        <w:t>”). Lessor shall as soon as reasonably practicable using diligence cause such items set forth in the Punch List to be completed as required for compliance with the Tenant Improvements.</w:t>
      </w:r>
    </w:p>
    <w:p>
      <w:pPr>
        <w:spacing w:after="0" w:line="67" w:lineRule="exact"/>
        <w:rPr>
          <w:rFonts w:ascii="Arial" w:cs="Arial" w:eastAsia="Arial" w:hAnsi="Arial"/>
          <w:sz w:val="17"/>
          <w:szCs w:val="17"/>
          <w:color w:val="auto"/>
        </w:rPr>
      </w:pPr>
    </w:p>
    <w:p>
      <w:pPr>
        <w:ind w:left="-20" w:firstLine="871"/>
        <w:spacing w:after="0" w:line="273" w:lineRule="auto"/>
        <w:tabs>
          <w:tab w:leader="none" w:pos="111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Subject to completion of the Tenant Improvements, Lessee waives all right to make repairs at the expense of Lessor, or to deduct the costs thereof from the rent, and Lessee waives all rights under Section 1941 and 1942 of the Civil Code of the State of California. At the expiration or sooner termination of this Lease, Lessee shall surrender the Premises in a clean and good condition (including the Tenant Improvements upon completion thereof which Lessee shall not be required to remove) and in accordance with Paragraph 14, except for ordinary wear and tear, damage caused by casualty, and alterations or other improvements made by Lessee with Lessor’s prior written consent which Lessee is not required to remove as a condition to Lessor’s approval of such alterations or improvements.</w:t>
      </w:r>
    </w:p>
    <w:p>
      <w:pPr>
        <w:spacing w:after="0" w:line="68" w:lineRule="exact"/>
        <w:rPr>
          <w:rFonts w:ascii="Arial" w:cs="Arial" w:eastAsia="Arial" w:hAnsi="Arial"/>
          <w:sz w:val="17"/>
          <w:szCs w:val="17"/>
          <w:color w:val="auto"/>
        </w:rPr>
      </w:pPr>
    </w:p>
    <w:p>
      <w:pPr>
        <w:ind w:left="680" w:hanging="270"/>
        <w:spacing w:after="0"/>
        <w:tabs>
          <w:tab w:leader="none" w:pos="68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Maintenance and Repairs; Alterations; Surrender and Restoration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0" w:right="40" w:firstLine="871"/>
        <w:spacing w:after="0" w:line="279" w:lineRule="auto"/>
        <w:tabs>
          <w:tab w:leader="none" w:pos="110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Lessor shall, at Lessor’s sole expense, keep in good order, condition, and repair and replace when necessary, the structural elements of the roof (excluding the roof membrane which Lessor shall maintain, but the cost of which shall be included as an Operating Expense as permitted under Paragraph 5), and the structural elements of the foundation and exterior walls (except the interior faces thereof) of the Building, and other structural elements of the Building and the Property as “structural elements” are defined in building codes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80" w:top="274" w:right="479" w:bottom="1440" w:gutter="0" w:footer="0" w:header="0"/>
        </w:sectPr>
      </w:pPr>
    </w:p>
    <w:bookmarkStart w:id="454" w:name="page455"/>
    <w:bookmarkEnd w:id="45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Building, excluding any alterations, structural or otherwise, made by Lessee to the Building which are not approved in writing by Lessor prior to the construction or installation thereof by Lessee. Lessor shall perform and construct, and Lessee shall not be responsible for performing or constructing, any repairs, maintenance, or improvements (1) required as a result of any casualty damage (not caused by the willful or negligent acts or omissions of Lessee or its employees, agents, contractors or invitees), which shall be subject to Paragraph 20 below, or as a result of any taking pursuant to the exercise of the power of eminent domain, or (2) for which Lessor has a right of reimbursement from third parties based on construction or other warranties, contractor guarantees, or insurance claims.</w:t>
      </w:r>
    </w:p>
    <w:p>
      <w:pPr>
        <w:spacing w:after="0" w:line="83" w:lineRule="exact"/>
        <w:rPr>
          <w:sz w:val="20"/>
          <w:szCs w:val="20"/>
          <w:color w:val="auto"/>
        </w:rPr>
      </w:pPr>
    </w:p>
    <w:p>
      <w:pPr>
        <w:ind w:right="80" w:firstLine="871"/>
        <w:spacing w:after="0" w:line="254" w:lineRule="auto"/>
        <w:tabs>
          <w:tab w:leader="none" w:pos="113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Lessor shall provide or cause to be provided and shall supervise the performance of, as an Operating Expense of the Property as permitted under Paragraph 5(b) hereof, all services and work relating to the operation, maintenance, repair, and replacement, as needed, of the Property, including the HVAC, mechanical, electrical, life safety (except that Lessee shall maintain any and all hand held fire extinguishers in the Premises) and plumbing systems in the Building; the interior of the Building; the roof membrane; the outside areas of the Property; the janitorial service for the Building; landscaping, tree trimming, resurfacing and restriping of the parking lot, repairing and maintaining the walkways; exterior building painting, exterior building lighting, parking lot lighting, and exterior security patrol. In the event Lessee provides Lessor with written notice of the need for any repairs, Lessor shall commence any such repairs promptly following receipt by Lessor of such notice and Lessor shall diligently prosecute such repairs to completion.</w:t>
      </w:r>
    </w:p>
    <w:p>
      <w:pPr>
        <w:spacing w:after="0" w:line="82" w:lineRule="exact"/>
        <w:rPr>
          <w:rFonts w:ascii="Arial" w:cs="Arial" w:eastAsia="Arial" w:hAnsi="Arial"/>
          <w:sz w:val="18"/>
          <w:szCs w:val="18"/>
          <w:color w:val="auto"/>
        </w:rPr>
      </w:pPr>
    </w:p>
    <w:p>
      <w:pPr>
        <w:ind w:right="80" w:firstLine="871"/>
        <w:spacing w:after="0" w:line="288" w:lineRule="auto"/>
        <w:tabs>
          <w:tab w:leader="none" w:pos="112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Subject to the foregoing and except as provided elsewhere in this Lease, Lessee shall at all times use and occupy the Premises in a manner which keeps the Premises in good and safe order, condition, and repair. In addition to the foregoing, Lessee shall cause the carpets in the Premises to be professionally cleaned at least two (2) times per calendar year during the Term. Lessor shall execute and maintain in full force and effect throughout the term as an Operating Expense of the Property pursuant to Paragraph 5(b) a service contract with a recognized air conditioning service company. Lessor may, if Lessor determines that it is necessary to do so, obtain on a semi-annual basis an inspection report of the HVAC system from a separate HVAC service firm designated by Lessor for the purpose of monitoring the performance of the HVAC maintenance and repair work performed by the HVAC service firm which performs the regular repair and maintenance. The cost of such inspection report shall be an Operating Expense pursuant to Paragraph 5. Subject to the release of claims and waiver of subrogation contained in Paragraphs 11(c) and 11(d), if Lessor is required to make any repairs to the Property by reason of Lessee’s negligent acts or omissions, Lessor may add the cost of such repairs to the next installment of rent which shall thereafter become due, and Lessee shall promptly pay the same upon receipt of an invoice therefor.</w:t>
      </w:r>
    </w:p>
    <w:p>
      <w:pPr>
        <w:spacing w:after="0" w:line="58" w:lineRule="exact"/>
        <w:rPr>
          <w:rFonts w:ascii="Arial" w:cs="Arial" w:eastAsia="Arial" w:hAnsi="Arial"/>
          <w:sz w:val="16"/>
          <w:szCs w:val="16"/>
          <w:color w:val="auto"/>
        </w:rPr>
      </w:pPr>
    </w:p>
    <w:p>
      <w:pPr>
        <w:ind w:right="120" w:firstLine="871"/>
        <w:spacing w:after="0" w:line="256" w:lineRule="auto"/>
        <w:tabs>
          <w:tab w:leader="none" w:pos="113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Lessee may, from time to time, at its own cost and expense and without the consent of Lessor make nonstructural alterations provided they do not affect any of the Building systems (including the roof, plumbing, sewer, electrical, life safety, HVAC or other mechanical systems) to the interior of the Premises the cost of which in any one instance is Twenty-Five Thousand and 00/100 Dollars ($25,000.00) or less, and the aggregate cost of all such work during the Term this Lease does not exceed One Hundred Thousand and 00/100 Dollars ($100,000.00), provided Lessee first notifies Lessor in writing of any such nonstructural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55" w:name="page456"/>
    <w:bookmarkEnd w:id="455"/>
    <w:p>
      <w:pPr>
        <w:ind w:left="1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alterations. Otherwise, Lessee shall not make any additional alterations, improvements, or additions to the Premises without delivering to Lessor a complete set of plans and specifications for such work, obtaining and delivering copies to Lessor of all permits or other governmental approvals required for such work and obtaining Lessor’s prior written consent thereto. All alterations and additions shall be installed by a licensed contractor approved by Lessor, at Lessee’s sole expense in compliance with all applicable laws, rules, regulations and ordinances. Lessee shall keep the Premises and the Property on which the Premises are situated free from any liens arising out of any work performed, materials furnished or obligations incurred by or on behalf of Lessee. If any nonstructural alterations to the interior of the Premises (i) exceed Twenty-Five Thousand and no/100s Dollars ($25,000.00) in cost in any one instance, (ii) exceed the aggregate cost of One Hundred Thousand and no/100s Dollars ($100,000.00) during the Term of this Lease, or</w:t>
      </w:r>
    </w:p>
    <w:p>
      <w:pPr>
        <w:spacing w:after="0" w:line="1" w:lineRule="exact"/>
        <w:rPr>
          <w:sz w:val="20"/>
          <w:szCs w:val="20"/>
          <w:color w:val="auto"/>
        </w:rPr>
      </w:pPr>
    </w:p>
    <w:p>
      <w:pPr>
        <w:ind w:left="10" w:hanging="10"/>
        <w:spacing w:after="0" w:line="268" w:lineRule="auto"/>
        <w:tabs>
          <w:tab w:leader="none" w:pos="32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affect any of the Building systems described above, Lessee shall employ, at Lessee’s expense, Tarlton Properties, Inc. as construction manager for such alterations at a fee equal to five percent (5%) of the first Two Hundred Fifty Thousand Dollars ($250,000.00) of hard construction costs (i.e., the amounts paid to any general contractor, subcontractors, vendors, and suppliers for labor and materials for the construction of the alterations or improvements) and then four percent (4%) of such hard construction costs in excess of Two Hundred Fifty Thousand Dollars ($250,000.00). Lessor may condition its consent to, among other things, Lessee agreeing in writing to remove any such alterations prior to the expiration of the Lease term and Lessee agreeing to restore the Premises to its condition prior to such alterations at Lessee’s expense. Upon Lessee’s written request, Lessor shall advise Lessee in writing at the time consent is granted whether Lessor reserves the right to require Lessee to remove any alterations from the Premises prior to the expiration or sooner termination of this Lease.</w:t>
      </w:r>
    </w:p>
    <w:p>
      <w:pPr>
        <w:spacing w:after="0" w:line="182" w:lineRule="exact"/>
        <w:rPr>
          <w:sz w:val="20"/>
          <w:szCs w:val="20"/>
          <w:color w:val="auto"/>
        </w:rPr>
      </w:pPr>
    </w:p>
    <w:p>
      <w:pPr>
        <w:jc w:val="both"/>
        <w:ind w:left="10" w:right="40" w:firstLine="440"/>
        <w:spacing w:after="0" w:line="293" w:lineRule="auto"/>
        <w:rPr>
          <w:sz w:val="20"/>
          <w:szCs w:val="20"/>
          <w:color w:val="auto"/>
        </w:rPr>
      </w:pPr>
      <w:r>
        <w:rPr>
          <w:rFonts w:ascii="Arial" w:cs="Arial" w:eastAsia="Arial" w:hAnsi="Arial"/>
          <w:sz w:val="16"/>
          <w:szCs w:val="16"/>
          <w:color w:val="auto"/>
        </w:rPr>
        <w:t>All alterations, trade fixtures and personal property installed in the Premises solely at Lessee’s expense shall during the term of this Lease remain Lessee’s property and Lessee shall be entitled to all depreciation, amortization and other tax benefits with respect thereto. Upon the expiration or sooner termination of this Lease all alterations, fixtures and improvements to the Premises, whether made by Lessor or installed by Lessee at Lessee’s expense, shall be surrendered by Lessee with the Premises and shall become the property of Lessor; provided, however, that Lessee’s furniture and other personal property, not provided by or paid for by Lessor and not permanently affixed to the Premises which can be removed without damaging the Premises may be removed by Lessee. Lessee shall repair to Lessor’s reasonable satisfaction all damage to the Premises occasioned by removal of Lessee’s Property.</w:t>
      </w:r>
    </w:p>
    <w:p>
      <w:pPr>
        <w:spacing w:after="0" w:line="55" w:lineRule="exact"/>
        <w:rPr>
          <w:sz w:val="20"/>
          <w:szCs w:val="20"/>
          <w:color w:val="auto"/>
        </w:rPr>
      </w:pPr>
    </w:p>
    <w:p>
      <w:pPr>
        <w:ind w:left="10" w:right="120" w:firstLine="871"/>
        <w:spacing w:after="0" w:line="291" w:lineRule="auto"/>
        <w:tabs>
          <w:tab w:leader="none" w:pos="113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Lessee shall, at Lessee’s sole cost and expense, comply with all present and future “</w:t>
      </w:r>
      <w:r>
        <w:rPr>
          <w:rFonts w:ascii="Arial" w:cs="Arial" w:eastAsia="Arial" w:hAnsi="Arial"/>
          <w:sz w:val="16"/>
          <w:szCs w:val="16"/>
          <w:u w:val="single" w:color="auto"/>
          <w:color w:val="auto"/>
        </w:rPr>
        <w:t>Laws</w:t>
      </w:r>
      <w:r>
        <w:rPr>
          <w:rFonts w:ascii="Arial" w:cs="Arial" w:eastAsia="Arial" w:hAnsi="Arial"/>
          <w:sz w:val="16"/>
          <w:szCs w:val="16"/>
          <w:color w:val="auto"/>
        </w:rPr>
        <w:t>,” which term is used in this Lease to mean all laws, rules, regulations, ordinances, directives, orders, covenants, permits of all governmental agencies and authorities, easements and restrictions of record, the requirements of any applicable fire insurance underwriter or rating bureau or board of fire underwriters, relating in any manner to the Premises and/or Lessee’s use or occupancy of the Premises (including but not limited to matters pertaining to industrial hygiene, environmental conditions on, in, under or about the Premises, including soil and groundwater conditions, subject to the provisions of Paragraph 9 hereof, and the use, generation, manufacture, production, installation, maintenance, removal, transportation, storage, spill, or release of any Hazardous Materials (which Hazardous Materials are addressed in Paragraph 9 hereof)), now in effect or which may hereafter come into effect. Lessee shall,</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90"/>
          </w:cols>
          <w:pgMar w:left="450" w:top="274" w:right="459" w:bottom="1440" w:gutter="0" w:footer="0" w:header="0"/>
        </w:sectPr>
      </w:pPr>
    </w:p>
    <w:bookmarkStart w:id="456" w:name="page457"/>
    <w:bookmarkEnd w:id="45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five (5) days after receipt of Lessor’s written request, provide Lessor with copies of all documents and information, including but not limited to permits, registrations, manifests, applications, reports and certificates, evidencing Lessee’s compliance with any Laws specified by Lessor, and shall immediately upon receipt, notify Lessor in writing (with copies of any documents involved) of any threatened or actual claim, notice, citation, warning, complaint or report pertaining to or involving failure by Lessee or the Premises to comply with any Laws. Notwithstanding the foregoing, any structural changes or repairs or other changes or repairs to the Property of any nature which would be considered a capital expenditure under generally accepted accounting principles to the Premises shall be made by Lessor at Lessee’s expense if such structural repairs or changes are required by reason of the specific nature of the use of the Premises by Lessee. If such changes or repairs are not required by reason of the specific nature of Lessee’s use of the Premises and are capital expenditures, the cost of such changes or repairs shall be treated as an Operating Expense and amortized in accordance with the provisions of Paragraph 5(b).</w:t>
      </w:r>
    </w:p>
    <w:p>
      <w:pPr>
        <w:spacing w:after="0" w:line="71" w:lineRule="exact"/>
        <w:rPr>
          <w:sz w:val="20"/>
          <w:szCs w:val="20"/>
          <w:color w:val="auto"/>
        </w:rPr>
      </w:pPr>
    </w:p>
    <w:p>
      <w:pPr>
        <w:ind w:firstLine="871"/>
        <w:spacing w:after="0" w:line="289" w:lineRule="auto"/>
        <w:tabs>
          <w:tab w:leader="none" w:pos="110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Subject to Paragraph 30, Lessor, Lessor’s agents, employees, contractors and designated representatives, and the holders of any mortgages, deeds of trust or ground leases on the Premises (“</w:t>
      </w:r>
      <w:r>
        <w:rPr>
          <w:rFonts w:ascii="Arial" w:cs="Arial" w:eastAsia="Arial" w:hAnsi="Arial"/>
          <w:sz w:val="16"/>
          <w:szCs w:val="16"/>
          <w:u w:val="single" w:color="auto"/>
          <w:color w:val="auto"/>
        </w:rPr>
        <w:t>Lenders</w:t>
      </w:r>
      <w:r>
        <w:rPr>
          <w:rFonts w:ascii="Arial" w:cs="Arial" w:eastAsia="Arial" w:hAnsi="Arial"/>
          <w:sz w:val="16"/>
          <w:szCs w:val="16"/>
          <w:color w:val="auto"/>
        </w:rPr>
        <w:t>”) shall have the right to enter the Premises at any time in the case of an emergency, and otherwise at reasonable times, for the purpose of inspecting the condition of the Premises and for verifying compliance by Lessee with this Lease and all Laws, and Lessor shall be entitled to employ experts and/or consultants in connection therewith to advise Lessor with respect to Lessee’s activities, including but not limited to Lessee’s installation, operation, use, monitoring, maintenance, or removal of any Hazardous Substance on or from the Premises. The costs and expenses of any such inspections shall be paid by the party requesting same, unless a default or breach of this Lease by Lessee or a violation of Laws or a contamination, caused or materially contributed to by Lessee, is found to exist or to be imminent, or unless the inspection is requested or ordered by a governmental authority as the result of any such existing or imminent violation or contamination. In such case, Lessee shall upon request reimburse Lessor or Lessor’s Lender, as the case may be, for the costs and expenses of such inspections.</w:t>
      </w:r>
    </w:p>
    <w:p>
      <w:pPr>
        <w:spacing w:after="0" w:line="56" w:lineRule="exact"/>
        <w:rPr>
          <w:rFonts w:ascii="Arial" w:cs="Arial" w:eastAsia="Arial" w:hAnsi="Arial"/>
          <w:sz w:val="16"/>
          <w:szCs w:val="16"/>
          <w:color w:val="auto"/>
        </w:rPr>
      </w:pPr>
    </w:p>
    <w:p>
      <w:pPr>
        <w:ind w:right="120" w:firstLine="871"/>
        <w:spacing w:after="0" w:line="341" w:lineRule="auto"/>
        <w:tabs>
          <w:tab w:leader="none" w:pos="113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During the Term of this Lease, Lessee shall comply, at Lessee’s expense, with all of the covenants, conditions, and restrictions affecting the Premises which are recorded in the Official Records of San Mateo County, California, and which are in effect as of the date of this Lease.</w:t>
      </w:r>
    </w:p>
    <w:p>
      <w:pPr>
        <w:spacing w:after="0" w:line="16" w:lineRule="exact"/>
        <w:rPr>
          <w:rFonts w:ascii="Arial" w:cs="Arial" w:eastAsia="Arial" w:hAnsi="Arial"/>
          <w:sz w:val="16"/>
          <w:szCs w:val="16"/>
          <w:color w:val="auto"/>
        </w:rPr>
      </w:pPr>
    </w:p>
    <w:p>
      <w:pPr>
        <w:ind w:right="40" w:firstLine="871"/>
        <w:spacing w:after="0" w:line="291" w:lineRule="auto"/>
        <w:tabs>
          <w:tab w:leader="none" w:pos="113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Lessee shall surrender the Premises by the last day of the Term or any earlier termination date, in accordance with Paragraph 13(d) and this Paragraph 14(h), with all of the portions of the Premises for which Lessee has maintenance and repair responsibility under the terms of this Lease in good operating order, condition, and state of repair, ordinary wear and tear excepted, with surfaces thereof clean and free of debris. Lessee’s failure to surrender the Premises in accordance with the terms and conditions of this Lease, including, without limitation, this Paragraph 14(h) shall be deemed to be a material default under the Lease. “Ordinary wear and tear” shall not include any damage or deterioration that would have been prevented by good maintenance practice or by Lessee performing all of its obligations under this Lease. Notwithstanding the foregoing, prior to the last day of the Term (or earlier termination of the Lease), Lessee shall (i) restore all walls in the Premises to the same condition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60" w:top="273" w:right="439" w:bottom="1440" w:gutter="0" w:footer="0" w:header="0"/>
        </w:sectPr>
      </w:pPr>
    </w:p>
    <w:bookmarkStart w:id="457" w:name="page458"/>
    <w:bookmarkEnd w:id="45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immediately following completion of the Tenant Improvements, including patching and sanding all holes to match the original texture of the walls and painting; (ii) replace any broken, chipped, stained or discolored ceiling tiles in the Premises to match the existing tiles; and (iii) vacuum and steam clean all carpets. In addition to the foregoing, the obligations of Lessee shall include the repair of any damage occasioned by the installation, maintenance, or removal of Lessee’s trade fixtures, furnishings, equipment, and alterations, and the restoration by Lessee of the Premises to its condition upon completion of the Tenant Improvements (Lessee shall not be required to remove any of the Tenant Improvements) (A) if Lessor’s consent to alteration, additions or improvements was conditioned upon such removal and restoration upon expiration or sooner termination of the Lease term pursuant to Paragraph 14(d), or (B) if Lessee made any such alterations, additions, or improvements without obtaining Lessor’s prior written consent in breach of Paragraph 14(d), and within a reasonable time prior to the expiration or sooner termination of the Term Lessor gives written notice to Lessee requiring Lessee to perform such removal and restoration. Prior to the expiration of the term of this Lease or any earlier termination date, Lessee shall, at Lessee’s expense, obtain written closure reports from the San Mateo County Health Department and from the Menlo Park Fire Protection District with respect to any Hazardous Materials used, stored, or released by Lessee on or about the Premises. Both written closure reports shall provide written certification that all Hazardous Materials for which Lessee is responsible under the terms of this Lease have been removed from the Premises and that no further action is required in connection with the closure of the Premises. Any removal and remediation of Hazardous Materials by Lessee shall be certified in writing as (1) complete and (2) having been properly performed, by the San Mateo County Health Department and the Menlo Park Fire Protection District and a copy of such written certifications shall be delivered by Lessee to Lessor no later than the last day of the Term of this Lease.</w:t>
      </w:r>
    </w:p>
    <w:p>
      <w:pPr>
        <w:spacing w:after="0" w:line="68" w:lineRule="exact"/>
        <w:rPr>
          <w:sz w:val="20"/>
          <w:szCs w:val="20"/>
          <w:color w:val="auto"/>
        </w:rPr>
      </w:pPr>
    </w:p>
    <w:p>
      <w:pPr>
        <w:ind w:left="700" w:hanging="270"/>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Utilities and Services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40" w:firstLine="871"/>
        <w:spacing w:after="0" w:line="271" w:lineRule="auto"/>
        <w:tabs>
          <w:tab w:leader="none" w:pos="1125" w:val="left"/>
        </w:tabs>
        <w:numPr>
          <w:ilvl w:val="1"/>
          <w:numId w:val="368"/>
        </w:numPr>
        <w:rPr>
          <w:rFonts w:ascii="Arial" w:cs="Arial" w:eastAsia="Arial" w:hAnsi="Arial"/>
          <w:sz w:val="17"/>
          <w:szCs w:val="17"/>
          <w:color w:val="auto"/>
        </w:rPr>
      </w:pPr>
      <w:r>
        <w:rPr>
          <w:rFonts w:ascii="Arial" w:cs="Arial" w:eastAsia="Arial" w:hAnsi="Arial"/>
          <w:sz w:val="17"/>
          <w:szCs w:val="17"/>
          <w:color w:val="auto"/>
        </w:rPr>
        <w:t>Lessor shall contract for and pay for, and Lessee shall reimburse Lessor therefor pursuant to Paragraph 5 as an Operating Expense, all electricity, gas, water, heat and air conditioning service, refuse pick-up, sewer charges, and all other utilities or services supplied to or consumed by Lessee, its agents, employees, contractors, and invitees on or about the Premises, excluding telephone and data service to the Building for which Lessee shall contract and pay directly. Lessor, at its sole cost and expense shall ensure that electricity in the Premises in Building 5 and Building 6 are separately metered prior to the Commencement Date and shall provide Lessee with copies of any utility bills and invoices for services upon written request therefor. Lessee may notify Lessor of its intent to contract for and pay for its own janitorial services for the interior of the Premises and provided such janitorial service meets Lessor’s standards for “Class A” service provided elsewhere in the Building as reasonably determined by Lessor, Lessor will permit Lessee to contract for its own janitorial service.</w:t>
      </w:r>
    </w:p>
    <w:p>
      <w:pPr>
        <w:spacing w:after="0" w:line="68" w:lineRule="exact"/>
        <w:rPr>
          <w:rFonts w:ascii="Arial" w:cs="Arial" w:eastAsia="Arial" w:hAnsi="Arial"/>
          <w:sz w:val="17"/>
          <w:szCs w:val="17"/>
          <w:color w:val="auto"/>
        </w:rPr>
      </w:pPr>
    </w:p>
    <w:p>
      <w:pPr>
        <w:ind w:right="100" w:firstLine="871"/>
        <w:spacing w:after="0" w:line="293" w:lineRule="auto"/>
        <w:tabs>
          <w:tab w:leader="none" w:pos="1135" w:val="left"/>
        </w:tabs>
        <w:numPr>
          <w:ilvl w:val="1"/>
          <w:numId w:val="368"/>
        </w:numPr>
        <w:rPr>
          <w:rFonts w:ascii="Arial" w:cs="Arial" w:eastAsia="Arial" w:hAnsi="Arial"/>
          <w:sz w:val="16"/>
          <w:szCs w:val="16"/>
          <w:color w:val="auto"/>
        </w:rPr>
      </w:pPr>
      <w:r>
        <w:rPr>
          <w:rFonts w:ascii="Arial" w:cs="Arial" w:eastAsia="Arial" w:hAnsi="Arial"/>
          <w:sz w:val="16"/>
          <w:szCs w:val="16"/>
          <w:color w:val="auto"/>
        </w:rPr>
        <w:t>Lessor shall not be liable to Lessee for any interruption or failure of any utility services to the Building or the Premises which is not caused by the active negligence or willful acts of Lessor. Lessee shall not be relieved from the performance of any covenant or agreement in this Lease because of any such failure. Lessor shall make all repairs to the Premises required to restore such services to the Premises and the cost thereof shall be payable by Lessee pursuant to Paragraph 5 as a current Operating Expense, or as a capital improvement which is amortized over its useful life (together with interest thereon) as an Operating Expense in accordance with generally accepted accounting principles as described in Paragraph 5(b); provided, however, if such failure is caused by the active negligence or willful acts of Lessor, then Lessor shall bear such costs.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4" w:right="439" w:bottom="1440" w:gutter="0" w:footer="0" w:header="0"/>
        </w:sectPr>
      </w:pPr>
    </w:p>
    <w:bookmarkStart w:id="458" w:name="page459"/>
    <w:bookmarkEnd w:id="458"/>
    <w:p>
      <w:pPr>
        <w:ind w:firstLine="430"/>
        <w:spacing w:after="0" w:line="290" w:lineRule="auto"/>
        <w:tabs>
          <w:tab w:leader="none" w:pos="710"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w:t>
      </w:r>
      <w:r>
        <w:rPr>
          <w:rFonts w:ascii="Arial" w:cs="Arial" w:eastAsia="Arial" w:hAnsi="Arial"/>
          <w:sz w:val="16"/>
          <w:szCs w:val="16"/>
          <w:color w:val="auto"/>
        </w:rPr>
        <w:t>. Lessee agrees to keep the Premises free from all liens arising out of any work performed, materials furnished, or obligations incurred by Lessee. Lessee shall give Lessor at least ten (10) calendar days prior written notice before commencing any work of improvement on the Premises, the contract price for which exceeds Ten Thousand and 00/100 Dollars ($10,000.00). Lessor shall have the right to post notices of non-responsibility with respect to any such work. If Lessee shall, in good faith, contest the validity of any such lien, claim or demand, then Lessee shall, at its sole expense, defend and protect itself, Lessor and the Property against the same, and shall pay and satisfy any such adverse judgment that may be rendered thereon before the enforcement thereof against the Lessor or the Property. If Lessor shall require, Lessee shall furnish to Lessor a surety bond satisfactory to Lessor in an amount equal to one and one-half times the amount of such contested claim or demand, indemnifying Lessor against liability for the same, as required by law for the holding of the Property free from the effect of such lien or claim.</w:t>
      </w:r>
    </w:p>
    <w:p>
      <w:pPr>
        <w:spacing w:after="0" w:line="56" w:lineRule="exact"/>
        <w:rPr>
          <w:rFonts w:ascii="Arial" w:cs="Arial" w:eastAsia="Arial" w:hAnsi="Arial"/>
          <w:sz w:val="16"/>
          <w:szCs w:val="16"/>
          <w:color w:val="auto"/>
        </w:rPr>
      </w:pPr>
    </w:p>
    <w:p>
      <w:pPr>
        <w:ind w:left="700" w:hanging="270"/>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91" w:lineRule="auto"/>
        <w:tabs>
          <w:tab w:leader="none" w:pos="112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Except as otherwise provided in this Paragraph 17, Lessee shall not assign this Lease, or any interest, voluntarily or involuntarily, and shall not sublet the Premises or any part thereof, or any right or privilege appurtenant thereto, or suffer any other person (the agents and servants of Lessee excepted) to occupy or use the Premises, or any portion thereof, without the prior written consent of Lessor in each instance pursuant to the terms and conditions set forth below, which consent shall not be unreasonably withheld conditioned or delayed, subject to the following provisions; provided, however, Lessee shall not assign this Lease, or any interest, voluntarily or involuntarily, and shall not sublet the Premises or any part thereof, or any right or privilege appurtenant thereto, or suffer any other person (the agents and servants of Lessee excepted) to occupy or use the Premises, or any portion thereof, if Lessee shall be in default under this Lease following expiration of any applicable notice and cure period.</w:t>
      </w:r>
    </w:p>
    <w:p>
      <w:pPr>
        <w:spacing w:after="0" w:line="57" w:lineRule="exact"/>
        <w:rPr>
          <w:rFonts w:ascii="Arial" w:cs="Arial" w:eastAsia="Arial" w:hAnsi="Arial"/>
          <w:sz w:val="16"/>
          <w:szCs w:val="16"/>
          <w:color w:val="auto"/>
        </w:rPr>
      </w:pPr>
    </w:p>
    <w:p>
      <w:pPr>
        <w:ind w:firstLine="871"/>
        <w:spacing w:after="0" w:line="269" w:lineRule="auto"/>
        <w:tabs>
          <w:tab w:leader="none" w:pos="1135" w:val="left"/>
        </w:tabs>
        <w:numPr>
          <w:ilvl w:val="1"/>
          <w:numId w:val="369"/>
        </w:numPr>
        <w:rPr>
          <w:rFonts w:ascii="Arial" w:cs="Arial" w:eastAsia="Arial" w:hAnsi="Arial"/>
          <w:sz w:val="17"/>
          <w:szCs w:val="17"/>
          <w:color w:val="auto"/>
        </w:rPr>
      </w:pPr>
      <w:r>
        <w:rPr>
          <w:rFonts w:ascii="Arial" w:cs="Arial" w:eastAsia="Arial" w:hAnsi="Arial"/>
          <w:sz w:val="17"/>
          <w:szCs w:val="17"/>
          <w:color w:val="auto"/>
        </w:rPr>
        <w:t>Prior to any assignment or sublease which Lessee desires to make, other than a Permitted Transfer (as defined in Paragraph 17(f) below), Lessee shall provide to Lessor the name and address of the proposed assignee or sublessee, and true and complete copies of all documents relating to Lessee’s prospective agreement to assign or sublease, a copy of a current financial statement for such proposed assignee or sublessee, and any other relevant information requested by Lessor within five (5) days after receipt of notice of the proposed assignment or sublease and Lessee shall specify all consideration to be received by Lessee for such assignment or sublease in the form of lump sum payments, installments of rent, or otherwise. For purposes of this Paragraph 17, the term “consideration” shall include all money or other consideration to be received by Lessee for such assignment or sublease. Within ten (10) days after the receipt of such documentation and other information, Lessor (1) shall notify Lessee in writing that Lessor elects to consent to the proposed assignment or sublease subject to the terms and conditions hereinafter set forth; (2) shall notify Lessee in writing that Lessor refuses such consent, specifying reasonable grounds for such refusal; or (3) except with respect to a Permitted Transferee, if at the time Lessee requests that Lessor consent to an assignment or sublease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459" w:name="page460"/>
    <w:bookmarkEnd w:id="459"/>
    <w:p>
      <w:pPr>
        <w:ind w:left="1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Lessee has vacated the Premises and is not conducting on-going operations in the Building, Lessor may notify Lessee that Lessor elects to terminate this Lease, provided that with respect to a proposed sublease of a portion of the Premises Lessor’s termination right shall apply only to the proposed sublease space, and specifying the effective date of termination which shall be the same as the commencement date of the proposed sublease. If Lessor elects to terminate this Lease pursuant to the foregoing provision, upon the effective date of termination (unless prior to such date Lessee withdraws its request for consent in writing, in which case no termination shall occur), Lessor and Lessee shall each be released and discharged from any liability or obligation to the other under this Lease accruing thereafter with respect to the Premises or the portion thereof to which the termination applies, except for any obligations then outstanding and except for any indemnity obligations which survive the expiration or termination of this Lease by the express terms hereof, and Lessee agrees that Lessor may enter into a direct lease with such proposed assignee or sublessee without any obligation or liability to Lessee.</w:t>
      </w:r>
    </w:p>
    <w:p>
      <w:pPr>
        <w:spacing w:after="0" w:line="179" w:lineRule="exact"/>
        <w:rPr>
          <w:sz w:val="20"/>
          <w:szCs w:val="20"/>
          <w:color w:val="auto"/>
        </w:rPr>
      </w:pPr>
    </w:p>
    <w:p>
      <w:pPr>
        <w:ind w:left="10" w:right="240" w:firstLine="440"/>
        <w:spacing w:after="0" w:line="277" w:lineRule="auto"/>
        <w:rPr>
          <w:sz w:val="20"/>
          <w:szCs w:val="20"/>
          <w:color w:val="auto"/>
        </w:rPr>
      </w:pPr>
      <w:r>
        <w:rPr>
          <w:rFonts w:ascii="Arial" w:cs="Arial" w:eastAsia="Arial" w:hAnsi="Arial"/>
          <w:sz w:val="18"/>
          <w:szCs w:val="18"/>
          <w:color w:val="auto"/>
        </w:rPr>
        <w:t>In deciding whether to consent to any proposed assignment or sublease, Lessor may take into account whether reasonable conditions have been satisfied, including, but not limited to, the following:</w:t>
      </w:r>
    </w:p>
    <w:p>
      <w:pPr>
        <w:spacing w:after="0" w:line="62" w:lineRule="exact"/>
        <w:rPr>
          <w:sz w:val="20"/>
          <w:szCs w:val="20"/>
          <w:color w:val="auto"/>
        </w:rPr>
      </w:pPr>
    </w:p>
    <w:p>
      <w:pPr>
        <w:jc w:val="both"/>
        <w:ind w:left="10" w:right="140" w:firstLine="1421"/>
        <w:spacing w:after="0" w:line="259" w:lineRule="auto"/>
        <w:tabs>
          <w:tab w:leader="none" w:pos="1695" w:val="left"/>
        </w:tabs>
        <w:numPr>
          <w:ilvl w:val="2"/>
          <w:numId w:val="370"/>
        </w:numPr>
        <w:rPr>
          <w:rFonts w:ascii="Arial" w:cs="Arial" w:eastAsia="Arial" w:hAnsi="Arial"/>
          <w:sz w:val="18"/>
          <w:szCs w:val="18"/>
          <w:color w:val="auto"/>
        </w:rPr>
      </w:pPr>
      <w:r>
        <w:rPr>
          <w:rFonts w:ascii="Arial" w:cs="Arial" w:eastAsia="Arial" w:hAnsi="Arial"/>
          <w:sz w:val="18"/>
          <w:szCs w:val="18"/>
          <w:color w:val="auto"/>
        </w:rPr>
        <w:t>In Lessor’s reasonable judgment, the proposed assignee or subtenant is engaged in such a business, that the Premises, or the relevant part thereof, will be used in such a manner which complies with Paragraph 8 hereof entitled “Use” and Lessee or the proposed assignee or sublessee submits to Lessor documentary evidence reasonably satisfactory to Lessor that such proposed use constitutes a permitted use of the Premises pursuant to the ordinances and regulations of the City of Menlo Park;</w:t>
      </w:r>
    </w:p>
    <w:p>
      <w:pPr>
        <w:spacing w:after="0" w:line="77" w:lineRule="exact"/>
        <w:rPr>
          <w:rFonts w:ascii="Arial" w:cs="Arial" w:eastAsia="Arial" w:hAnsi="Arial"/>
          <w:sz w:val="18"/>
          <w:szCs w:val="18"/>
          <w:color w:val="auto"/>
        </w:rPr>
      </w:pPr>
    </w:p>
    <w:p>
      <w:pPr>
        <w:ind w:left="10" w:right="420" w:firstLine="1421"/>
        <w:spacing w:after="0" w:line="277" w:lineRule="auto"/>
        <w:tabs>
          <w:tab w:leader="none" w:pos="1695" w:val="left"/>
        </w:tabs>
        <w:numPr>
          <w:ilvl w:val="2"/>
          <w:numId w:val="370"/>
        </w:numPr>
        <w:rPr>
          <w:rFonts w:ascii="Arial" w:cs="Arial" w:eastAsia="Arial" w:hAnsi="Arial"/>
          <w:sz w:val="18"/>
          <w:szCs w:val="18"/>
          <w:color w:val="auto"/>
        </w:rPr>
      </w:pPr>
      <w:r>
        <w:rPr>
          <w:rFonts w:ascii="Arial" w:cs="Arial" w:eastAsia="Arial" w:hAnsi="Arial"/>
          <w:sz w:val="18"/>
          <w:szCs w:val="18"/>
          <w:color w:val="auto"/>
        </w:rPr>
        <w:t>The proposed assignee or subtenant is a reputable entity or individual with sufficient financial net worth so as to reasonably indicate that it will be able to meet its obligations under this Lease or the sublease in a timely manner;</w:t>
      </w:r>
    </w:p>
    <w:p>
      <w:pPr>
        <w:spacing w:after="0" w:line="61" w:lineRule="exact"/>
        <w:rPr>
          <w:rFonts w:ascii="Arial" w:cs="Arial" w:eastAsia="Arial" w:hAnsi="Arial"/>
          <w:sz w:val="18"/>
          <w:szCs w:val="18"/>
          <w:color w:val="auto"/>
        </w:rPr>
      </w:pPr>
    </w:p>
    <w:p>
      <w:pPr>
        <w:ind w:left="10" w:right="220" w:firstLine="1421"/>
        <w:spacing w:after="0" w:line="307" w:lineRule="auto"/>
        <w:tabs>
          <w:tab w:leader="none" w:pos="1695" w:val="left"/>
        </w:tabs>
        <w:numPr>
          <w:ilvl w:val="2"/>
          <w:numId w:val="370"/>
        </w:numPr>
        <w:rPr>
          <w:rFonts w:ascii="Arial" w:cs="Arial" w:eastAsia="Arial" w:hAnsi="Arial"/>
          <w:sz w:val="17"/>
          <w:szCs w:val="17"/>
          <w:color w:val="auto"/>
        </w:rPr>
      </w:pPr>
      <w:r>
        <w:rPr>
          <w:rFonts w:ascii="Arial" w:cs="Arial" w:eastAsia="Arial" w:hAnsi="Arial"/>
          <w:sz w:val="17"/>
          <w:szCs w:val="17"/>
          <w:color w:val="auto"/>
        </w:rPr>
        <w:t>If at the time of the proposed transfer, Lessor has substantially similar space available for rent in the Menlo Business Park, the proposed assignee or subtenant is not a tenant of the Building or any other building in the Menlo Business Park; and</w:t>
      </w:r>
    </w:p>
    <w:p>
      <w:pPr>
        <w:spacing w:after="0" w:line="39" w:lineRule="exact"/>
        <w:rPr>
          <w:rFonts w:ascii="Arial" w:cs="Arial" w:eastAsia="Arial" w:hAnsi="Arial"/>
          <w:sz w:val="17"/>
          <w:szCs w:val="17"/>
          <w:color w:val="auto"/>
        </w:rPr>
      </w:pPr>
    </w:p>
    <w:p>
      <w:pPr>
        <w:ind w:left="10" w:right="220" w:firstLine="1421"/>
        <w:spacing w:after="0" w:line="259" w:lineRule="auto"/>
        <w:tabs>
          <w:tab w:leader="none" w:pos="1695" w:val="left"/>
        </w:tabs>
        <w:numPr>
          <w:ilvl w:val="2"/>
          <w:numId w:val="370"/>
        </w:numPr>
        <w:rPr>
          <w:rFonts w:ascii="Arial" w:cs="Arial" w:eastAsia="Arial" w:hAnsi="Arial"/>
          <w:sz w:val="18"/>
          <w:szCs w:val="18"/>
          <w:color w:val="auto"/>
        </w:rPr>
      </w:pPr>
      <w:r>
        <w:rPr>
          <w:rFonts w:ascii="Arial" w:cs="Arial" w:eastAsia="Arial" w:hAnsi="Arial"/>
          <w:sz w:val="18"/>
          <w:szCs w:val="18"/>
          <w:color w:val="auto"/>
        </w:rPr>
        <w:t>The proposed assignment or sublease is approved by Lessor’s mortgage lender if such lender has the right to approve or disapprove proposed assignments or subleases. Lessor shall use its good faith efforts to obtain such approval from its lender within ten (10) days after receipt by Lessor of Lessee’s written request for consent and the documentation and information referred to in the first sentence of Paragraph 17(b) above.</w:t>
      </w:r>
    </w:p>
    <w:p>
      <w:pPr>
        <w:spacing w:after="0" w:line="77" w:lineRule="exact"/>
        <w:rPr>
          <w:rFonts w:ascii="Arial" w:cs="Arial" w:eastAsia="Arial" w:hAnsi="Arial"/>
          <w:sz w:val="18"/>
          <w:szCs w:val="18"/>
          <w:color w:val="auto"/>
        </w:rPr>
      </w:pPr>
    </w:p>
    <w:p>
      <w:pPr>
        <w:ind w:left="1130" w:hanging="249"/>
        <w:spacing w:after="0"/>
        <w:tabs>
          <w:tab w:leader="none" w:pos="113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As a condition to Lessor’s granting its consent to any assignment or sublease, except with respect to any Permitted Transferees,</w:t>
      </w:r>
    </w:p>
    <w:p>
      <w:pPr>
        <w:spacing w:after="0" w:line="34" w:lineRule="exact"/>
        <w:rPr>
          <w:rFonts w:ascii="Arial" w:cs="Arial" w:eastAsia="Arial" w:hAnsi="Arial"/>
          <w:sz w:val="17"/>
          <w:szCs w:val="17"/>
          <w:color w:val="auto"/>
        </w:rPr>
      </w:pPr>
    </w:p>
    <w:p>
      <w:pPr>
        <w:ind w:left="10" w:right="40" w:hanging="10"/>
        <w:spacing w:after="0" w:line="295" w:lineRule="auto"/>
        <w:tabs>
          <w:tab w:leader="none" w:pos="26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Lessor may require that Lessee pay to Lessor, as and when received by Lessee, fifty percent (50%) of the amount of any excess of the consideration to be received by Lessee in connection with said assignment or sublease over and above the Monthly Base Rent and Additional Rent fixed by this Lease and payable by Lessee to Lessor, after deducting only (A) a standard leasing commission payable by Lessee in consummating such assignment or sublease, (B) the cost of reasonable tenant improvements performed specifically for the sublease and required to be made to the Premises to effectuate</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90"/>
          </w:cols>
          <w:pgMar w:left="450" w:top="274" w:right="459" w:bottom="1440" w:gutter="0" w:footer="0" w:header="0"/>
        </w:sectPr>
      </w:pPr>
    </w:p>
    <w:bookmarkStart w:id="460" w:name="page461"/>
    <w:bookmarkEnd w:id="46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sublease, provided that such improvements are performed in compliance with Paragraph 14(d) of this Lease, and (C) reasonable attorneys’ fees incurred by Lessor in negotiating and reviewing the assignment or sublease documentation; and (2) Lessee and the proposed assignee or sublessee shall demonstrate to Lessor’s reasonable satisfaction that each of the criteria referred to in subparagraph (b) above is satisfied.</w:t>
      </w:r>
    </w:p>
    <w:p>
      <w:pPr>
        <w:spacing w:after="0" w:line="57" w:lineRule="exact"/>
        <w:rPr>
          <w:sz w:val="20"/>
          <w:szCs w:val="20"/>
          <w:color w:val="auto"/>
        </w:rPr>
      </w:pPr>
    </w:p>
    <w:p>
      <w:pPr>
        <w:ind w:right="20" w:firstLine="871"/>
        <w:spacing w:after="0" w:line="272" w:lineRule="auto"/>
        <w:tabs>
          <w:tab w:leader="none" w:pos="1135"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Each assignment or sublease agreement to which Lessor has consented shall be an instrument in writing in form satisfactory to Lessor, and shall be executed by both Lessee and the assignee or sublessee, as the case may be. Each such assignment or sublease agreement shall recite that it is and shall be subject and subordinate to the provisions of this Lease, that the assignee or sublessee accepts such assignment or sublease, that Lessor’s consent thereto shall not constitute a consent to any subsequent assignment or subletting by Lessee or the assignee or sublessee, and, except as otherwise set forth in a sublease approved by Lessor, agrees to perform all of the obligations of Lessee hereunder (to the extent such obligations relate to the portion of the Premises assigned or subleased), and that the termination of this Lease shall, at Lessor’s sole election, constitute a termination of every such assignment or sublease.</w:t>
      </w:r>
    </w:p>
    <w:p>
      <w:pPr>
        <w:spacing w:after="0" w:line="67" w:lineRule="exact"/>
        <w:rPr>
          <w:rFonts w:ascii="Arial" w:cs="Arial" w:eastAsia="Arial" w:hAnsi="Arial"/>
          <w:sz w:val="17"/>
          <w:szCs w:val="17"/>
          <w:color w:val="auto"/>
        </w:rPr>
      </w:pPr>
    </w:p>
    <w:p>
      <w:pPr>
        <w:ind w:right="260" w:firstLine="871"/>
        <w:spacing w:after="0" w:line="277" w:lineRule="auto"/>
        <w:tabs>
          <w:tab w:leader="none" w:pos="112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the event Lessor shall consent to an assignment or sublease, Lessee shall nonetheless remain primarily liable for all obligations and liabilities of Lessee under this Lease, including but not limited to the payment of rent.</w:t>
      </w:r>
    </w:p>
    <w:p>
      <w:pPr>
        <w:spacing w:after="0" w:line="61" w:lineRule="exact"/>
        <w:rPr>
          <w:rFonts w:ascii="Arial" w:cs="Arial" w:eastAsia="Arial" w:hAnsi="Arial"/>
          <w:sz w:val="18"/>
          <w:szCs w:val="18"/>
          <w:color w:val="auto"/>
        </w:rPr>
      </w:pPr>
    </w:p>
    <w:p>
      <w:pPr>
        <w:ind w:firstLine="871"/>
        <w:spacing w:after="0" w:line="267" w:lineRule="auto"/>
        <w:tabs>
          <w:tab w:leader="none" w:pos="1105"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Notwithstanding the foregoing, Lessee may, without Lessor’s prior written consent and without any participation by Lessor in assignment and subletting proceeds, but with prior notice and documentation, as required pursuant to this Paragraph 17(f) provided to Lessor (unless applicable law prohibits prior disclosure in which case Lessee shall give written notice and documentation to Lessor as soon as such applicable law permits), sublet a portion or the entire Premises or assign this Lease to (i) a subsidiary, affiliate, division or corporation controlled or under common control with Lessee (“</w:t>
      </w:r>
      <w:r>
        <w:rPr>
          <w:rFonts w:ascii="Arial" w:cs="Arial" w:eastAsia="Arial" w:hAnsi="Arial"/>
          <w:sz w:val="17"/>
          <w:szCs w:val="17"/>
          <w:u w:val="single" w:color="auto"/>
          <w:color w:val="auto"/>
        </w:rPr>
        <w:t>affiliate</w:t>
      </w:r>
      <w:r>
        <w:rPr>
          <w:rFonts w:ascii="Arial" w:cs="Arial" w:eastAsia="Arial" w:hAnsi="Arial"/>
          <w:sz w:val="17"/>
          <w:szCs w:val="17"/>
          <w:color w:val="auto"/>
        </w:rPr>
        <w:t>”); (ii) to a successor corporation related to Lessee by merger, consolidation or reorganization; or (iii) to a purchaser of substantially all of Lessee’s business operations conducted on the Premises (each such transaction referred to herein as a “</w:t>
      </w:r>
      <w:r>
        <w:rPr>
          <w:rFonts w:ascii="Arial" w:cs="Arial" w:eastAsia="Arial" w:hAnsi="Arial"/>
          <w:sz w:val="17"/>
          <w:szCs w:val="17"/>
          <w:u w:val="single" w:color="auto"/>
          <w:color w:val="auto"/>
        </w:rPr>
        <w:t>Permitted Transfer</w:t>
      </w:r>
      <w:r>
        <w:rPr>
          <w:rFonts w:ascii="Arial" w:cs="Arial" w:eastAsia="Arial" w:hAnsi="Arial"/>
          <w:sz w:val="17"/>
          <w:szCs w:val="17"/>
          <w:color w:val="auto"/>
        </w:rPr>
        <w:t>” and each of the foregoing transferees referred to herein as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provided that any such Permitted Transferee shall have a current verifiable net worth prior to the transfer at least equal to that of Lessee on the Commencement Date of this Lease, or, if less, financial resources sufficient, in Lessor’s reasonable good faith judgment, to perform the obligations under the assignment or sublease, as applicable. Lessee’s foregoing rights in this Paragraph 17(f) to assign this Lease or to sublease all or a portion of the entire Premises shall be subject to the following conditions: (1) Lessee shall not be in default hereunder past any applicable notice and cure period; (2) in the case of an assignment or subletting to an affiliate, Lessee shall remain liable to Lessor hereunder if Lessee is a surviving entity; (3) the transferee or successor entity shall expressly assume in writing all of Lessee’s obligations hereunder; and (4) Lessee shall provide Lessor with prior notice of such proposed transfer and deliver to Lessor all documents reasonably requested by Lessor relating to such transfer (subject to the limitation set forth in the fourth line of this section), including but not limited to documentation sufficient to establish such proposed transferee’s current verifiable net worth prior to the transfer at least equal to that of Lessee on the Commencement Date of this Lease, or, if less, financial resources sufficient, in Lessor’s reasonable good faith judgment, to perform the obligations under the assignment or sublease, as applicable.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3" w:right="439" w:bottom="1440" w:gutter="0" w:footer="0" w:header="0"/>
        </w:sectPr>
      </w:pPr>
    </w:p>
    <w:bookmarkStart w:id="461" w:name="page462"/>
    <w:bookmarkEnd w:id="461"/>
    <w:p>
      <w:pPr>
        <w:ind w:left="-40" w:right="40" w:firstLine="871"/>
        <w:spacing w:after="0" w:line="263" w:lineRule="auto"/>
        <w:tabs>
          <w:tab w:leader="none" w:pos="1095" w:val="left"/>
        </w:tabs>
        <w:numPr>
          <w:ilvl w:val="0"/>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sale nor transfer of Lessee’s capital stock shall be deemed an assignment, subletting, or other transfer of this Lease or the Premises, provided, that in the event of the sale, transfer or issuance of Lessee’s securities to an affiliate or in connection with a transaction described in Paragraph 17(f), the conditions set forth in Paragraph 17(f) shall apply.</w:t>
      </w:r>
    </w:p>
    <w:p>
      <w:pPr>
        <w:spacing w:after="0" w:line="74" w:lineRule="exact"/>
        <w:rPr>
          <w:rFonts w:ascii="Arial" w:cs="Arial" w:eastAsia="Arial" w:hAnsi="Arial"/>
          <w:sz w:val="18"/>
          <w:szCs w:val="18"/>
          <w:color w:val="auto"/>
        </w:rPr>
      </w:pPr>
    </w:p>
    <w:p>
      <w:pPr>
        <w:ind w:left="-40" w:right="40" w:firstLine="871"/>
        <w:spacing w:after="0" w:line="290" w:lineRule="auto"/>
        <w:tabs>
          <w:tab w:leader="none" w:pos="109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Subject to the provisions of this Paragraph 17 any assignment or sublease (if such consent is required hereunder) without Lessor’s prior written consent shall at Lessor’s election be void. The consent by Lessor to any assignment or sublease shall not constitute a waiver of the provisions of this Paragraph 17, including the requirement of Lessor’s prior written consent, with respect to any subsequent assignment or sublease. If Lessee shall purport to assign this Lease, or sublease all or any portion of the Premises, or permit any person or persons other than Lessee to occupy the Premises, without Lessor’s prior written consent (if such consent is required hereunder), Lessor may collect rent from the person or persons then or thereafter occupying the Premises and apply the net amount collected to the rent reserved herein, but no such collection shall be deemed a waiver of Lessor’s rights and remedies under this Paragraph 17, or the acceptance of any such purported assignee, sublessee, or occupant, or a release of Lessee from the further performance by Lessee of covenants on the part of Lessee herein contained.</w:t>
      </w:r>
    </w:p>
    <w:p>
      <w:pPr>
        <w:spacing w:after="0" w:line="56" w:lineRule="exact"/>
        <w:rPr>
          <w:rFonts w:ascii="Arial" w:cs="Arial" w:eastAsia="Arial" w:hAnsi="Arial"/>
          <w:sz w:val="16"/>
          <w:szCs w:val="16"/>
          <w:color w:val="auto"/>
        </w:rPr>
      </w:pPr>
    </w:p>
    <w:p>
      <w:pPr>
        <w:ind w:left="-40" w:right="80" w:firstLine="871"/>
        <w:spacing w:after="0" w:line="259" w:lineRule="auto"/>
        <w:tabs>
          <w:tab w:leader="none" w:pos="105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Lessee shall not hypothecate or encumber its interest under this Lease or any rights of Lessee hereunder, or enter into any license or concession agreement respecting all or any portion of the Premises, without Lessor’s prior written consent which consent Lessor may grant or withhold in Lessor’s absolute discretion without any liability to Lessee. Lessee’s granting of any such encumbrance, license, or concession agreement shall constitute an assignment for purposes of this Paragraph 17.</w:t>
      </w:r>
    </w:p>
    <w:p>
      <w:pPr>
        <w:spacing w:after="0" w:line="77" w:lineRule="exact"/>
        <w:rPr>
          <w:rFonts w:ascii="Arial" w:cs="Arial" w:eastAsia="Arial" w:hAnsi="Arial"/>
          <w:sz w:val="18"/>
          <w:szCs w:val="18"/>
          <w:color w:val="auto"/>
        </w:rPr>
      </w:pPr>
    </w:p>
    <w:p>
      <w:pPr>
        <w:ind w:left="-40" w:right="20" w:firstLine="871"/>
        <w:spacing w:after="0" w:line="301" w:lineRule="auto"/>
        <w:tabs>
          <w:tab w:leader="none" w:pos="105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the event of any sale or exchange of the Premises by Lessor and assignment of this Lease by Lessor, Lessor shall, upon providing Lessee with written confirmation that the assignee has assumed all obligations of Lessor under this Lease and Lessor has delivered any Security Deposit held by Lessor to Lessor’s successor in interest, be and hereby is entirely relieved of all liability under any and all of Lessor’s covenants and obligations contained in or derived from this Lease with respect to the period commencing with the consummation of the sale or exchange and assignment.</w:t>
      </w:r>
    </w:p>
    <w:p>
      <w:pPr>
        <w:spacing w:after="0" w:line="48" w:lineRule="exact"/>
        <w:rPr>
          <w:rFonts w:ascii="Arial" w:cs="Arial" w:eastAsia="Arial" w:hAnsi="Arial"/>
          <w:sz w:val="16"/>
          <w:szCs w:val="16"/>
          <w:color w:val="auto"/>
        </w:rPr>
      </w:pPr>
    </w:p>
    <w:p>
      <w:pPr>
        <w:jc w:val="both"/>
        <w:ind w:left="-40" w:firstLine="871"/>
        <w:spacing w:after="0" w:line="263" w:lineRule="auto"/>
        <w:tabs>
          <w:tab w:leader="none" w:pos="109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Lessee hereby acknowledges that the foregoing terms and conditions are reasonable and, therefore, that Lessor has the remedy described in California Civil Code Section 1951.4 (Lessor may continue the Lease in effect after Lessee’s breach and abandonment and recover rent as it becomes due, if Lessee has the right to sublet or assign, subject only to reasonable limitations).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500" w:top="274" w:right="479" w:bottom="1440" w:gutter="0" w:footer="0" w:header="0"/>
        </w:sectPr>
      </w:pPr>
    </w:p>
    <w:bookmarkStart w:id="462" w:name="page463"/>
    <w:bookmarkEnd w:id="462"/>
    <w:p>
      <w:pPr>
        <w:ind w:left="700" w:hanging="270"/>
        <w:spacing w:after="0"/>
        <w:tabs>
          <w:tab w:leader="none" w:pos="70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Non-Waiver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600" w:firstLine="871"/>
        <w:spacing w:after="0" w:line="307" w:lineRule="auto"/>
        <w:tabs>
          <w:tab w:leader="none" w:pos="1125" w:val="left"/>
        </w:tabs>
        <w:numPr>
          <w:ilvl w:val="1"/>
          <w:numId w:val="375"/>
        </w:numPr>
        <w:rPr>
          <w:rFonts w:ascii="Arial" w:cs="Arial" w:eastAsia="Arial" w:hAnsi="Arial"/>
          <w:sz w:val="17"/>
          <w:szCs w:val="17"/>
          <w:color w:val="auto"/>
        </w:rPr>
      </w:pPr>
      <w:r>
        <w:rPr>
          <w:rFonts w:ascii="Arial" w:cs="Arial" w:eastAsia="Arial" w:hAnsi="Arial"/>
          <w:sz w:val="17"/>
          <w:szCs w:val="17"/>
          <w:color w:val="auto"/>
        </w:rPr>
        <w:t>No waiver of any provision of this Lease shall be implied by any failure of Lessor to enforce any remedy for the violation of that provision, even if that violation continues or is repeated. Any waiver by Lessor of any provision of this Lease must be in writing.</w:t>
      </w:r>
    </w:p>
    <w:p>
      <w:pPr>
        <w:spacing w:after="0" w:line="39" w:lineRule="exact"/>
        <w:rPr>
          <w:rFonts w:ascii="Arial" w:cs="Arial" w:eastAsia="Arial" w:hAnsi="Arial"/>
          <w:sz w:val="17"/>
          <w:szCs w:val="17"/>
          <w:color w:val="auto"/>
        </w:rPr>
      </w:pPr>
    </w:p>
    <w:p>
      <w:pPr>
        <w:ind w:right="260" w:firstLine="871"/>
        <w:spacing w:after="0" w:line="259" w:lineRule="auto"/>
        <w:tabs>
          <w:tab w:leader="none" w:pos="113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No receipt of Lessor of a lesser payment than the rent required under this Lease shall be considered to be other than on account of the earliest rent due, and no endorsement or statement on any check or letter accompanying a payment or check shall be considered an accord and satisfaction. Lessor may accept checks or payments without prejudice to Lessor’s right to recover all amounts due and pursue all other remedies provided for in this Lease.</w:t>
      </w:r>
    </w:p>
    <w:p>
      <w:pPr>
        <w:spacing w:after="0" w:line="18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Lessor’s receipt of any rent or other payment from Lessee after giving notice to Lessee terminating this Lease shall in no way reinstate, continue, or extend the Term or affect the termination notice given by Lessor before the receipt of such rent or payment. After serving notice terminating this Lease, filing an action, or obtaining final judgment for possession of the Premises, Lessor may receive and collect any rent, and the payment of that rent shall not waive or affect such prior notice, action, or judgment.</w:t>
      </w:r>
    </w:p>
    <w:p>
      <w:pPr>
        <w:spacing w:after="0" w:line="78" w:lineRule="exact"/>
        <w:rPr>
          <w:sz w:val="20"/>
          <w:szCs w:val="20"/>
          <w:color w:val="auto"/>
        </w:rPr>
      </w:pPr>
    </w:p>
    <w:p>
      <w:pPr>
        <w:ind w:right="100" w:firstLine="430"/>
        <w:spacing w:after="0" w:line="290" w:lineRule="auto"/>
        <w:tabs>
          <w:tab w:leader="none" w:pos="710"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Holding Over</w:t>
      </w:r>
      <w:r>
        <w:rPr>
          <w:rFonts w:ascii="Arial" w:cs="Arial" w:eastAsia="Arial" w:hAnsi="Arial"/>
          <w:sz w:val="16"/>
          <w:szCs w:val="16"/>
          <w:color w:val="auto"/>
        </w:rPr>
        <w:t>. Lessee shall vacate the Premises and deliver the same to Lessor upon the expiration or sooner termination of this Lease. In the event of holding over by Lessee after the expiration or termination of this Lease, such holding over shall be on a month-to-month tenancy and all of the terms and provisions of this Lease shall be applicable during such period, except that in addition to the payment of Additional Rent, Lessee shall pay Lessor as Monthly Base Rent during such holdover an amount equal to the greater of (i) one hundred fifty percent (150%) of the Monthly Base Rent in effect at the expiration of the term, or (ii) the then market rent for comparable research and development/office space. If such holdover is without Lessor’s written consent, Lessee shall be liable to Lessor for all costs, expenses, and consequential damages incurred by Lessor as a result of such holdover, including but not limited to damages resulting from Lessor’s inability to timely deliver possession of the Premises to a new tenant. The rental payable during such holdover period without Lessor’s written consent shall be payable to Lessor on demand.</w:t>
      </w:r>
    </w:p>
    <w:p>
      <w:pPr>
        <w:spacing w:after="0" w:line="56" w:lineRule="exact"/>
        <w:rPr>
          <w:rFonts w:ascii="Arial" w:cs="Arial" w:eastAsia="Arial" w:hAnsi="Arial"/>
          <w:sz w:val="16"/>
          <w:szCs w:val="16"/>
          <w:color w:val="auto"/>
        </w:rPr>
      </w:pPr>
    </w:p>
    <w:p>
      <w:pPr>
        <w:ind w:left="700" w:hanging="270"/>
        <w:spacing w:after="0"/>
        <w:tabs>
          <w:tab w:leader="none" w:pos="70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55" w:lineRule="auto"/>
        <w:tabs>
          <w:tab w:leader="none" w:pos="112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In the event of a total destruction of the Building during the term from any cause, either party may elect to terminate this Lease by giving written notice of termination to the other party within thirty (30) days after the casualty occurs. A total destruction shall be deemed to have occurred for this purpose if the Building or the Premises that are the subject of this Lease are destroyed to the extent of seventy-five percent (75%) or more of the replacement cost thereof. If the Lease is not terminated, Lessor shall repair and restore the Premises in a diligent manner and this Lease shall continue in full force and effect, except that Monthly Base Rent and Additional Rent of the Premises which are the subject of this Lease shall be abated in accordance with Paragraph 20(d)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463" w:name="page464"/>
    <w:bookmarkEnd w:id="463"/>
    <w:p>
      <w:pPr>
        <w:ind w:left="10" w:right="40" w:firstLine="871"/>
        <w:spacing w:after="0" w:line="287" w:lineRule="auto"/>
        <w:tabs>
          <w:tab w:leader="none" w:pos="1145" w:val="left"/>
        </w:tabs>
        <w:numPr>
          <w:ilvl w:val="1"/>
          <w:numId w:val="3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partial destruction of the Building or the Premises to an extent less than seventy-five percent (75%) of the replacement cost thereof, and if Lessor reasonably believes that the damage thereto can be repaired, reconstructed, or restored with reasonable diligence within a period of one hundred eighty (180) days after the date of issuance of any necessary permits to complete the repair of the Premises (without payment of overtime or other premiums), there are at least twelve (12) months remaining in the term of this Lease, and the casualty is from a cause which is insured under Lessor’s “all risk” property insurance, or is insured under any other coverage then carried by Lessor, Lessor shall forthwith repair the same, and this Lease shall continue in full force and effect, except that Monthly Base Rent and Additional Rent shall be abated in accordance with Paragraph 20(d) below. If any of the foregoing conditions are not met, Lessor shall have the option of either repairing and restoring the Building and Improvements, or terminating this Lease by giving written notice of termination to Lessee within sixty (60) days after the casualty. Notwithstanding anything to the contrary contained in this Paragraph 20, Lessor shall not have the right to terminate this Lease if the cost to repair the damage to the Building or to restore the Premises would cost less than five percent (5%) of the replacement cost of the Building, regardless of whether or not the casualty is insured provided that there are at least twelve (12) months remaining in the term of this Lease.</w:t>
      </w:r>
    </w:p>
    <w:p>
      <w:pPr>
        <w:spacing w:after="0" w:line="61" w:lineRule="exact"/>
        <w:rPr>
          <w:rFonts w:ascii="Arial" w:cs="Arial" w:eastAsia="Arial" w:hAnsi="Arial"/>
          <w:sz w:val="16"/>
          <w:szCs w:val="16"/>
          <w:color w:val="auto"/>
        </w:rPr>
      </w:pPr>
    </w:p>
    <w:p>
      <w:pPr>
        <w:ind w:left="10" w:firstLine="871"/>
        <w:spacing w:after="0" w:line="287" w:lineRule="auto"/>
        <w:tabs>
          <w:tab w:leader="none" w:pos="1135" w:val="left"/>
        </w:tabs>
        <w:numPr>
          <w:ilvl w:val="1"/>
          <w:numId w:val="377"/>
        </w:numPr>
        <w:rPr>
          <w:rFonts w:ascii="Arial" w:cs="Arial" w:eastAsia="Arial" w:hAnsi="Arial"/>
          <w:sz w:val="16"/>
          <w:szCs w:val="16"/>
          <w:color w:val="auto"/>
        </w:rPr>
      </w:pPr>
      <w:r>
        <w:rPr>
          <w:rFonts w:ascii="Arial" w:cs="Arial" w:eastAsia="Arial" w:hAnsi="Arial"/>
          <w:sz w:val="16"/>
          <w:szCs w:val="16"/>
          <w:color w:val="auto"/>
        </w:rPr>
        <w:t>Lessor’s election to repair and restore the Building and Improvements or to terminate this Lease, shall be made and written notice thereof shall be given to Lessee within sixty (60) days after the casualty. Notwithstanding the foregoing, (1) Lessee may terminate this Lease by written notice to Lessor if Lessor has not obtained all necessary governmental permits for the restoration and commenced construction of the restoration within sixty</w:t>
      </w:r>
    </w:p>
    <w:p>
      <w:pPr>
        <w:spacing w:after="0" w:line="1" w:lineRule="exact"/>
        <w:rPr>
          <w:rFonts w:ascii="Arial" w:cs="Arial" w:eastAsia="Arial" w:hAnsi="Arial"/>
          <w:sz w:val="16"/>
          <w:szCs w:val="16"/>
          <w:color w:val="auto"/>
        </w:rPr>
      </w:pPr>
    </w:p>
    <w:p>
      <w:pPr>
        <w:jc w:val="both"/>
        <w:ind w:left="10" w:right="20" w:hanging="10"/>
        <w:spacing w:after="0" w:line="295" w:lineRule="auto"/>
        <w:tabs>
          <w:tab w:leader="none" w:pos="35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days after the casualty; or (2) if Lessor elects to repair and restore the Building and Improvements under Paragraph 20(b) above, but the repairs and restoration are not substantially completed within two hundred forty (240) days after the date of the casualty, Lessee may terminate this Lease by written notice to Lessor given within thirty (30) days after the expiration of said period of two hundred forty (240) days after the date of the casualty, provided that the repairs and restoration are not substantially completed prior to the receipt by Lessor of such notice of termination.</w:t>
      </w:r>
    </w:p>
    <w:p>
      <w:pPr>
        <w:spacing w:after="0" w:line="52" w:lineRule="exact"/>
        <w:rPr>
          <w:rFonts w:ascii="Arial" w:cs="Arial" w:eastAsia="Arial" w:hAnsi="Arial"/>
          <w:sz w:val="16"/>
          <w:szCs w:val="16"/>
          <w:color w:val="auto"/>
        </w:rPr>
      </w:pPr>
    </w:p>
    <w:p>
      <w:pPr>
        <w:ind w:left="10" w:right="260" w:firstLine="871"/>
        <w:spacing w:after="0" w:line="259" w:lineRule="auto"/>
        <w:tabs>
          <w:tab w:leader="none" w:pos="114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In the event of repair, reconstruction, or restoration as provided herein, the Monthly Base Rent and Additional Rent shall be abated proportionally in the ratio which the Lessee’s use of all or a portion of the Premises is impaired and Lessee does not so use for the conduct of its business such portion of the Premises impaired during the period of such repair, reconstruction, or restoration, from the date of the casualty until such repair, reconstruction or restoration is substantially completed.</w:t>
      </w:r>
    </w:p>
    <w:p>
      <w:pPr>
        <w:spacing w:after="0" w:line="77" w:lineRule="exact"/>
        <w:rPr>
          <w:rFonts w:ascii="Arial" w:cs="Arial" w:eastAsia="Arial" w:hAnsi="Arial"/>
          <w:sz w:val="18"/>
          <w:szCs w:val="18"/>
          <w:color w:val="auto"/>
        </w:rPr>
      </w:pPr>
    </w:p>
    <w:p>
      <w:pPr>
        <w:ind w:left="10" w:right="200" w:firstLine="871"/>
        <w:spacing w:after="0" w:line="273" w:lineRule="auto"/>
        <w:tabs>
          <w:tab w:leader="none" w:pos="1135" w:val="left"/>
        </w:tabs>
        <w:numPr>
          <w:ilvl w:val="1"/>
          <w:numId w:val="378"/>
        </w:numPr>
        <w:rPr>
          <w:rFonts w:ascii="Arial" w:cs="Arial" w:eastAsia="Arial" w:hAnsi="Arial"/>
          <w:sz w:val="17"/>
          <w:szCs w:val="17"/>
          <w:color w:val="auto"/>
        </w:rPr>
      </w:pPr>
      <w:r>
        <w:rPr>
          <w:rFonts w:ascii="Arial" w:cs="Arial" w:eastAsia="Arial" w:hAnsi="Arial"/>
          <w:sz w:val="17"/>
          <w:szCs w:val="17"/>
          <w:color w:val="auto"/>
        </w:rPr>
        <w:t>With respect to any destruction of the Building and Improvements which Lessor is obligated to repair, or may elect to repair, under the terms of this Paragraph 20, the provisions of Section 1932, Subdivision 2, and of Section 1933, Subdivision 4, of the Civil Code of the State of California are waived by the parties. Lessor’s obligation to repair and restore the Building and Improvements shall include the Tenant Improvements referred to in Paragraph 13(a). Lessor’s time for completion of the repairs and restoration of the Building and Improvements referred to above shall be extended by a period equal to any delays (“force majeure delays”) caused by strikes, labor disputes, unavailability of materials, inclement weather, circumstances not within Lessor’s control, or acts of God, but in no event by more than sixty (60) days.</w:t>
      </w:r>
    </w:p>
    <w:p>
      <w:pPr>
        <w:spacing w:after="0" w:line="10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10"/>
          </w:cols>
          <w:pgMar w:left="450" w:top="274" w:right="439" w:bottom="1440" w:gutter="0" w:footer="0" w:header="0"/>
        </w:sectPr>
      </w:pPr>
    </w:p>
    <w:bookmarkStart w:id="464" w:name="page465"/>
    <w:bookmarkEnd w:id="464"/>
    <w:p>
      <w:pPr>
        <w:ind w:left="10" w:right="40" w:firstLine="871"/>
        <w:spacing w:after="0" w:line="256" w:lineRule="auto"/>
        <w:tabs>
          <w:tab w:leader="none" w:pos="1115" w:val="left"/>
        </w:tabs>
        <w:numPr>
          <w:ilvl w:val="2"/>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termination of this Lease pursuant to any of the provisions of this Paragraph 20, the Monthly Base Rent and Additional Rent shall be apportioned on a per diem basis and shall be paid to the date of the casualty. In no event shall Lessor be liable to Lessee for any damages resulting to Lessee from the occurrence of such casualty, or from the repairing or restoration of the Building and Improvements, or from the termination of this Lease as provided herein, nor shall Lessee be relieved thereby from any of Lessee’s obligations hereunder, except to the extent and upon the conditions expressly set forth in this Paragraph 20.</w:t>
      </w:r>
    </w:p>
    <w:p>
      <w:pPr>
        <w:spacing w:after="0" w:line="83" w:lineRule="exact"/>
        <w:rPr>
          <w:rFonts w:ascii="Arial" w:cs="Arial" w:eastAsia="Arial" w:hAnsi="Arial"/>
          <w:sz w:val="18"/>
          <w:szCs w:val="18"/>
          <w:color w:val="auto"/>
        </w:rPr>
      </w:pPr>
    </w:p>
    <w:p>
      <w:pPr>
        <w:ind w:left="710" w:hanging="270"/>
        <w:spacing w:after="0"/>
        <w:tabs>
          <w:tab w:leader="none" w:pos="710"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Eminent Domain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80" w:firstLine="871"/>
        <w:spacing w:after="0" w:line="291" w:lineRule="auto"/>
        <w:tabs>
          <w:tab w:leader="none" w:pos="1135" w:val="left"/>
        </w:tabs>
        <w:numPr>
          <w:ilvl w:val="2"/>
          <w:numId w:val="380"/>
        </w:numPr>
        <w:rPr>
          <w:rFonts w:ascii="Arial" w:cs="Arial" w:eastAsia="Arial" w:hAnsi="Arial"/>
          <w:sz w:val="16"/>
          <w:szCs w:val="16"/>
          <w:color w:val="auto"/>
        </w:rPr>
      </w:pPr>
      <w:r>
        <w:rPr>
          <w:rFonts w:ascii="Arial" w:cs="Arial" w:eastAsia="Arial" w:hAnsi="Arial"/>
          <w:sz w:val="16"/>
          <w:szCs w:val="16"/>
          <w:color w:val="auto"/>
        </w:rPr>
        <w:t>If the whole or any substantial part of the Property is taken or condemned by any competent public authority for any public use or purpose, the term of this Lease shall end upon the earlier to occur of the date when the possession of the part so taken shall be required for such use or purpose or the vesting of title in such public authority. Rent shall be apportioned as of the date of such termination. Any award arising from the condemnation of any portion of the Property or the settlement thereof shall belong to and be paid to Lessor. However, Lessee may file a separate claim at Lessee’s sole cost and expense for (i) leasehold improvements installed at Lessee’s expense or other property owned by Lessee, and (ii) reasonable costs of moving by Lessee to another location in San Mateo County or surrounding areas within the San Francisco Bay Area. In all events, Lessor shall be solely entitled to any award with respect to the real property, including the bonus value of the leasehold.</w:t>
      </w:r>
    </w:p>
    <w:p>
      <w:pPr>
        <w:spacing w:after="0" w:line="57" w:lineRule="exact"/>
        <w:rPr>
          <w:rFonts w:ascii="Arial" w:cs="Arial" w:eastAsia="Arial" w:hAnsi="Arial"/>
          <w:sz w:val="16"/>
          <w:szCs w:val="16"/>
          <w:color w:val="auto"/>
        </w:rPr>
      </w:pPr>
    </w:p>
    <w:p>
      <w:pPr>
        <w:ind w:left="10" w:firstLine="871"/>
        <w:spacing w:after="0" w:line="254" w:lineRule="auto"/>
        <w:tabs>
          <w:tab w:leader="none" w:pos="1145" w:val="left"/>
        </w:tabs>
        <w:numPr>
          <w:ilvl w:val="2"/>
          <w:numId w:val="380"/>
        </w:numPr>
        <w:rPr>
          <w:rFonts w:ascii="Arial" w:cs="Arial" w:eastAsia="Arial" w:hAnsi="Arial"/>
          <w:sz w:val="18"/>
          <w:szCs w:val="18"/>
          <w:color w:val="auto"/>
        </w:rPr>
      </w:pPr>
      <w:r>
        <w:rPr>
          <w:rFonts w:ascii="Arial" w:cs="Arial" w:eastAsia="Arial" w:hAnsi="Arial"/>
          <w:sz w:val="18"/>
          <w:szCs w:val="18"/>
          <w:color w:val="auto"/>
        </w:rPr>
        <w:t>If there is a partial taking of the Property by eminent domain which is not a substantial part of the Property and the Premises remain reasonably suitable for continued use and occupancy by Lessee for the purposes referred to in Paragraph 8, Lessor shall complete any necessary repairs in a diligent manner and this Lease shall remain in full force and effect with a just and proportionate abatement of the Monthly Base Rent and Additional Rent, based on the extent to which Lessee’s use of the Premises is completely impaired thereafter. If after a partial taking, the Premises are not reasonably suitable for Lessee’s continued use and occupancy for the uses permitted herein, Lessee may terminate this Lease effective on the earlier of the date title vests in the public authority or the date possession is taken. Subject to the provisions of Paragraph 21(a), the entire award for such taking shall be the property of Lessor.</w:t>
      </w:r>
    </w:p>
    <w:p>
      <w:pPr>
        <w:spacing w:after="0" w:line="85" w:lineRule="exact"/>
        <w:rPr>
          <w:rFonts w:ascii="Arial" w:cs="Arial" w:eastAsia="Arial" w:hAnsi="Arial"/>
          <w:sz w:val="18"/>
          <w:szCs w:val="18"/>
          <w:color w:val="auto"/>
        </w:rPr>
      </w:pPr>
    </w:p>
    <w:p>
      <w:pPr>
        <w:ind w:left="10" w:right="120" w:firstLine="430"/>
        <w:spacing w:after="0" w:line="290" w:lineRule="auto"/>
        <w:tabs>
          <w:tab w:leader="none" w:pos="720" w:val="left"/>
        </w:tabs>
        <w:numPr>
          <w:ilvl w:val="1"/>
          <w:numId w:val="38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If Lessee fails to make any payment of rent or any other sum due under this Lease for five (5) days after receipt by Lessee of written notice from Lessor; or if Lessee fails to comply with any term, provision or covenant of this Lease and does not cure such failure within fifteen</w:t>
      </w:r>
    </w:p>
    <w:p>
      <w:pPr>
        <w:spacing w:after="0" w:line="1" w:lineRule="exact"/>
        <w:rPr>
          <w:rFonts w:ascii="Arial" w:cs="Arial" w:eastAsia="Arial" w:hAnsi="Arial"/>
          <w:sz w:val="16"/>
          <w:szCs w:val="16"/>
          <w:color w:val="auto"/>
        </w:rPr>
      </w:pPr>
    </w:p>
    <w:p>
      <w:pPr>
        <w:ind w:left="10" w:right="240" w:hanging="10"/>
        <w:spacing w:after="0" w:line="291" w:lineRule="auto"/>
        <w:tabs>
          <w:tab w:leader="none" w:pos="35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days after receipt by Lessee of written notice from Lessor or such shorter time period specified in this Lease (unless such default is incapable of cure within fifteen (15) days and Lessee commences cure within fifteen (15) days and thereafter diligently prosecutes the cure to completion within a reasonable time, not to exceed ninety (90) days); or if Lessee’s interest herein, or any part thereof, is assigned or transferred, either voluntarily or by operation of law (except as expressly permitted by other provisions of this Lease); or if Lessee makes a general assignment for the benefit of its creditors; or if this Lease is rejected (i) by a bankruptcy trustee for Lessee, (ii) by Lessee as debtor in possession, or (iii) by failure of Lessee</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70"/>
          </w:cols>
          <w:pgMar w:left="450" w:top="274" w:right="479" w:bottom="1440" w:gutter="0" w:footer="0" w:header="0"/>
        </w:sectPr>
      </w:pPr>
    </w:p>
    <w:bookmarkStart w:id="465" w:name="page466"/>
    <w:bookmarkEnd w:id="46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bankrupt debtor to act timely in assuming or rejecting this Lease; then any of such events shall constitute an event of default and breach of this Lease by Lessee and Lessor may, at its option, elect the remedies specified in either subparagraph (a) or (b) below. Any such rejection of this Lease referred to above shall not cause an automatic termination of this Lease. Whenever in this Lease reference is made to a default by Lessee, such reference shall refer to an event of default as defined in this Paragraph 22.</w:t>
      </w:r>
    </w:p>
    <w:p>
      <w:pPr>
        <w:spacing w:after="0" w:line="78" w:lineRule="exact"/>
        <w:rPr>
          <w:sz w:val="20"/>
          <w:szCs w:val="20"/>
          <w:color w:val="auto"/>
        </w:rPr>
      </w:pPr>
    </w:p>
    <w:p>
      <w:pPr>
        <w:ind w:right="420" w:firstLine="871"/>
        <w:spacing w:after="0" w:line="277" w:lineRule="auto"/>
        <w:tabs>
          <w:tab w:leader="none" w:pos="112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Lessor may repossess the Premises and remove all persons and property therefrom. If Lessor repossesses the Premises because of a breach of this Lease, this Lease shall terminate and Lessor may recover from Lessee:</w:t>
      </w:r>
    </w:p>
    <w:p>
      <w:pPr>
        <w:spacing w:after="0" w:line="61" w:lineRule="exact"/>
        <w:rPr>
          <w:rFonts w:ascii="Arial" w:cs="Arial" w:eastAsia="Arial" w:hAnsi="Arial"/>
          <w:sz w:val="18"/>
          <w:szCs w:val="18"/>
          <w:color w:val="auto"/>
        </w:rPr>
      </w:pPr>
    </w:p>
    <w:p>
      <w:pPr>
        <w:ind w:right="60" w:firstLine="1421"/>
        <w:spacing w:after="0" w:line="263" w:lineRule="auto"/>
        <w:tabs>
          <w:tab w:leader="none" w:pos="168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 including interest thereon at a rate equal to the discount rate established by the Federal Reserve Bank of San Francisco for member banks, plus one percent (1%), or the maximum legal rate of interest, whichever is less, from the time of termination until paid;</w:t>
      </w:r>
    </w:p>
    <w:p>
      <w:pPr>
        <w:spacing w:after="0" w:line="74" w:lineRule="exact"/>
        <w:rPr>
          <w:rFonts w:ascii="Arial" w:cs="Arial" w:eastAsia="Arial" w:hAnsi="Arial"/>
          <w:sz w:val="18"/>
          <w:szCs w:val="18"/>
          <w:color w:val="auto"/>
        </w:rPr>
      </w:pPr>
    </w:p>
    <w:p>
      <w:pPr>
        <w:ind w:firstLine="1421"/>
        <w:spacing w:after="0" w:line="259" w:lineRule="auto"/>
        <w:tabs>
          <w:tab w:leader="none" w:pos="168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Lessee proves could have been reasonably avoided, including interest thereon at a rate equal to the Federal discount rate plus one percent (1%) per annum, or the maximum legal rate of interest, whichever is less, from the time of termination until paid;</w:t>
      </w:r>
    </w:p>
    <w:p>
      <w:pPr>
        <w:spacing w:after="0" w:line="77" w:lineRule="exact"/>
        <w:rPr>
          <w:rFonts w:ascii="Arial" w:cs="Arial" w:eastAsia="Arial" w:hAnsi="Arial"/>
          <w:sz w:val="18"/>
          <w:szCs w:val="18"/>
          <w:color w:val="auto"/>
        </w:rPr>
      </w:pPr>
    </w:p>
    <w:p>
      <w:pPr>
        <w:ind w:right="20" w:firstLine="1421"/>
        <w:spacing w:after="0" w:line="286" w:lineRule="auto"/>
        <w:tabs>
          <w:tab w:leader="none" w:pos="1686" w:val="left"/>
        </w:tabs>
        <w:numPr>
          <w:ilvl w:val="1"/>
          <w:numId w:val="382"/>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for the same period that Lessee proves could be reasonably avoided discounted at the discount rate established by the Federal Reserve Bank of San Francisco for member banks at the time of the award plus one percent (1%); and</w:t>
      </w:r>
    </w:p>
    <w:p>
      <w:pPr>
        <w:spacing w:after="0" w:line="56" w:lineRule="exact"/>
        <w:rPr>
          <w:rFonts w:ascii="Arial" w:cs="Arial" w:eastAsia="Arial" w:hAnsi="Arial"/>
          <w:sz w:val="17"/>
          <w:szCs w:val="17"/>
          <w:color w:val="auto"/>
        </w:rPr>
      </w:pPr>
    </w:p>
    <w:p>
      <w:pPr>
        <w:ind w:right="300" w:firstLine="1421"/>
        <w:spacing w:after="0" w:line="307" w:lineRule="auto"/>
        <w:tabs>
          <w:tab w:leader="none" w:pos="1686" w:val="left"/>
        </w:tabs>
        <w:numPr>
          <w:ilvl w:val="1"/>
          <w:numId w:val="382"/>
        </w:numPr>
        <w:rPr>
          <w:rFonts w:ascii="Arial" w:cs="Arial" w:eastAsia="Arial" w:hAnsi="Arial"/>
          <w:sz w:val="17"/>
          <w:szCs w:val="17"/>
          <w:color w:val="auto"/>
        </w:rPr>
      </w:pPr>
      <w:r>
        <w:rPr>
          <w:rFonts w:ascii="Arial" w:cs="Arial" w:eastAsia="Arial" w:hAnsi="Arial"/>
          <w:sz w:val="17"/>
          <w:szCs w:val="17"/>
          <w:color w:val="auto"/>
        </w:rPr>
        <w:t>any other amount necessary to compensate Lessor for all the detriment proximately caused by Lessee’s breach or by Lessee’s failure to perform its obligations under this Lease or which in the ordinary course of things would be likely to result therefrom.</w:t>
      </w:r>
    </w:p>
    <w:p>
      <w:pPr>
        <w:spacing w:after="0" w:line="39" w:lineRule="exact"/>
        <w:rPr>
          <w:rFonts w:ascii="Arial" w:cs="Arial" w:eastAsia="Arial" w:hAnsi="Arial"/>
          <w:sz w:val="17"/>
          <w:szCs w:val="17"/>
          <w:color w:val="auto"/>
        </w:rPr>
      </w:pPr>
    </w:p>
    <w:p>
      <w:pPr>
        <w:ind w:right="20" w:firstLine="871"/>
        <w:spacing w:after="0" w:line="259" w:lineRule="auto"/>
        <w:tabs>
          <w:tab w:leader="none" w:pos="11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Lessor does not repossess the Premises, then this Lease shall continue in effect for so long as Lessor does not terminate Lessee’s right to possession and Lessor may enforce all of its rights and remedies under this Lease, including the right to recover the rent and other sums due from Lessee hereunder. For the purposes of this Paragraph 22, the following do not constitute a repossession of the Premises by Lessor or a termination of the Lease by Lessor:</w:t>
      </w:r>
    </w:p>
    <w:p>
      <w:pPr>
        <w:spacing w:after="0" w:line="77" w:lineRule="exact"/>
        <w:rPr>
          <w:rFonts w:ascii="Arial" w:cs="Arial" w:eastAsia="Arial" w:hAnsi="Arial"/>
          <w:sz w:val="18"/>
          <w:szCs w:val="18"/>
          <w:color w:val="auto"/>
        </w:rPr>
      </w:pPr>
    </w:p>
    <w:p>
      <w:pPr>
        <w:ind w:left="1680" w:hanging="259"/>
        <w:spacing w:after="0"/>
        <w:tabs>
          <w:tab w:leader="none" w:pos="16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Acts of maintenance or preservation by Lessor or efforts by Lessor to relet the Premises; or</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appointment of a receiver by Lessor to protect Lessor’s interests under this Lease.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73" w:right="459" w:bottom="1440" w:gutter="0" w:footer="0" w:header="0"/>
        </w:sectPr>
      </w:pPr>
    </w:p>
    <w:bookmarkStart w:id="466" w:name="page467"/>
    <w:bookmarkEnd w:id="466"/>
    <w:p>
      <w:pPr>
        <w:ind w:left="10" w:right="40" w:firstLine="871"/>
        <w:spacing w:after="0" w:line="287" w:lineRule="auto"/>
        <w:tabs>
          <w:tab w:leader="none" w:pos="1135" w:val="left"/>
        </w:tabs>
        <w:numPr>
          <w:ilvl w:val="2"/>
          <w:numId w:val="3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Lessor’s failure to perform or observe any of its obligations under this Lease or to correct a breach of any warranty or representation made in this Lease within thirty (30) days after receipt of written notice from Lessee setting forth in reasonable detail the nature and extent of the failure referencing pertinent Lease provisions or if more than thirty (30) days is required to cure the breach, Lessor’s failure to begin curing within the thirty</w:t>
      </w:r>
    </w:p>
    <w:p>
      <w:pPr>
        <w:spacing w:after="0" w:line="1" w:lineRule="exact"/>
        <w:rPr>
          <w:rFonts w:ascii="Arial" w:cs="Arial" w:eastAsia="Arial" w:hAnsi="Arial"/>
          <w:sz w:val="16"/>
          <w:szCs w:val="16"/>
          <w:color w:val="auto"/>
        </w:rPr>
      </w:pPr>
    </w:p>
    <w:p>
      <w:pPr>
        <w:ind w:left="10" w:right="60" w:hanging="10"/>
        <w:spacing w:after="0" w:line="277" w:lineRule="auto"/>
        <w:tabs>
          <w:tab w:leader="none" w:pos="35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day period and diligently prosecute the cure to completion, shall constitute a default. If Lessor commits a default, Lessee’s sole remedy shall be to institute an action against Lessor for damages or for equitable or injunctive relief, but Lessee shall not have the right to punitive damages, consequential damages, rent abatement, offset against rent, or to terminate this Lease in the event of any default by Lessor.</w:t>
      </w:r>
    </w:p>
    <w:p>
      <w:pPr>
        <w:spacing w:after="0" w:line="64" w:lineRule="exact"/>
        <w:rPr>
          <w:rFonts w:ascii="Arial" w:cs="Arial" w:eastAsia="Arial" w:hAnsi="Arial"/>
          <w:sz w:val="17"/>
          <w:szCs w:val="17"/>
          <w:color w:val="auto"/>
        </w:rPr>
      </w:pPr>
    </w:p>
    <w:p>
      <w:pPr>
        <w:ind w:left="10" w:right="20" w:firstLine="871"/>
        <w:spacing w:after="0" w:line="290" w:lineRule="auto"/>
        <w:tabs>
          <w:tab w:leader="none" w:pos="1145" w:val="left"/>
        </w:tabs>
        <w:numPr>
          <w:ilvl w:val="2"/>
          <w:numId w:val="384"/>
        </w:numPr>
        <w:rPr>
          <w:rFonts w:ascii="Arial" w:cs="Arial" w:eastAsia="Arial" w:hAnsi="Arial"/>
          <w:sz w:val="16"/>
          <w:szCs w:val="16"/>
          <w:color w:val="auto"/>
        </w:rPr>
      </w:pPr>
      <w:r>
        <w:rPr>
          <w:rFonts w:ascii="Arial" w:cs="Arial" w:eastAsia="Arial" w:hAnsi="Arial"/>
          <w:sz w:val="16"/>
          <w:szCs w:val="16"/>
          <w:color w:val="auto"/>
        </w:rPr>
        <w:t>All covenants and agreements to be performed by Lessee under this Lease shall be at its sole cost and expense and without abatement of rent or other sums due under this Lease, unless otherwise specified in this Lease. If Lessee shall fail to pay any sum of money required to be paid by Lessee under this Lease or shall fail to perform any other act on Lessee’s part to be performed under this Lease within the time periods described in the first paragraph of Paragraph 22(a), Lessor may, but shall not be obligated so to do and without waiving or releasing Lessee from any obligations of Lessee, make any such payment or perform any such other act on Lessee’s part to be made or performed as provided in this Lease. All sums paid by Lessor, whether to fulfill Lessee’s unfulfilled payment obligations, to perform Lessee’s unfulfilled performance obligations, or to compel Lessee to fulfill or perform its obligations under this Lease, and all incidental costs, including attorneys’ fees, plus an administrative fee of five percent (5%) of all amounts so expended by Lessor, shall be deemed to be Additional Rent hereunder and shall be payable to Lessor upon demand.</w:t>
      </w:r>
    </w:p>
    <w:p>
      <w:pPr>
        <w:spacing w:after="0" w:line="56" w:lineRule="exact"/>
        <w:rPr>
          <w:rFonts w:ascii="Arial" w:cs="Arial" w:eastAsia="Arial" w:hAnsi="Arial"/>
          <w:sz w:val="16"/>
          <w:szCs w:val="16"/>
          <w:color w:val="auto"/>
        </w:rPr>
      </w:pPr>
    </w:p>
    <w:p>
      <w:pPr>
        <w:ind w:left="10" w:right="80" w:firstLine="430"/>
        <w:spacing w:after="0" w:line="279" w:lineRule="auto"/>
        <w:tabs>
          <w:tab w:leader="none" w:pos="7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Lessee’s Personal Property</w:t>
      </w:r>
      <w:r>
        <w:rPr>
          <w:rFonts w:ascii="Arial" w:cs="Arial" w:eastAsia="Arial" w:hAnsi="Arial"/>
          <w:sz w:val="17"/>
          <w:szCs w:val="17"/>
          <w:color w:val="auto"/>
        </w:rPr>
        <w:t>. If any personal property of Lessee remains on the Premises after (1) Lessor terminates this Lease pursuant to Paragraph 22 above following an event of default by Lessee, or (2) after the expiration of the Lease Term or after the termination of this Lease pursuant to any other provisions hereof, Lessor shall give written notice thereof to Lessee pursuant to applicable law. Lessor shall thereafter release, store, and dispose of any such personal property of Lessee in accordance with the provisions of applicable law.</w:t>
      </w:r>
    </w:p>
    <w:p>
      <w:pPr>
        <w:spacing w:after="0" w:line="62" w:lineRule="exact"/>
        <w:rPr>
          <w:rFonts w:ascii="Arial" w:cs="Arial" w:eastAsia="Arial" w:hAnsi="Arial"/>
          <w:sz w:val="17"/>
          <w:szCs w:val="17"/>
          <w:color w:val="auto"/>
        </w:rPr>
      </w:pPr>
    </w:p>
    <w:p>
      <w:pPr>
        <w:ind w:left="10" w:firstLine="430"/>
        <w:spacing w:after="0" w:line="271" w:lineRule="auto"/>
        <w:tabs>
          <w:tab w:leader="none" w:pos="7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consents or approvals (collectively, “Notices”) which may or are required to be given by either party to the other under this Lease shall be in writing and shall be deemed to have been fully given (a) when received or refused, if personally delivered, (b) upon sender’s written confirmation of facsimile transmission to the fax numbers set forth below; provided that any facsimile confirmed as received after 5:00 Pacific Standard Time shall be deemed received the next day and further provided that such evidence of confirmation and notice is also promptly delivered by one of the methods described in subsections (a), (c) or (d) of this Paragraph 24, (c) seventy two (72) hours after being deposited in the United States mail, postage prepaid, sent by Certified or Registered Mail, or (d) twenty-four (24) hours after being deposited with a nationally recognized overnight courier service. Each Notice shall be addressed to Lessor and Lessee at the following address or facsimile number, or to such place as either party may from time to time designate in a written notice to the other party:</w:t>
      </w:r>
    </w:p>
    <w:p>
      <w:pPr>
        <w:spacing w:after="0" w:line="10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90"/>
          </w:cols>
          <w:pgMar w:left="450" w:top="274" w:right="459" w:bottom="1440" w:gutter="0" w:footer="0" w:header="0"/>
        </w:sectPr>
      </w:pPr>
    </w:p>
    <w:bookmarkStart w:id="467" w:name="page468"/>
    <w:bookmarkEnd w:id="467"/>
    <w:p>
      <w:pPr>
        <w:ind w:left="800"/>
        <w:spacing w:after="0"/>
        <w:rPr>
          <w:sz w:val="20"/>
          <w:szCs w:val="20"/>
          <w:color w:val="auto"/>
        </w:rPr>
      </w:pPr>
      <w:r>
        <w:rPr>
          <w:rFonts w:ascii="Arial" w:cs="Arial" w:eastAsia="Arial" w:hAnsi="Arial"/>
          <w:sz w:val="16"/>
          <w:szCs w:val="16"/>
          <w:color w:val="auto"/>
        </w:rPr>
        <w:t>Lessor: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Menlo Business Park,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-215900</wp:posOffset>
            </wp:positionV>
            <wp:extent cx="72891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 Tarlton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1530 O’Brien Drive, Suite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John C. Tarlton,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(650) 330-3600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Number: (650) 330-3636</w:t>
      </w:r>
    </w:p>
    <w:p>
      <w:pPr>
        <w:spacing w:after="0" w:line="200" w:lineRule="exact"/>
        <w:rPr>
          <w:sz w:val="20"/>
          <w:szCs w:val="20"/>
          <w:color w:val="auto"/>
        </w:rPr>
      </w:pPr>
    </w:p>
    <w:p>
      <w:pPr>
        <w:sectPr>
          <w:pgSz w:w="11900" w:h="16838" w:orient="portrait"/>
          <w:cols w:equalWidth="0" w:num="2">
            <w:col w:w="1840" w:space="720"/>
            <w:col w:w="8280"/>
          </w:cols>
          <w:pgMar w:left="540" w:top="274" w:right="519" w:bottom="1440" w:gutter="0" w:footer="0" w:header="0"/>
        </w:sectPr>
      </w:pPr>
    </w:p>
    <w:p>
      <w:pPr>
        <w:spacing w:after="0" w:line="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Lessee: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Personalis,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1330 O’Brien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Carol Tillis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(650) 752-1330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Number: (650) 752-1301</w:t>
      </w:r>
    </w:p>
    <w:p>
      <w:pPr>
        <w:spacing w:after="0" w:line="139" w:lineRule="exact"/>
        <w:rPr>
          <w:sz w:val="20"/>
          <w:szCs w:val="20"/>
          <w:color w:val="auto"/>
        </w:rPr>
      </w:pPr>
    </w:p>
    <w:p>
      <w:pPr>
        <w:sectPr>
          <w:pgSz w:w="11900" w:h="16838" w:orient="portrait"/>
          <w:cols w:equalWidth="0" w:num="2">
            <w:col w:w="1840" w:space="720"/>
            <w:col w:w="8280"/>
          </w:cols>
          <w:pgMar w:left="540" w:top="274" w:right="519" w:bottom="1440" w:gutter="0" w:footer="0" w:header="0"/>
          <w:type w:val="continuous"/>
        </w:sectPr>
      </w:pPr>
    </w:p>
    <w:p>
      <w:pPr>
        <w:ind w:left="-80" w:firstLine="430"/>
        <w:spacing w:after="0" w:line="254" w:lineRule="auto"/>
        <w:tabs>
          <w:tab w:leader="none" w:pos="63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Estoppel Certificate</w:t>
      </w:r>
      <w:r>
        <w:rPr>
          <w:rFonts w:ascii="Arial" w:cs="Arial" w:eastAsia="Arial" w:hAnsi="Arial"/>
          <w:sz w:val="18"/>
          <w:szCs w:val="18"/>
          <w:color w:val="auto"/>
        </w:rPr>
        <w:t>. Lessee and Lessor shall within ten (10) days following request by the other party (the “</w:t>
      </w:r>
      <w:r>
        <w:rPr>
          <w:rFonts w:ascii="Arial" w:cs="Arial" w:eastAsia="Arial" w:hAnsi="Arial"/>
          <w:sz w:val="18"/>
          <w:szCs w:val="18"/>
          <w:u w:val="single" w:color="auto"/>
          <w:color w:val="auto"/>
        </w:rPr>
        <w:t>Requesting Party”)</w:t>
      </w:r>
      <w:r>
        <w:rPr>
          <w:rFonts w:ascii="Arial" w:cs="Arial" w:eastAsia="Arial" w:hAnsi="Arial"/>
          <w:sz w:val="18"/>
          <w:szCs w:val="18"/>
          <w:color w:val="auto"/>
        </w:rPr>
        <w:t>, execute and deliver to the Requesting Party an estoppel certificate (1) certifying that this Lease has not been modified and certifying that this Lease is in full force and effect, or, if modified, stating the nature of such modification and certifying that this Lease, as so modified, is in full force and effect; (2) stating the date to which the rent and other charges are paid in advance, if at all; (3) stating the amount of any Security Deposit held by Lessor; (4) acknowledging that there are not, to the responding party’s knowledge, any uncured defaults on the part of the Requesting Party hereunder, or if there are uncured defaults on the part of the Requesting Party, stating the nature of such uncured defaults; and (5) any other provisions reasonably requested by either party.</w:t>
      </w:r>
    </w:p>
    <w:p>
      <w:pPr>
        <w:spacing w:after="0" w:line="85" w:lineRule="exact"/>
        <w:rPr>
          <w:rFonts w:ascii="Arial" w:cs="Arial" w:eastAsia="Arial" w:hAnsi="Arial"/>
          <w:sz w:val="18"/>
          <w:szCs w:val="18"/>
          <w:color w:val="auto"/>
        </w:rPr>
      </w:pPr>
    </w:p>
    <w:p>
      <w:pPr>
        <w:ind w:left="-80" w:right="20" w:firstLine="430"/>
        <w:spacing w:after="0" w:line="293" w:lineRule="auto"/>
        <w:tabs>
          <w:tab w:leader="none" w:pos="630"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Signage</w:t>
      </w:r>
      <w:r>
        <w:rPr>
          <w:rFonts w:ascii="Arial" w:cs="Arial" w:eastAsia="Arial" w:hAnsi="Arial"/>
          <w:sz w:val="16"/>
          <w:szCs w:val="16"/>
          <w:color w:val="auto"/>
        </w:rPr>
        <w:t>. Lessee shall have the use of Lessee’s Pro Rata Share of the monument sign for Building 5 for Lessee’s sign. Lessee may place Lessee’s vinyl lettering signage on the glass near the front door entrance to the Building and in the interior of the Building, subject to Lessor’s reasonable requirements and consent and subject to the requirements of the City of Menlo Park. All of Lessee’s signage shall comply with the City of Menlo Park sign ordinances and regulations and shall be subject to Lessor’s approval as to the specific location, size and design thereof. The cost of the installation of Lessee’s signage on the glass near the front entrance to the Building and within the interior of the Building shall be paid by Lessee. Any additional signage shall be subject to Lessor’s prior approval and, if approved, shall be installed at Lessee’s expense.</w:t>
      </w:r>
    </w:p>
    <w:p>
      <w:pPr>
        <w:spacing w:after="0" w:line="55" w:lineRule="exact"/>
        <w:rPr>
          <w:rFonts w:ascii="Arial" w:cs="Arial" w:eastAsia="Arial" w:hAnsi="Arial"/>
          <w:sz w:val="16"/>
          <w:szCs w:val="16"/>
          <w:color w:val="auto"/>
        </w:rPr>
      </w:pPr>
    </w:p>
    <w:p>
      <w:pPr>
        <w:ind w:left="-80" w:right="20" w:firstLine="430"/>
        <w:spacing w:after="0" w:line="273" w:lineRule="auto"/>
        <w:tabs>
          <w:tab w:leader="none" w:pos="63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Real Estate Brokers</w:t>
      </w:r>
      <w:r>
        <w:rPr>
          <w:rFonts w:ascii="Arial" w:cs="Arial" w:eastAsia="Arial" w:hAnsi="Arial"/>
          <w:sz w:val="17"/>
          <w:szCs w:val="17"/>
          <w:color w:val="auto"/>
        </w:rPr>
        <w:t>. Lessee’s broker is Newmark Cornish and Carey (“</w:t>
      </w:r>
      <w:r>
        <w:rPr>
          <w:rFonts w:ascii="Arial" w:cs="Arial" w:eastAsia="Arial" w:hAnsi="Arial"/>
          <w:sz w:val="17"/>
          <w:szCs w:val="17"/>
          <w:u w:val="single" w:color="auto"/>
          <w:color w:val="auto"/>
        </w:rPr>
        <w:t>Lessee’s Broker</w:t>
      </w:r>
      <w:r>
        <w:rPr>
          <w:rFonts w:ascii="Arial" w:cs="Arial" w:eastAsia="Arial" w:hAnsi="Arial"/>
          <w:sz w:val="17"/>
          <w:szCs w:val="17"/>
          <w:color w:val="auto"/>
        </w:rPr>
        <w:t>”) and Lessor’s broker is Kidder Matthews (“</w:t>
      </w:r>
      <w:r>
        <w:rPr>
          <w:rFonts w:ascii="Arial" w:cs="Arial" w:eastAsia="Arial" w:hAnsi="Arial"/>
          <w:sz w:val="17"/>
          <w:szCs w:val="17"/>
          <w:u w:val="single" w:color="auto"/>
          <w:color w:val="auto"/>
        </w:rPr>
        <w:t>Lessor’s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Broker</w:t>
      </w:r>
      <w:r>
        <w:rPr>
          <w:rFonts w:ascii="Arial" w:cs="Arial" w:eastAsia="Arial" w:hAnsi="Arial"/>
          <w:sz w:val="17"/>
          <w:szCs w:val="17"/>
          <w:color w:val="auto"/>
        </w:rPr>
        <w:t>” and collectively with Lessee’s Broker, the “</w:t>
      </w:r>
      <w:r>
        <w:rPr>
          <w:rFonts w:ascii="Arial" w:cs="Arial" w:eastAsia="Arial" w:hAnsi="Arial"/>
          <w:sz w:val="17"/>
          <w:szCs w:val="17"/>
          <w:u w:val="single" w:color="auto"/>
          <w:color w:val="auto"/>
        </w:rPr>
        <w:t>Brokers</w:t>
      </w:r>
      <w:r>
        <w:rPr>
          <w:rFonts w:ascii="Arial" w:cs="Arial" w:eastAsia="Arial" w:hAnsi="Arial"/>
          <w:sz w:val="17"/>
          <w:szCs w:val="17"/>
          <w:color w:val="auto"/>
        </w:rPr>
        <w:t>”). Lessor shall pay a leasing commission to the Brokers pursuant to a separate agreement. Each party represents and warrants to the other party that it has not had any dealings with any real estate broker, finder, or other person with respect to this Lease other than Lessee’s Broker and Lessor’s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540" w:top="274" w:right="519" w:bottom="1440" w:gutter="0" w:footer="0" w:header="0"/>
          <w:type w:val="continuous"/>
        </w:sectPr>
      </w:pPr>
    </w:p>
    <w:bookmarkStart w:id="468" w:name="page469"/>
    <w:bookmarkEnd w:id="468"/>
    <w:p>
      <w:pPr>
        <w:ind w:left="-20" w:right="40" w:firstLine="430"/>
        <w:spacing w:after="0" w:line="275" w:lineRule="auto"/>
        <w:tabs>
          <w:tab w:leader="none" w:pos="69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w:t>
      </w:r>
      <w:r>
        <w:rPr>
          <w:rFonts w:ascii="Arial" w:cs="Arial" w:eastAsia="Arial" w:hAnsi="Arial"/>
          <w:sz w:val="17"/>
          <w:szCs w:val="17"/>
          <w:color w:val="auto"/>
        </w:rPr>
        <w:t>. Lessee shall have the right to the nonexclusive use of one hundred nine (109) unreserved on-site vehicular parking spaces on the Land at no additional cost to Lessee in the parking area for the Building or nearby parking areas in Menlo Business Park, subject to such rules and regulations for such parking facilities which may be established or altered by Lessor at any time from time to time during the Lease Term, provided that such rules and regulations shall not unreasonably interfere with Lessee’s parking rights. Vehicles of Lessee or its employees shall not park in driveways or occupy parking spaces or other areas reserved for deliveries, or loading or unloading.</w:t>
      </w:r>
    </w:p>
    <w:p>
      <w:pPr>
        <w:spacing w:after="0" w:line="67" w:lineRule="exact"/>
        <w:rPr>
          <w:rFonts w:ascii="Arial" w:cs="Arial" w:eastAsia="Arial" w:hAnsi="Arial"/>
          <w:sz w:val="17"/>
          <w:szCs w:val="17"/>
          <w:color w:val="auto"/>
        </w:rPr>
      </w:pPr>
    </w:p>
    <w:p>
      <w:pPr>
        <w:ind w:left="680" w:hanging="270"/>
        <w:spacing w:after="0"/>
        <w:tabs>
          <w:tab w:leader="none" w:pos="68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Subordination; Attornment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0" w:firstLine="871"/>
        <w:spacing w:after="0" w:line="259" w:lineRule="auto"/>
        <w:tabs>
          <w:tab w:leader="none" w:pos="1105"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This Lease, without any further instrument, shall at all times be subject and subordinate to the lien of any and all mortgages and deeds of trust which may now or hereafter be placed on, against or affect Lessor’s estate in the real property of which the Premises form a part, and to all advances made or hereafter to be made upon the security thereof, and to all renewals, modifications, consolidations, replacements and extensions thereof.</w:t>
      </w:r>
    </w:p>
    <w:p>
      <w:pPr>
        <w:spacing w:after="0" w:line="77" w:lineRule="exact"/>
        <w:rPr>
          <w:rFonts w:ascii="Arial" w:cs="Arial" w:eastAsia="Arial" w:hAnsi="Arial"/>
          <w:sz w:val="18"/>
          <w:szCs w:val="18"/>
          <w:color w:val="auto"/>
        </w:rPr>
      </w:pPr>
    </w:p>
    <w:p>
      <w:pPr>
        <w:ind w:left="-20" w:right="40" w:firstLine="871"/>
        <w:spacing w:after="0" w:line="254" w:lineRule="auto"/>
        <w:tabs>
          <w:tab w:leader="none" w:pos="1115"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In confirmation of such subordination, Lessee covenants and agrees to execute and deliver within ten (10) days of Lessor’s request any certificate or other instrument which Lessor may reasonably deem proper to evidence such subordination in commercially reasonable form (which document recognizes Lessee’s rights under this Lease), without expense to Lessee; provided, however, that if any person or persons purchasing or otherwise acquiring the real property of which the Premises form a part by any sale, sales and/or other proceedings under such mortgages and/or deeds of trust, shall elect to continue this Lease in full force and effect in the same manner and with like effect as if such person or persons had been named as Lessor herein, then this Lease shall continue in full force and effect as aforesaid, and Lessee hereby attorns and agrees to attorn to such person or persons in writing upon request.</w:t>
      </w:r>
    </w:p>
    <w:p>
      <w:pPr>
        <w:spacing w:after="0" w:line="85" w:lineRule="exact"/>
        <w:rPr>
          <w:rFonts w:ascii="Arial" w:cs="Arial" w:eastAsia="Arial" w:hAnsi="Arial"/>
          <w:sz w:val="18"/>
          <w:szCs w:val="18"/>
          <w:color w:val="auto"/>
        </w:rPr>
      </w:pPr>
    </w:p>
    <w:p>
      <w:pPr>
        <w:jc w:val="both"/>
        <w:ind w:left="-20" w:firstLine="871"/>
        <w:spacing w:after="0" w:line="259" w:lineRule="auto"/>
        <w:tabs>
          <w:tab w:leader="none" w:pos="1105"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If Lessee is notified in writing of Lessor’s default under any deed of trust affecting the Premises and if Lessee is instructed in writing by the party giving notice to make Lessee’s rental payments to such beneficiary, Lessee shall comply with such request without liability to Lessor (and with full credit of any amounts paid to such party by Lessee to the corresponding amounts owed to Lessor) until Lessee receives written confirmation that such default has been cured by Lessor and that the deed of trust has been reinstated.</w:t>
      </w:r>
    </w:p>
    <w:p>
      <w:pPr>
        <w:spacing w:after="0" w:line="77" w:lineRule="exact"/>
        <w:rPr>
          <w:rFonts w:ascii="Arial" w:cs="Arial" w:eastAsia="Arial" w:hAnsi="Arial"/>
          <w:sz w:val="18"/>
          <w:szCs w:val="18"/>
          <w:color w:val="auto"/>
        </w:rPr>
      </w:pPr>
    </w:p>
    <w:p>
      <w:pPr>
        <w:ind w:left="-20" w:right="20" w:firstLine="430"/>
        <w:spacing w:after="0" w:line="341" w:lineRule="auto"/>
        <w:tabs>
          <w:tab w:leader="none" w:pos="69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No Termination Right</w:t>
      </w:r>
      <w:r>
        <w:rPr>
          <w:rFonts w:ascii="Arial" w:cs="Arial" w:eastAsia="Arial" w:hAnsi="Arial"/>
          <w:sz w:val="16"/>
          <w:szCs w:val="16"/>
          <w:color w:val="auto"/>
        </w:rPr>
        <w:t>. Lessee shall not have the right to terminate this Lease as a result of any default by Lessor, and Lessee’s remedies in the event of a default by Lessor shall be limited to the remedy set forth in Paragraph 22(c). Lessee expressly waives the defense of constructive eviction.</w:t>
      </w:r>
    </w:p>
    <w:p>
      <w:pPr>
        <w:spacing w:after="0" w:line="16" w:lineRule="exact"/>
        <w:rPr>
          <w:rFonts w:ascii="Arial" w:cs="Arial" w:eastAsia="Arial" w:hAnsi="Arial"/>
          <w:sz w:val="16"/>
          <w:szCs w:val="16"/>
          <w:color w:val="auto"/>
        </w:rPr>
      </w:pPr>
    </w:p>
    <w:p>
      <w:pPr>
        <w:ind w:left="-20" w:right="60" w:firstLine="430"/>
        <w:spacing w:after="0" w:line="256" w:lineRule="auto"/>
        <w:tabs>
          <w:tab w:leader="none" w:pos="69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Lessor’s Entry</w:t>
      </w:r>
      <w:r>
        <w:rPr>
          <w:rFonts w:ascii="Arial" w:cs="Arial" w:eastAsia="Arial" w:hAnsi="Arial"/>
          <w:sz w:val="18"/>
          <w:szCs w:val="18"/>
          <w:color w:val="auto"/>
        </w:rPr>
        <w:t>. Except in the case of an emergency and except for permitted entry during Lessee’s normal working hours, both of which may occur without prior notice to Lessee, Lessor and Lessor’s agents shall provide Lessee with at least twenty-four (24) hours’ notice prior to entry of the Premises. Lessor may enter the Premises for any reasonable purpose related to Lessor’s ownership of the Property. Such entry by Lessor and Lessor’s agents shall not impair Lessee’s operations more than reasonably necessary and shall comply with Lessee’s reasonable security measures, if any. Lessor and Lessor’s agents shall at all times be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80" w:top="274" w:right="479" w:bottom="1440" w:gutter="0" w:footer="0" w:header="0"/>
        </w:sectPr>
      </w:pPr>
    </w:p>
    <w:bookmarkStart w:id="469" w:name="page470"/>
    <w:bookmarkEnd w:id="46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accompanied by Lessee during any such entry except in case of emergency and except for janitorial work. Lessor may enter the Premises at any time without prior notice to Lessee if the Premises are vacant, if Lessee is no longer conducting its ordinary business at the Premises, or if Lessee has made a general assignment for the benefit of creditors.</w:t>
      </w:r>
    </w:p>
    <w:p>
      <w:pPr>
        <w:spacing w:after="0" w:line="75" w:lineRule="exact"/>
        <w:rPr>
          <w:sz w:val="20"/>
          <w:szCs w:val="20"/>
          <w:color w:val="auto"/>
        </w:rPr>
      </w:pPr>
    </w:p>
    <w:p>
      <w:pPr>
        <w:ind w:firstLine="430"/>
        <w:spacing w:after="0" w:line="259" w:lineRule="auto"/>
        <w:tabs>
          <w:tab w:leader="none" w:pos="71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at law or in equity shall be brought to recover any rent under this Lease, or for or on account of any breach of or to enforce or interpret any of the provisions of this Lease or for recovery of the possession of the Premises, the prevailing party shall be entitled to recover from the other party costs of suit and reasonable attorneys’ fees, the amount of which shall be fixed by the court and shall be made a part of any judgment rendered.</w:t>
      </w:r>
    </w:p>
    <w:p>
      <w:pPr>
        <w:spacing w:after="0" w:line="77" w:lineRule="exact"/>
        <w:rPr>
          <w:rFonts w:ascii="Arial" w:cs="Arial" w:eastAsia="Arial" w:hAnsi="Arial"/>
          <w:sz w:val="18"/>
          <w:szCs w:val="18"/>
          <w:color w:val="auto"/>
        </w:rPr>
      </w:pPr>
    </w:p>
    <w:p>
      <w:pPr>
        <w:ind w:right="80" w:firstLine="430"/>
        <w:spacing w:after="0" w:line="286" w:lineRule="auto"/>
        <w:tabs>
          <w:tab w:leader="none" w:pos="71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Quiet Enjoyment</w:t>
      </w:r>
      <w:r>
        <w:rPr>
          <w:rFonts w:ascii="Arial" w:cs="Arial" w:eastAsia="Arial" w:hAnsi="Arial"/>
          <w:sz w:val="17"/>
          <w:szCs w:val="17"/>
          <w:color w:val="auto"/>
        </w:rPr>
        <w:t>. Upon payment by Lessee of the rent for the Premises and the observance and performance of all of the covenants, conditions, and provisions on Lessee’s part to be observed and performed under this Lease within applicable notice and cure periods, Lessee shall have quiet enjoyment and possession of the Premises for the entire term hereof subject to all of the provisions of this Lease.</w:t>
      </w:r>
    </w:p>
    <w:p>
      <w:pPr>
        <w:spacing w:after="0" w:line="56" w:lineRule="exact"/>
        <w:rPr>
          <w:rFonts w:ascii="Arial" w:cs="Arial" w:eastAsia="Arial" w:hAnsi="Arial"/>
          <w:sz w:val="17"/>
          <w:szCs w:val="17"/>
          <w:color w:val="auto"/>
        </w:rPr>
      </w:pPr>
    </w:p>
    <w:p>
      <w:pPr>
        <w:ind w:right="100" w:firstLine="430"/>
        <w:spacing w:after="0" w:line="277" w:lineRule="auto"/>
        <w:tabs>
          <w:tab w:leader="none" w:pos="71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Lessee represents and warrants to Lessor that all financial and other information that it has provided to Lessor prior to the date of this Lease is true, correct and complete.</w:t>
      </w:r>
    </w:p>
    <w:p>
      <w:pPr>
        <w:spacing w:after="0" w:line="61" w:lineRule="exact"/>
        <w:rPr>
          <w:rFonts w:ascii="Arial" w:cs="Arial" w:eastAsia="Arial" w:hAnsi="Arial"/>
          <w:sz w:val="18"/>
          <w:szCs w:val="18"/>
          <w:color w:val="auto"/>
        </w:rPr>
      </w:pPr>
    </w:p>
    <w:p>
      <w:pPr>
        <w:ind w:firstLine="430"/>
        <w:spacing w:after="0" w:line="268" w:lineRule="auto"/>
        <w:tabs>
          <w:tab w:leader="none" w:pos="71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SDN List</w:t>
      </w:r>
      <w:r>
        <w:rPr>
          <w:rFonts w:ascii="Arial" w:cs="Arial" w:eastAsia="Arial" w:hAnsi="Arial"/>
          <w:sz w:val="17"/>
          <w:szCs w:val="17"/>
          <w:color w:val="auto"/>
        </w:rPr>
        <w:t>. Lessee represents and warrants to Lessor that Lessee is not, and the entities or individuals that constitute Lessee, that may own or control Lessee, or that may be owned or controlled by Lessee (in all cases, other than through the ownership of publicly traded, direct or indirect ownership interests) (each a “</w:t>
      </w:r>
      <w:r>
        <w:rPr>
          <w:rFonts w:ascii="Arial" w:cs="Arial" w:eastAsia="Arial" w:hAnsi="Arial"/>
          <w:sz w:val="17"/>
          <w:szCs w:val="17"/>
          <w:u w:val="single" w:color="auto"/>
          <w:color w:val="auto"/>
        </w:rPr>
        <w:t>Subject Lessee Party</w:t>
      </w:r>
      <w:r>
        <w:rPr>
          <w:rFonts w:ascii="Arial" w:cs="Arial" w:eastAsia="Arial" w:hAnsi="Arial"/>
          <w:sz w:val="17"/>
          <w:szCs w:val="17"/>
          <w:color w:val="auto"/>
        </w:rPr>
        <w:t>”) are not, (i) in violation of any laws relating to terrorism or money laundering, or (ii) among the individuals or entities identified on any list compiled pursuant to Executive Order 13224 or published by the Office of Foreign Assets Control,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for the purpose of identifying suspected terrorists or on the most current list published by the OFAC at its official website, http://www.treas.gov/ofac/tllsdn.pdf or any replacement website or other replacement official publication of such list which identifies an “Specially Designated National” or “blocked person” (either of which are referred to herein as a “</w:t>
      </w:r>
      <w:r>
        <w:rPr>
          <w:rFonts w:ascii="Arial" w:cs="Arial" w:eastAsia="Arial" w:hAnsi="Arial"/>
          <w:sz w:val="17"/>
          <w:szCs w:val="17"/>
          <w:u w:val="single" w:color="auto"/>
          <w:color w:val="auto"/>
        </w:rPr>
        <w:t>SDN</w:t>
      </w:r>
      <w:r>
        <w:rPr>
          <w:rFonts w:ascii="Arial" w:cs="Arial" w:eastAsia="Arial" w:hAnsi="Arial"/>
          <w:sz w:val="17"/>
          <w:szCs w:val="17"/>
          <w:color w:val="auto"/>
        </w:rPr>
        <w:t>”). If at any time during the Lease Term Lessor discovers that Lessee has breached the foregoing representations and warranties, or Lessor reasonably believes that Lessee or any Subject Lessee Party is in violation of any laws relating to terrorism or money laundering or that Lessee or any Subject Lessee Party is identified as an SDN, Lessee shall be deemed in default under this Lease following three (3) days written notice from Lessor to Lessee unless, within such three day period, Lessee delivers written evidence, reasonably acceptable to Lessor, that Lessee is not in violation of such laws or that Lessee (or the Subject Lessee Party, as applicable) is not a person or entity identified as an SDN. Except as otherwise expressly provided in the foregoing sentence, and without further notice, any default by Lessee under this Paragraph 35 shall be deemed an incurable default by Lessee and, in addition to any other rights and remedies that Lessor may have upon such default, Lessor shall also have the right to immediately terminate this Lease upon written notice to Lessee and recover possession of the Premises.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60" w:top="274" w:right="499" w:bottom="1440" w:gutter="0" w:footer="0" w:header="0"/>
        </w:sectPr>
      </w:pPr>
    </w:p>
    <w:bookmarkStart w:id="470" w:name="page471"/>
    <w:bookmarkEnd w:id="470"/>
    <w:p>
      <w:pPr>
        <w:ind w:right="20" w:firstLine="430"/>
        <w:spacing w:after="0" w:line="284" w:lineRule="auto"/>
        <w:tabs>
          <w:tab w:leader="none" w:pos="71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First Offer</w:t>
      </w:r>
      <w:r>
        <w:rPr>
          <w:rFonts w:ascii="Arial" w:cs="Arial" w:eastAsia="Arial" w:hAnsi="Arial"/>
          <w:sz w:val="16"/>
          <w:szCs w:val="16"/>
          <w:color w:val="auto"/>
        </w:rPr>
        <w:t>. If at any time during the initial Term space in the remainder of Building 6 adjacent to the Building 6 Premises becomes available for lease (the “</w:t>
      </w:r>
      <w:r>
        <w:rPr>
          <w:rFonts w:ascii="Arial" w:cs="Arial" w:eastAsia="Arial" w:hAnsi="Arial"/>
          <w:sz w:val="16"/>
          <w:szCs w:val="16"/>
          <w:u w:val="single" w:color="auto"/>
          <w:color w:val="auto"/>
        </w:rPr>
        <w:t>Available Space</w:t>
      </w:r>
      <w:r>
        <w:rPr>
          <w:rFonts w:ascii="Arial" w:cs="Arial" w:eastAsia="Arial" w:hAnsi="Arial"/>
          <w:sz w:val="16"/>
          <w:szCs w:val="16"/>
          <w:color w:val="auto"/>
        </w:rPr>
        <w:t>”), then Lessor, prior to entering into a lease with any third party respecting the Available Space, shall first offer to lease the same to Lessee by delivery of notice to Lessee (the “</w:t>
      </w:r>
      <w:r>
        <w:rPr>
          <w:rFonts w:ascii="Arial" w:cs="Arial" w:eastAsia="Arial" w:hAnsi="Arial"/>
          <w:sz w:val="16"/>
          <w:szCs w:val="16"/>
          <w:u w:val="single" w:color="auto"/>
          <w:color w:val="auto"/>
        </w:rPr>
        <w:t>Availability Notice</w:t>
      </w:r>
      <w:r>
        <w:rPr>
          <w:rFonts w:ascii="Arial" w:cs="Arial" w:eastAsia="Arial" w:hAnsi="Arial"/>
          <w:sz w:val="16"/>
          <w:szCs w:val="16"/>
          <w:color w:val="auto"/>
        </w:rPr>
        <w:t>”). The Availability Notice shall set forth the terms upon which Lessor would be willing to lease to Lessee the Available Space, as determined by Lessor in its sole discretion. Lessee shall have ten (10) days after receipt of the Availability Notice to unconditionally accept in writing or reject the terms set forth in the Availability Notice it being understood that Lessee’s failure to respond within the foregoing period shall be deemed a rejection of such terms. If Lessee does not unconditionally accept in writing the terms set forth in the Availability Notice within such ten (10) day period, then Lessee’s rights under this Paragraph shall lapse and terminate and Lessor shall be entitled to lease the Available Space to any other party on such terms as Lessor desires; provided that the rental rate (taking into account adjustments for any differences between so-called “net” leases and “gross” leases) and Lessee improvement allowance, if any, shall not be materially less than that originally offered to Lessee, unless Lessor has first again offered the Available Space to Lessee for lease on the terms offered to the third party in accordance with the procedures specified above in this Paragraph. If Lessee accepts in writing the terms set forth in the Availability Notice, then for the period starting on the date of Lessee’s delivery of the Availability Notice to Lessee and ending thirty (30) days thereafter (the “</w:t>
      </w:r>
      <w:r>
        <w:rPr>
          <w:rFonts w:ascii="Arial" w:cs="Arial" w:eastAsia="Arial" w:hAnsi="Arial"/>
          <w:sz w:val="16"/>
          <w:szCs w:val="16"/>
          <w:u w:val="single" w:color="auto"/>
          <w:color w:val="auto"/>
        </w:rPr>
        <w:t>Waiting Period</w:t>
      </w:r>
      <w:r>
        <w:rPr>
          <w:rFonts w:ascii="Arial" w:cs="Arial" w:eastAsia="Arial" w:hAnsi="Arial"/>
          <w:sz w:val="16"/>
          <w:szCs w:val="16"/>
          <w:color w:val="auto"/>
        </w:rPr>
        <w:t>”), Lessor shall not enter into any binding agreement to lease the Available Space to any other party, provided Lessor shall have the right to market the Available Space for lease. During the Waiting Period, Lessor and Lessee shall negotiate in good faith the terms of a definitive written amendment to this Lease or a new lease (a “</w:t>
      </w:r>
      <w:r>
        <w:rPr>
          <w:rFonts w:ascii="Arial" w:cs="Arial" w:eastAsia="Arial" w:hAnsi="Arial"/>
          <w:sz w:val="16"/>
          <w:szCs w:val="16"/>
          <w:u w:val="single" w:color="auto"/>
          <w:color w:val="auto"/>
        </w:rPr>
        <w:t>Definitive Lease Agreement</w:t>
      </w:r>
      <w:r>
        <w:rPr>
          <w:rFonts w:ascii="Arial" w:cs="Arial" w:eastAsia="Arial" w:hAnsi="Arial"/>
          <w:sz w:val="16"/>
          <w:szCs w:val="16"/>
          <w:color w:val="auto"/>
        </w:rPr>
        <w:t>”), consistent with the terms set forth in the Availability Notice and otherwise consistent with the terms and conditions set forth in this Lease or reasonably acceptable to Lessor and Lessee. If Lessee and Lessor fail to execute and deliver a Definitive Lease Agreement within the Waiting Period, then Lessee’s rights under this Paragraph shall lapse and terminate, and Lessor shall be entitled to lease the Available Space to any other party on such terms as Lessor desires; provided that the rental rate (taking into account adjustments for any differences between so-called “net” leases and “gross” leases) and Lessee improvement allowance, if any, shall not be materially less than that originally offered to Lessee, unless Lessor has first again offered the Available Space to Lessee for lease on the terms offered to the third party in accordance with the procedures specified above in this Paragraph. Lessor shall not be required to offer the Available Space to Lessee during any period in which an event of default has occurred and is continuing. Furthermore, unless expressly mentioned and approved in the written consent of Lessor to any assignment or sublet as provided in this Lease, the right of first offer to lease under this Paragraph 36 is granted for the personal benefit of Personalis, Inc., or a Permitted Transferee and may not be assigned or transferred by Personalis, Inc. to anyone other than a Permitted Transferee.</w:t>
      </w:r>
    </w:p>
    <w:p>
      <w:pPr>
        <w:spacing w:after="0" w:line="62" w:lineRule="exact"/>
        <w:rPr>
          <w:rFonts w:ascii="Arial" w:cs="Arial" w:eastAsia="Arial" w:hAnsi="Arial"/>
          <w:sz w:val="16"/>
          <w:szCs w:val="16"/>
          <w:color w:val="auto"/>
        </w:rPr>
      </w:pPr>
    </w:p>
    <w:p>
      <w:pPr>
        <w:ind w:left="700" w:hanging="270"/>
        <w:spacing w:after="0"/>
        <w:tabs>
          <w:tab w:leader="none" w:pos="70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59" w:lineRule="auto"/>
        <w:tabs>
          <w:tab w:leader="none" w:pos="1125" w:val="left"/>
        </w:tabs>
        <w:numPr>
          <w:ilvl w:val="1"/>
          <w:numId w:val="388"/>
        </w:numPr>
        <w:rPr>
          <w:rFonts w:ascii="Arial" w:cs="Arial" w:eastAsia="Arial" w:hAnsi="Arial"/>
          <w:sz w:val="18"/>
          <w:szCs w:val="18"/>
          <w:color w:val="auto"/>
        </w:rPr>
      </w:pPr>
      <w:r>
        <w:rPr>
          <w:rFonts w:ascii="Arial" w:cs="Arial" w:eastAsia="Arial" w:hAnsi="Arial"/>
          <w:sz w:val="18"/>
          <w:szCs w:val="18"/>
          <w:color w:val="auto"/>
        </w:rPr>
        <w:t>Nothing contained in this Lease shall be deemed or construed by the parties hereto or by any third person to create the relationship of principal and agent or of partnership or of joint venture of any association between Lessor and Lessee, and neither the method of computation of rent nor any other provisions contained in this Lease nor any acts of the parties hereto shall be deemed to create any relationship between Lessor and Lessee other than the relationship of landlord and tenant.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60" w:top="273" w:right="439" w:bottom="1440" w:gutter="0" w:footer="0" w:header="0"/>
        </w:sectPr>
      </w:pPr>
    </w:p>
    <w:bookmarkStart w:id="471" w:name="page472"/>
    <w:bookmarkEnd w:id="471"/>
    <w:p>
      <w:pPr>
        <w:ind w:left="-40" w:firstLine="871"/>
        <w:spacing w:after="0" w:line="259" w:lineRule="auto"/>
        <w:tabs>
          <w:tab w:leader="none" w:pos="1095"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and all of the provisions of this Lease shall be binding upon and inure to the benefit of the parties hereto, and except as otherwise specifically provided elsewhere in this Lease, their respective heirs, executors, administrators, successors, and assigns, subject at all times, nevertheless, to all agreements and restrictions contained elsewhere in this Lease with respect to the assignment, transfer, encumbering, or subletting of all or any part of Lessee’s interest in this Lease.</w:t>
      </w:r>
    </w:p>
    <w:p>
      <w:pPr>
        <w:spacing w:after="0" w:line="77" w:lineRule="exact"/>
        <w:rPr>
          <w:rFonts w:ascii="Arial" w:cs="Arial" w:eastAsia="Arial" w:hAnsi="Arial"/>
          <w:sz w:val="18"/>
          <w:szCs w:val="18"/>
          <w:color w:val="auto"/>
        </w:rPr>
      </w:pPr>
    </w:p>
    <w:p>
      <w:pPr>
        <w:ind w:left="-40" w:firstLine="871"/>
        <w:spacing w:after="0" w:line="277" w:lineRule="auto"/>
        <w:tabs>
          <w:tab w:leader="none" w:pos="108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captions of the paragraphs of this Lease are for convenience only and shall not be considered or referred to in resolving questions of interpretation or construction.</w:t>
      </w:r>
    </w:p>
    <w:p>
      <w:pPr>
        <w:spacing w:after="0" w:line="61" w:lineRule="exact"/>
        <w:rPr>
          <w:rFonts w:ascii="Arial" w:cs="Arial" w:eastAsia="Arial" w:hAnsi="Arial"/>
          <w:sz w:val="18"/>
          <w:szCs w:val="18"/>
          <w:color w:val="auto"/>
        </w:rPr>
      </w:pPr>
    </w:p>
    <w:p>
      <w:pPr>
        <w:ind w:left="-40" w:right="460" w:firstLine="871"/>
        <w:spacing w:after="0" w:line="259" w:lineRule="auto"/>
        <w:tabs>
          <w:tab w:leader="none" w:pos="109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spacing w:after="0" w:line="77" w:lineRule="exact"/>
        <w:rPr>
          <w:rFonts w:ascii="Arial" w:cs="Arial" w:eastAsia="Arial" w:hAnsi="Arial"/>
          <w:sz w:val="18"/>
          <w:szCs w:val="18"/>
          <w:color w:val="auto"/>
        </w:rPr>
      </w:pPr>
    </w:p>
    <w:p>
      <w:pPr>
        <w:ind w:left="-40" w:right="80" w:firstLine="871"/>
        <w:spacing w:after="0" w:line="263" w:lineRule="auto"/>
        <w:tabs>
          <w:tab w:leader="none" w:pos="108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laws of the State of California shall govern the validity, performance, and enforcement of this Lease. Notwithstanding which of the parties may be deemed to have prepared this Lease, this Lease shall not be interpreted either for or against Lessor or Lessee, but this Lease shall be interpreted in accordance with the general tenor of the language in an effort to reach an equitable result.</w:t>
      </w:r>
    </w:p>
    <w:p>
      <w:pPr>
        <w:spacing w:after="0" w:line="74" w:lineRule="exact"/>
        <w:rPr>
          <w:rFonts w:ascii="Arial" w:cs="Arial" w:eastAsia="Arial" w:hAnsi="Arial"/>
          <w:sz w:val="18"/>
          <w:szCs w:val="18"/>
          <w:color w:val="auto"/>
        </w:rPr>
      </w:pPr>
    </w:p>
    <w:p>
      <w:pPr>
        <w:ind w:left="1060" w:hanging="229"/>
        <w:spacing w:after="0"/>
        <w:tabs>
          <w:tab w:leader="none" w:pos="10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Time is of the essence with respect to the performance of each of the covenants and agreements contained in this Lease.</w:t>
      </w:r>
    </w:p>
    <w:p>
      <w:pPr>
        <w:spacing w:after="0" w:line="116" w:lineRule="exact"/>
        <w:rPr>
          <w:rFonts w:ascii="Arial" w:cs="Arial" w:eastAsia="Arial" w:hAnsi="Arial"/>
          <w:sz w:val="18"/>
          <w:szCs w:val="18"/>
          <w:color w:val="auto"/>
        </w:rPr>
      </w:pPr>
    </w:p>
    <w:p>
      <w:pPr>
        <w:ind w:left="-40" w:right="20" w:firstLine="871"/>
        <w:spacing w:after="0" w:line="259" w:lineRule="auto"/>
        <w:tabs>
          <w:tab w:leader="none" w:pos="109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Recourse by Lessee for breach of this Lease by Lessor shall be expressly limited to the amount of Lessor’s interest in the Property and the rents, issues, insurance, condemnation, and sales proceeds actually received by Lessor, and profits therefrom, and in the event of any such breach or default by Lessor, Lessee hereby waives the right to proceed against any other assets of Lessor or against any other assets of any manager or member of Lessor.</w:t>
      </w:r>
    </w:p>
    <w:p>
      <w:pPr>
        <w:spacing w:after="0" w:line="77" w:lineRule="exact"/>
        <w:rPr>
          <w:rFonts w:ascii="Arial" w:cs="Arial" w:eastAsia="Arial" w:hAnsi="Arial"/>
          <w:sz w:val="18"/>
          <w:szCs w:val="18"/>
          <w:color w:val="auto"/>
        </w:rPr>
      </w:pPr>
    </w:p>
    <w:p>
      <w:pPr>
        <w:ind w:left="-40" w:firstLine="871"/>
        <w:spacing w:after="0" w:line="341" w:lineRule="auto"/>
        <w:tabs>
          <w:tab w:leader="none" w:pos="109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provision or provisions of this Lease which shall be found to be invalid, void or illegal by a court of competent jurisdiction, shall in no way affect, impair, or invalidate any other provisions hereof, and the remaining provisions hereof shall nevertheless remain in full force and effect.</w:t>
      </w:r>
    </w:p>
    <w:p>
      <w:pPr>
        <w:spacing w:after="0" w:line="16" w:lineRule="exact"/>
        <w:rPr>
          <w:rFonts w:ascii="Arial" w:cs="Arial" w:eastAsia="Arial" w:hAnsi="Arial"/>
          <w:sz w:val="16"/>
          <w:szCs w:val="16"/>
          <w:color w:val="auto"/>
        </w:rPr>
      </w:pPr>
    </w:p>
    <w:p>
      <w:pPr>
        <w:ind w:left="1040" w:hanging="209"/>
        <w:spacing w:after="0"/>
        <w:tabs>
          <w:tab w:leader="none" w:pos="10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Lease may be modified in writing only, signed by the parties in interest at the time of such modification.</w:t>
      </w:r>
    </w:p>
    <w:p>
      <w:pPr>
        <w:spacing w:after="0" w:line="116" w:lineRule="exact"/>
        <w:rPr>
          <w:rFonts w:ascii="Arial" w:cs="Arial" w:eastAsia="Arial" w:hAnsi="Arial"/>
          <w:sz w:val="18"/>
          <w:szCs w:val="18"/>
          <w:color w:val="auto"/>
        </w:rPr>
      </w:pPr>
    </w:p>
    <w:p>
      <w:pPr>
        <w:ind w:left="-40" w:right="280" w:firstLine="871"/>
        <w:spacing w:after="0" w:line="259" w:lineRule="auto"/>
        <w:tabs>
          <w:tab w:leader="none" w:pos="105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Each party represents to the other that the person signing this Lease on its behalf is properly authorized to do so, and in the event this Lease is signed by an agent or other third party on behalf of either Lessor or Lessee, written authority to sign on behalf of such party in favor of the agent or third party shall be provided to the other party hereto either prior to or simultaneously with the return to such other party of a fully executed copy of this Lease.</w:t>
      </w:r>
    </w:p>
    <w:p>
      <w:pPr>
        <w:spacing w:after="0" w:line="77" w:lineRule="exact"/>
        <w:rPr>
          <w:rFonts w:ascii="Arial" w:cs="Arial" w:eastAsia="Arial" w:hAnsi="Arial"/>
          <w:sz w:val="18"/>
          <w:szCs w:val="18"/>
          <w:color w:val="auto"/>
        </w:rPr>
      </w:pPr>
    </w:p>
    <w:p>
      <w:pPr>
        <w:ind w:left="-40" w:right="300" w:firstLine="871"/>
        <w:spacing w:after="0" w:line="307" w:lineRule="auto"/>
        <w:tabs>
          <w:tab w:leader="none" w:pos="109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No binding agreement between the parties with respect to the Premises shall arise or become effective until this Lease has been duly executed by both Lessee and Lessor and a fully executed copy of this Lease has been delivered to both Lessee and Lessor.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500" w:top="274" w:right="499" w:bottom="1440" w:gutter="0" w:footer="0" w:header="0"/>
        </w:sectPr>
      </w:pPr>
    </w:p>
    <w:bookmarkStart w:id="472" w:name="page473"/>
    <w:bookmarkEnd w:id="472"/>
    <w:p>
      <w:pPr>
        <w:ind w:right="40" w:firstLine="871"/>
        <w:spacing w:after="0" w:line="270" w:lineRule="auto"/>
        <w:tabs>
          <w:tab w:leader="none" w:pos="1095" w:val="left"/>
        </w:tabs>
        <w:numPr>
          <w:ilvl w:val="0"/>
          <w:numId w:val="3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and Lessee acknowledge that the terms and conditions of this Lease constitute confidential information of Lessor and Lessee. Each party shall use its reasonable good faith efforts to prevent the dissemination orally or in written form, of this Lease, lease proposals, lease drafts, or other documentation containing the terms, identity of the parties, details or conditions contained herein to any third party without obtaining the prior written consent of the other party, except to the attorneys, accountants, lenders, investors, potential investors, potential business or merger partners, potential subtenants and assignees, or other authorized business representatives or agents of the parties, or except to the extent required to comply with applicable laws, including any filings by Lessee pursuant to state or federal securities laws. Neither Lessor nor Lessee shall make any public announcement of the consummation of this Lease transaction without the prior approval of the other party. A violation of this subparagraph (1) shall not permit either party to terminate this Lease. Nothing in this Paragraph shall prevent Lessor from submitting a copy of this Lease to the Court in connection with any action to enforce the provisions hereof.</w:t>
      </w:r>
    </w:p>
    <w:p>
      <w:pPr>
        <w:spacing w:after="0" w:line="71" w:lineRule="exact"/>
        <w:rPr>
          <w:rFonts w:ascii="Arial" w:cs="Arial" w:eastAsia="Arial" w:hAnsi="Arial"/>
          <w:sz w:val="17"/>
          <w:szCs w:val="17"/>
          <w:color w:val="auto"/>
        </w:rPr>
      </w:pPr>
    </w:p>
    <w:p>
      <w:pPr>
        <w:ind w:right="180" w:firstLine="871"/>
        <w:spacing w:after="0" w:line="263" w:lineRule="auto"/>
        <w:tabs>
          <w:tab w:leader="none" w:pos="118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Except as provided in Paragraph 22(c), the rights and remedies that either party may have under this Lease or at law or in equity, upon any breach, are distinct, separate and cumulative and shall not be deemed inconsistent with each other, and no one of them shall be deemed to be exclusive of any other.</w:t>
      </w:r>
    </w:p>
    <w:p>
      <w:pPr>
        <w:spacing w:after="0" w:line="74" w:lineRule="exact"/>
        <w:rPr>
          <w:rFonts w:ascii="Arial" w:cs="Arial" w:eastAsia="Arial" w:hAnsi="Arial"/>
          <w:sz w:val="18"/>
          <w:szCs w:val="18"/>
          <w:color w:val="auto"/>
        </w:rPr>
      </w:pPr>
    </w:p>
    <w:p>
      <w:pPr>
        <w:ind w:firstLine="871"/>
        <w:spacing w:after="0" w:line="277" w:lineRule="auto"/>
        <w:tabs>
          <w:tab w:leader="none" w:pos="113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Lessee waives any claim for consequential damages which Lessee may have against Lessor for breach of or failure to perform or observe the requirements and obligations created by this Lease.</w:t>
      </w:r>
    </w:p>
    <w:p>
      <w:pPr>
        <w:spacing w:after="0" w:line="61" w:lineRule="exact"/>
        <w:rPr>
          <w:rFonts w:ascii="Arial" w:cs="Arial" w:eastAsia="Arial" w:hAnsi="Arial"/>
          <w:sz w:val="18"/>
          <w:szCs w:val="18"/>
          <w:color w:val="auto"/>
        </w:rPr>
      </w:pPr>
    </w:p>
    <w:p>
      <w:pPr>
        <w:ind w:right="260" w:firstLine="871"/>
        <w:spacing w:after="0" w:line="259" w:lineRule="auto"/>
        <w:tabs>
          <w:tab w:leader="none" w:pos="113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Lessor and Lessee each agree to and they hereby do, to the maximum extent permitted by law, waive trial by jury in any action, proceeding or counterclaim brought by either of the parties hereto against the other on any matters whatsoever arising out of or in any way connected with this Lease, the relationship of Lessor and Lessee, Lessee’s use or occupancy of the Premises and/or any claim of injury or damage, and any statutory remedy.</w:t>
      </w:r>
    </w:p>
    <w:p>
      <w:pPr>
        <w:spacing w:after="0" w:line="77" w:lineRule="exact"/>
        <w:rPr>
          <w:rFonts w:ascii="Arial" w:cs="Arial" w:eastAsia="Arial" w:hAnsi="Arial"/>
          <w:sz w:val="18"/>
          <w:szCs w:val="18"/>
          <w:color w:val="auto"/>
        </w:rPr>
      </w:pPr>
    </w:p>
    <w:p>
      <w:pPr>
        <w:ind w:left="1120" w:hanging="249"/>
        <w:spacing w:after="0"/>
        <w:tabs>
          <w:tab w:leader="none" w:pos="11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This Lease shall not be recorded.</w:t>
      </w:r>
    </w:p>
    <w:p>
      <w:pPr>
        <w:spacing w:after="0" w:line="116" w:lineRule="exact"/>
        <w:rPr>
          <w:rFonts w:ascii="Arial" w:cs="Arial" w:eastAsia="Arial" w:hAnsi="Arial"/>
          <w:sz w:val="18"/>
          <w:szCs w:val="18"/>
          <w:color w:val="auto"/>
        </w:rPr>
      </w:pPr>
    </w:p>
    <w:p>
      <w:pPr>
        <w:ind w:right="40" w:firstLine="871"/>
        <w:spacing w:after="0" w:line="259" w:lineRule="auto"/>
        <w:tabs>
          <w:tab w:leader="none" w:pos="113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Whenever this Lease requires an approval, consent, determination, selection or judgment by either Lessor or Lessee, unless another standard is expressly set forth, such approval, consent, determination, selection or judgment and any conditions imposed thereby shall be reasonable and shall not be unreasonably withheld, conditioned or delayed and, in exercising any right or remedy hereunder, each party shall at all times act reasonably and in good faith.</w:t>
      </w:r>
    </w:p>
    <w:p>
      <w:pPr>
        <w:spacing w:after="0" w:line="77" w:lineRule="exact"/>
        <w:rPr>
          <w:rFonts w:ascii="Arial" w:cs="Arial" w:eastAsia="Arial" w:hAnsi="Arial"/>
          <w:sz w:val="18"/>
          <w:szCs w:val="18"/>
          <w:color w:val="auto"/>
        </w:rPr>
      </w:pPr>
    </w:p>
    <w:p>
      <w:pPr>
        <w:ind w:right="60" w:firstLine="871"/>
        <w:spacing w:after="0" w:line="296" w:lineRule="auto"/>
        <w:tabs>
          <w:tab w:leader="none" w:pos="110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Energy Use Disclosures. Tenant acknowledges and agrees that: (a) it has received all disclosures and other documentation or information for the Project required under Section 25402.10 of the California Public Resources Code and its implementing regulations (“</w:t>
      </w:r>
      <w:r>
        <w:rPr>
          <w:rFonts w:ascii="Arial" w:cs="Arial" w:eastAsia="Arial" w:hAnsi="Arial"/>
          <w:sz w:val="16"/>
          <w:szCs w:val="16"/>
          <w:u w:val="single" w:color="auto"/>
          <w:color w:val="auto"/>
        </w:rPr>
        <w:t>Energy 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(b) such disclosure information is for the current occupancy and use of the Project, (c) the energy profile of the Project will vary depending on future occupancy/use of the Project, and (d) Landlord makes no claims, representations or warranties regarding the future Energy Star profile of the Project. Tenant agrees that Landlord has timely complied in full with Landlord’s obligations under the Energy Disclosure Requirements.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60" w:top="274" w:right="439" w:bottom="1440" w:gutter="0" w:footer="0" w:header="0"/>
        </w:sectPr>
      </w:pPr>
    </w:p>
    <w:bookmarkStart w:id="473" w:name="page474"/>
    <w:bookmarkEnd w:id="473"/>
    <w:p>
      <w:pPr>
        <w:ind w:left="10"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acknowledges and agrees that (i) Landlord makes no representation or warranty regarding the energy performance of the Building or the accuracy or completeness of the Energy Disclosure Information, and (ii)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6"/>
          <w:szCs w:val="16"/>
          <w:u w:val="single" w:color="auto"/>
          <w:color w:val="auto"/>
        </w:rPr>
        <w:t>Tenant Energy Use Disclosure</w:t>
      </w:r>
      <w:r>
        <w:rPr>
          <w:rFonts w:ascii="Arial" w:cs="Arial" w:eastAsia="Arial" w:hAnsi="Arial"/>
          <w:sz w:val="16"/>
          <w:szCs w:val="16"/>
          <w:color w:val="auto"/>
        </w:rPr>
        <w:t>”). Tenant hereby</w:t>
      </w:r>
    </w:p>
    <w:p>
      <w:pPr>
        <w:spacing w:after="0" w:line="4" w:lineRule="exact"/>
        <w:rPr>
          <w:sz w:val="20"/>
          <w:szCs w:val="20"/>
          <w:color w:val="auto"/>
        </w:rPr>
      </w:pPr>
    </w:p>
    <w:p>
      <w:pPr>
        <w:ind w:left="10" w:hanging="10"/>
        <w:spacing w:after="0" w:line="302" w:lineRule="auto"/>
        <w:tabs>
          <w:tab w:leader="none" w:pos="30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Section shall survive the expiration or earlier termination of this Lease.</w:t>
      </w:r>
    </w:p>
    <w:p>
      <w:pPr>
        <w:spacing w:after="0" w:line="154"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(continued on next page)</w:t>
      </w:r>
    </w:p>
    <w:p>
      <w:pPr>
        <w:spacing w:after="0" w:line="157"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50"/>
          </w:cols>
          <w:pgMar w:left="450" w:top="274" w:right="499" w:bottom="1440" w:gutter="0" w:footer="0" w:header="0"/>
        </w:sectPr>
      </w:pPr>
    </w:p>
    <w:bookmarkStart w:id="474" w:name="page475"/>
    <w:bookmarkEnd w:id="47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Lessor and Lessee have duly executed this Lease as of the date first set forth herein.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MENLO PREHC I, LLC, </w:t>
      </w:r>
      <w:r>
        <w:rPr>
          <w:rFonts w:ascii="Arial" w:cs="Arial" w:eastAsia="Arial" w:hAnsi="Arial"/>
          <w:sz w:val="18"/>
          <w:szCs w:val="18"/>
          <w:color w:val="auto"/>
        </w:rPr>
        <w:t>a Delaware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60"/>
              <w:spacing w:after="0"/>
              <w:rPr>
                <w:sz w:val="20"/>
                <w:szCs w:val="20"/>
                <w:color w:val="auto"/>
              </w:rPr>
            </w:pPr>
            <w:r>
              <w:rPr>
                <w:rFonts w:ascii="Arial" w:cs="Arial" w:eastAsia="Arial" w:hAnsi="Arial"/>
                <w:sz w:val="18"/>
                <w:szCs w:val="18"/>
                <w:color w:val="auto"/>
                <w:w w:val="94"/>
              </w:rPr>
              <w:t>PRINCIPAL REAL ESTATE INVESTORS, LLC, a</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w w:val="96"/>
              </w:rPr>
              <w:t>Delaware limited liability company, its authorized</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signatory</w:t>
            </w:r>
          </w:p>
        </w:tc>
      </w:tr>
      <w:tr>
        <w:trPr>
          <w:trHeight w:val="44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Troy A. Koerselman</w:t>
            </w:r>
          </w:p>
        </w:tc>
      </w:tr>
      <w:tr>
        <w:trPr>
          <w:trHeight w:val="195"/>
        </w:trPr>
        <w:tc>
          <w:tcPr>
            <w:tcW w:w="560" w:type="dxa"/>
            <w:vAlign w:val="bottom"/>
          </w:tcPr>
          <w:p>
            <w:pPr>
              <w:spacing w:after="0"/>
              <w:rPr>
                <w:sz w:val="16"/>
                <w:szCs w:val="16"/>
                <w:color w:val="auto"/>
              </w:rPr>
            </w:pPr>
          </w:p>
        </w:tc>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Troy A. Koerselman</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Assistant Managing Director</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Asset Management</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Joe Wanninger</w:t>
            </w:r>
          </w:p>
        </w:tc>
      </w:tr>
      <w:tr>
        <w:trPr>
          <w:trHeight w:val="195"/>
        </w:trPr>
        <w:tc>
          <w:tcPr>
            <w:tcW w:w="560" w:type="dxa"/>
            <w:vAlign w:val="bottom"/>
          </w:tcPr>
          <w:p>
            <w:pPr>
              <w:spacing w:after="0"/>
              <w:rPr>
                <w:sz w:val="16"/>
                <w:szCs w:val="16"/>
                <w:color w:val="auto"/>
              </w:rPr>
            </w:pPr>
          </w:p>
        </w:tc>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Joe Wanninger</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Assistant Managing Director</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Asset Management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MENLO PREPI I, LLC, </w:t>
      </w:r>
      <w:r>
        <w:rPr>
          <w:rFonts w:ascii="Arial" w:cs="Arial" w:eastAsia="Arial" w:hAnsi="Arial"/>
          <w:sz w:val="18"/>
          <w:szCs w:val="18"/>
          <w:color w:val="auto"/>
        </w:rPr>
        <w:t>a Delaware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60"/>
              <w:spacing w:after="0"/>
              <w:rPr>
                <w:sz w:val="20"/>
                <w:szCs w:val="20"/>
                <w:color w:val="auto"/>
              </w:rPr>
            </w:pPr>
            <w:r>
              <w:rPr>
                <w:rFonts w:ascii="Arial" w:cs="Arial" w:eastAsia="Arial" w:hAnsi="Arial"/>
                <w:sz w:val="18"/>
                <w:szCs w:val="18"/>
                <w:color w:val="auto"/>
              </w:rPr>
              <w:t>PRINCIPAL REAL ESTATE</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INVESTORS, LLC, a Delaware limited</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liability company, its authorized</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signatory</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Troy A. Koerselman</w:t>
            </w:r>
          </w:p>
        </w:tc>
      </w:tr>
      <w:tr>
        <w:trPr>
          <w:trHeight w:val="195"/>
        </w:trPr>
        <w:tc>
          <w:tcPr>
            <w:tcW w:w="560" w:type="dxa"/>
            <w:vAlign w:val="bottom"/>
          </w:tcPr>
          <w:p>
            <w:pPr>
              <w:spacing w:after="0"/>
              <w:rPr>
                <w:sz w:val="16"/>
                <w:szCs w:val="16"/>
                <w:color w:val="auto"/>
              </w:rPr>
            </w:pPr>
          </w:p>
        </w:tc>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Troy A. Koerselman</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Assistant Managing Director</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Asset Management</w:t>
            </w:r>
          </w:p>
        </w:tc>
      </w:tr>
      <w:tr>
        <w:trPr>
          <w:trHeight w:val="44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Joe Wanninger</w:t>
            </w:r>
          </w:p>
        </w:tc>
      </w:tr>
      <w:tr>
        <w:trPr>
          <w:trHeight w:val="195"/>
        </w:trPr>
        <w:tc>
          <w:tcPr>
            <w:tcW w:w="560" w:type="dxa"/>
            <w:vAlign w:val="bottom"/>
          </w:tcPr>
          <w:p>
            <w:pPr>
              <w:spacing w:after="0"/>
              <w:rPr>
                <w:sz w:val="16"/>
                <w:szCs w:val="16"/>
                <w:color w:val="auto"/>
              </w:rPr>
            </w:pPr>
          </w:p>
        </w:tc>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Joe Wanninger</w:t>
            </w:r>
          </w:p>
        </w:tc>
      </w:tr>
      <w:tr>
        <w:trPr>
          <w:trHeight w:val="216"/>
        </w:trPr>
        <w:tc>
          <w:tcPr>
            <w:tcW w:w="5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Assistant Managing Director</w:t>
            </w:r>
          </w:p>
        </w:tc>
      </w:tr>
      <w:tr>
        <w:trPr>
          <w:trHeight w:val="230"/>
        </w:trPr>
        <w:tc>
          <w:tcPr>
            <w:tcW w:w="5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Asset Management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TPI INVESTORS 9,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liability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C. Tarlton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John C. Tarlton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60"/>
              <w:spacing w:after="0"/>
              <w:rPr>
                <w:sz w:val="20"/>
                <w:szCs w:val="20"/>
                <w:color w:val="auto"/>
              </w:rPr>
            </w:pPr>
            <w:r>
              <w:rPr>
                <w:rFonts w:ascii="Arial" w:cs="Arial" w:eastAsia="Arial" w:hAnsi="Arial"/>
                <w:sz w:val="18"/>
                <w:szCs w:val="18"/>
                <w:color w:val="auto"/>
              </w:rPr>
              <w:t>Manager</w:t>
            </w:r>
          </w:p>
        </w:tc>
      </w:tr>
    </w:tbl>
    <w:p>
      <w:pPr>
        <w:spacing w:after="0" w:line="13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999"/>
          </w:cols>
          <w:pgMar w:left="460" w:top="274" w:right="1440" w:bottom="1440" w:gutter="0" w:footer="0" w:header="0"/>
        </w:sectPr>
      </w:pPr>
    </w:p>
    <w:bookmarkStart w:id="475" w:name="page476"/>
    <w:bookmarkEnd w:id="47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 Delaware corporation</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14605</wp:posOffset>
            </wp:positionV>
            <wp:extent cx="26123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Printed Name: John West</w:t>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CEO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019"/>
          </w:cols>
          <w:pgMar w:left="1440" w:top="269" w:right="1440" w:bottom="1440" w:gutter="0" w:footer="0" w:header="0"/>
        </w:sectPr>
      </w:pPr>
    </w:p>
    <w:bookmarkStart w:id="476" w:name="page477"/>
    <w:bookmarkEnd w:id="4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Legal Description of 1330 O’Brien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31750</wp:posOffset>
            </wp:positionV>
            <wp:extent cx="3931920" cy="43770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931920" cy="437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9019"/>
          </w:cols>
          <w:pgMar w:left="1440" w:top="270" w:right="1440"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Legal Description of 1360 O’Brien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186055</wp:posOffset>
            </wp:positionV>
            <wp:extent cx="3811905" cy="43002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11905" cy="430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9019"/>
          </w:cols>
          <w:pgMar w:left="1440" w:top="270" w:right="1440"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MENLO BUSINESS PARK MASTER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175895</wp:posOffset>
            </wp:positionV>
            <wp:extent cx="5105400" cy="3837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05400" cy="383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270" w:right="1440"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Floor Plan of Building 5 Premises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9019"/>
          </w:cols>
          <w:pgMar w:left="1440" w:top="270" w:right="1440" w:bottom="1440" w:gutter="0" w:footer="0" w:header="0"/>
        </w:sectPr>
      </w:pPr>
    </w:p>
    <w:bookmarkStart w:id="480" w:name="page481"/>
    <w:bookmarkEnd w:id="4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37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3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481" w:name="page482"/>
    <w:bookmarkEnd w:id="4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433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Floor Plan of Building 6 Premises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9019"/>
          </w:cols>
          <w:pgMar w:left="1440" w:top="274" w:right="1440" w:bottom="1440" w:gutter="0" w:footer="0" w:header="0"/>
        </w:sectPr>
      </w:pPr>
    </w:p>
    <w:bookmarkStart w:id="483" w:name="page484"/>
    <w:bookmarkEnd w:id="4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544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5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80" w:type="dxa"/>
            <w:vAlign w:val="bottom"/>
            <w:gridSpan w:val="4"/>
          </w:tcPr>
          <w:p>
            <w:pPr>
              <w:jc w:val="center"/>
              <w:ind w:right="4620"/>
              <w:spacing w:after="0"/>
              <w:rPr>
                <w:sz w:val="20"/>
                <w:szCs w:val="20"/>
                <w:color w:val="auto"/>
              </w:rPr>
            </w:pPr>
            <w:r>
              <w:rPr>
                <w:rFonts w:ascii="Arial" w:cs="Arial" w:eastAsia="Arial" w:hAnsi="Arial"/>
                <w:sz w:val="18"/>
                <w:szCs w:val="18"/>
                <w:color w:val="auto"/>
              </w:rPr>
              <w:t>EXHIBIT “D”</w:t>
            </w:r>
          </w:p>
        </w:tc>
        <w:tc>
          <w:tcPr>
            <w:tcW w:w="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60" w:type="dxa"/>
            <w:vAlign w:val="bottom"/>
            <w:gridSpan w:val="5"/>
          </w:tcPr>
          <w:p>
            <w:pPr>
              <w:jc w:val="center"/>
              <w:ind w:right="4020"/>
              <w:spacing w:after="0"/>
              <w:rPr>
                <w:sz w:val="20"/>
                <w:szCs w:val="20"/>
                <w:color w:val="auto"/>
              </w:rPr>
            </w:pPr>
            <w:r>
              <w:rPr>
                <w:rFonts w:ascii="Arial" w:cs="Arial" w:eastAsia="Arial" w:hAnsi="Arial"/>
                <w:sz w:val="18"/>
                <w:szCs w:val="18"/>
                <w:color w:val="auto"/>
                <w:w w:val="90"/>
              </w:rPr>
              <w:t>Commencement Memorandum</w:t>
            </w:r>
          </w:p>
        </w:tc>
        <w:tc>
          <w:tcPr>
            <w:tcW w:w="360" w:type="dxa"/>
            <w:vAlign w:val="bottom"/>
          </w:tcPr>
          <w:p>
            <w:pPr>
              <w:spacing w:after="0"/>
              <w:rPr>
                <w:sz w:val="24"/>
                <w:szCs w:val="24"/>
                <w:color w:val="auto"/>
              </w:rPr>
            </w:pPr>
          </w:p>
        </w:tc>
      </w:tr>
      <w:tr>
        <w:trPr>
          <w:trHeight w:val="439"/>
        </w:trPr>
        <w:tc>
          <w:tcPr>
            <w:tcW w:w="340" w:type="dxa"/>
            <w:vAlign w:val="bottom"/>
          </w:tcPr>
          <w:p>
            <w:pPr>
              <w:spacing w:after="0"/>
              <w:rPr>
                <w:sz w:val="20"/>
                <w:szCs w:val="20"/>
                <w:color w:val="auto"/>
              </w:rPr>
            </w:pPr>
            <w:r>
              <w:rPr>
                <w:rFonts w:ascii="Arial" w:cs="Arial" w:eastAsia="Arial" w:hAnsi="Arial"/>
                <w:sz w:val="18"/>
                <w:szCs w:val="18"/>
                <w:color w:val="auto"/>
              </w:rPr>
              <w:t>To:</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300" w:type="dxa"/>
            <w:vAlign w:val="bottom"/>
          </w:tcPr>
          <w:p>
            <w:pPr>
              <w:ind w:left="2900"/>
              <w:spacing w:after="0"/>
              <w:rPr>
                <w:sz w:val="20"/>
                <w:szCs w:val="20"/>
                <w:color w:val="auto"/>
              </w:rPr>
            </w:pPr>
            <w:r>
              <w:rPr>
                <w:rFonts w:ascii="Arial" w:cs="Arial" w:eastAsia="Arial" w:hAnsi="Arial"/>
                <w:sz w:val="18"/>
                <w:szCs w:val="18"/>
                <w:color w:val="auto"/>
                <w:w w:val="88"/>
              </w:rPr>
              <w:t>Date:</w:t>
            </w:r>
          </w:p>
        </w:tc>
        <w:tc>
          <w:tcPr>
            <w:tcW w:w="72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2014</w:t>
            </w:r>
          </w:p>
        </w:tc>
      </w:tr>
      <w:tr>
        <w:trPr>
          <w:trHeight w:val="343"/>
        </w:trPr>
        <w:tc>
          <w:tcPr>
            <w:tcW w:w="340" w:type="dxa"/>
            <w:vAlign w:val="bottom"/>
          </w:tcPr>
          <w:p>
            <w:pPr>
              <w:spacing w:after="0"/>
              <w:rPr>
                <w:sz w:val="20"/>
                <w:szCs w:val="20"/>
                <w:color w:val="auto"/>
              </w:rPr>
            </w:pPr>
            <w:r>
              <w:rPr>
                <w:rFonts w:ascii="Arial" w:cs="Arial" w:eastAsia="Arial" w:hAnsi="Arial"/>
                <w:sz w:val="18"/>
                <w:szCs w:val="18"/>
                <w:color w:val="auto"/>
              </w:rPr>
              <w:t>Re:</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w w:val="97"/>
              </w:rPr>
              <w:t>Lease dated January</w:t>
            </w:r>
          </w:p>
        </w:tc>
        <w:tc>
          <w:tcPr>
            <w:tcW w:w="8920" w:type="dxa"/>
            <w:vAlign w:val="bottom"/>
            <w:gridSpan w:val="7"/>
          </w:tcPr>
          <w:p>
            <w:pPr>
              <w:jc w:val="right"/>
              <w:ind w:right="230"/>
              <w:spacing w:after="0"/>
              <w:rPr>
                <w:sz w:val="20"/>
                <w:szCs w:val="20"/>
                <w:color w:val="auto"/>
              </w:rPr>
            </w:pPr>
            <w:r>
              <w:rPr>
                <w:rFonts w:ascii="Arial" w:cs="Arial" w:eastAsia="Arial" w:hAnsi="Arial"/>
                <w:sz w:val="18"/>
                <w:szCs w:val="18"/>
                <w:color w:val="auto"/>
                <w:w w:val="95"/>
              </w:rPr>
              <w:t>, 2015 between MENLO PREHC I, LLC, a Delaware limited liability company, MENLO PREPI I, LLC, a Delaware</w:t>
            </w:r>
          </w:p>
        </w:tc>
      </w:tr>
      <w:tr>
        <w:trPr>
          <w:trHeight w:val="216"/>
        </w:trPr>
        <w:tc>
          <w:tcPr>
            <w:tcW w:w="340" w:type="dxa"/>
            <w:vAlign w:val="bottom"/>
          </w:tcPr>
          <w:p>
            <w:pPr>
              <w:spacing w:after="0"/>
              <w:rPr>
                <w:sz w:val="18"/>
                <w:szCs w:val="18"/>
                <w:color w:val="auto"/>
              </w:rPr>
            </w:pPr>
          </w:p>
        </w:tc>
        <w:tc>
          <w:tcPr>
            <w:tcW w:w="10300" w:type="dxa"/>
            <w:vAlign w:val="bottom"/>
            <w:gridSpan w:val="8"/>
          </w:tcPr>
          <w:p>
            <w:pPr>
              <w:ind w:left="80"/>
              <w:spacing w:after="0"/>
              <w:rPr>
                <w:sz w:val="20"/>
                <w:szCs w:val="20"/>
                <w:color w:val="auto"/>
              </w:rPr>
            </w:pPr>
            <w:r>
              <w:rPr>
                <w:rFonts w:ascii="Arial" w:cs="Arial" w:eastAsia="Arial" w:hAnsi="Arial"/>
                <w:sz w:val="18"/>
                <w:szCs w:val="18"/>
                <w:color w:val="auto"/>
                <w:w w:val="94"/>
              </w:rPr>
              <w:t>limited liability company, and TPI Investors 9, LLC, a California limited liability company, hereafter collectively referred to as Lessor, and</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 a</w:t>
            </w:r>
          </w:p>
        </w:tc>
        <w:tc>
          <w:tcPr>
            <w:tcW w:w="9200" w:type="dxa"/>
            <w:vAlign w:val="bottom"/>
            <w:gridSpan w:val="7"/>
          </w:tcPr>
          <w:p>
            <w:pPr>
              <w:ind w:left="320"/>
              <w:spacing w:after="0"/>
              <w:rPr>
                <w:sz w:val="20"/>
                <w:szCs w:val="20"/>
                <w:color w:val="auto"/>
              </w:rPr>
            </w:pPr>
            <w:r>
              <w:rPr>
                <w:rFonts w:ascii="Arial" w:cs="Arial" w:eastAsia="Arial" w:hAnsi="Arial"/>
                <w:sz w:val="18"/>
                <w:szCs w:val="18"/>
                <w:color w:val="auto"/>
                <w:w w:val="90"/>
              </w:rPr>
              <w:t>corporation, Lessee, concerning the Premises consisting of approximately Twenty Five Thousand Three Hundred Sixty Six</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660" w:type="dxa"/>
            <w:vAlign w:val="bottom"/>
            <w:gridSpan w:val="9"/>
          </w:tcPr>
          <w:p>
            <w:pPr>
              <w:ind w:left="80"/>
              <w:spacing w:after="0"/>
              <w:rPr>
                <w:sz w:val="20"/>
                <w:szCs w:val="20"/>
                <w:color w:val="auto"/>
              </w:rPr>
            </w:pPr>
            <w:r>
              <w:rPr>
                <w:rFonts w:ascii="Arial" w:cs="Arial" w:eastAsia="Arial" w:hAnsi="Arial"/>
                <w:sz w:val="18"/>
                <w:szCs w:val="18"/>
                <w:color w:val="auto"/>
                <w:w w:val="92"/>
              </w:rPr>
              <w:t>(25,366) rentable square feet located at 1330 O’Brien and the second floor portion of Building 6 consisting of approximately Five Thousand Nine</w:t>
            </w:r>
          </w:p>
        </w:tc>
      </w:tr>
      <w:tr>
        <w:trPr>
          <w:trHeight w:val="230"/>
        </w:trPr>
        <w:tc>
          <w:tcPr>
            <w:tcW w:w="340" w:type="dxa"/>
            <w:vAlign w:val="bottom"/>
          </w:tcPr>
          <w:p>
            <w:pPr>
              <w:spacing w:after="0"/>
              <w:rPr>
                <w:sz w:val="20"/>
                <w:szCs w:val="20"/>
                <w:color w:val="auto"/>
              </w:rPr>
            </w:pPr>
          </w:p>
        </w:tc>
        <w:tc>
          <w:tcPr>
            <w:tcW w:w="10300" w:type="dxa"/>
            <w:vAlign w:val="bottom"/>
            <w:gridSpan w:val="8"/>
          </w:tcPr>
          <w:p>
            <w:pPr>
              <w:ind w:left="80"/>
              <w:spacing w:after="0"/>
              <w:rPr>
                <w:sz w:val="20"/>
                <w:szCs w:val="20"/>
                <w:color w:val="auto"/>
              </w:rPr>
            </w:pPr>
            <w:r>
              <w:rPr>
                <w:rFonts w:ascii="Arial" w:cs="Arial" w:eastAsia="Arial" w:hAnsi="Arial"/>
                <w:sz w:val="18"/>
                <w:szCs w:val="18"/>
                <w:color w:val="auto"/>
              </w:rPr>
              <w:t>Hundred Fourteen (5,914) rentable square feet located at 1360 O’Brien (2nd floor), Menlo Park, California.</w:t>
            </w:r>
          </w:p>
        </w:tc>
        <w:tc>
          <w:tcPr>
            <w:tcW w:w="360" w:type="dxa"/>
            <w:vAlign w:val="bottom"/>
          </w:tcPr>
          <w:p>
            <w:pPr>
              <w:spacing w:after="0"/>
              <w:rPr>
                <w:sz w:val="20"/>
                <w:szCs w:val="2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Whom It May Concern: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3"/>
          </w:tcPr>
          <w:p>
            <w:pPr>
              <w:ind w:left="440"/>
              <w:spacing w:after="0"/>
              <w:rPr>
                <w:sz w:val="20"/>
                <w:szCs w:val="20"/>
                <w:color w:val="auto"/>
              </w:rPr>
            </w:pPr>
            <w:r>
              <w:rPr>
                <w:rFonts w:ascii="Arial" w:cs="Arial" w:eastAsia="Arial" w:hAnsi="Arial"/>
                <w:sz w:val="18"/>
                <w:szCs w:val="18"/>
                <w:color w:val="auto"/>
              </w:rPr>
              <w:t>In accordance with the subject Lease, we hereby confirm the following:</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580" w:type="dxa"/>
            <w:vAlign w:val="bottom"/>
          </w:tcPr>
          <w:p>
            <w:pPr>
              <w:ind w:left="440"/>
              <w:spacing w:after="0"/>
              <w:rPr>
                <w:sz w:val="20"/>
                <w:szCs w:val="20"/>
                <w:color w:val="auto"/>
              </w:rPr>
            </w:pPr>
            <w:r>
              <w:rPr>
                <w:rFonts w:ascii="Arial" w:cs="Arial" w:eastAsia="Arial" w:hAnsi="Arial"/>
                <w:sz w:val="18"/>
                <w:szCs w:val="18"/>
                <w:color w:val="auto"/>
                <w:w w:val="79"/>
              </w:rPr>
              <w:t>1.</w:t>
            </w:r>
          </w:p>
        </w:tc>
        <w:tc>
          <w:tcPr>
            <w:tcW w:w="8860" w:type="dxa"/>
            <w:vAlign w:val="bottom"/>
            <w:gridSpan w:val="2"/>
          </w:tcPr>
          <w:p>
            <w:pPr>
              <w:ind w:left="40"/>
              <w:spacing w:after="0"/>
              <w:rPr>
                <w:sz w:val="20"/>
                <w:szCs w:val="20"/>
                <w:color w:val="auto"/>
              </w:rPr>
            </w:pPr>
            <w:r>
              <w:rPr>
                <w:rFonts w:ascii="Arial" w:cs="Arial" w:eastAsia="Arial" w:hAnsi="Arial"/>
                <w:sz w:val="18"/>
                <w:szCs w:val="18"/>
                <w:color w:val="auto"/>
              </w:rPr>
              <w:t>That the Premises have been unconditionally accepted by Lessee, except as noted on the attached.</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9"/>
        </w:trPr>
        <w:tc>
          <w:tcPr>
            <w:tcW w:w="580" w:type="dxa"/>
            <w:vAlign w:val="bottom"/>
          </w:tcPr>
          <w:p>
            <w:pPr>
              <w:ind w:left="440"/>
              <w:spacing w:after="0"/>
              <w:rPr>
                <w:sz w:val="20"/>
                <w:szCs w:val="20"/>
                <w:color w:val="auto"/>
              </w:rPr>
            </w:pPr>
            <w:r>
              <w:rPr>
                <w:rFonts w:ascii="Arial" w:cs="Arial" w:eastAsia="Arial" w:hAnsi="Arial"/>
                <w:sz w:val="18"/>
                <w:szCs w:val="18"/>
                <w:color w:val="auto"/>
                <w:w w:val="79"/>
              </w:rPr>
              <w:t>2.</w:t>
            </w:r>
          </w:p>
        </w:tc>
        <w:tc>
          <w:tcPr>
            <w:tcW w:w="9920" w:type="dxa"/>
            <w:vAlign w:val="bottom"/>
            <w:gridSpan w:val="3"/>
          </w:tcPr>
          <w:p>
            <w:pPr>
              <w:ind w:left="40"/>
              <w:spacing w:after="0"/>
              <w:rPr>
                <w:sz w:val="20"/>
                <w:szCs w:val="20"/>
                <w:color w:val="auto"/>
              </w:rPr>
            </w:pPr>
            <w:r>
              <w:rPr>
                <w:rFonts w:ascii="Arial" w:cs="Arial" w:eastAsia="Arial" w:hAnsi="Arial"/>
                <w:sz w:val="18"/>
                <w:szCs w:val="18"/>
                <w:color w:val="auto"/>
                <w:w w:val="91"/>
              </w:rPr>
              <w:t>That Lessee has possession of the Premises and acknowledges that pursuant to the Lease, the initial term of the Lease commenced 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w w:val="99"/>
              </w:rPr>
              <w:t>2015 (the “Commencement Date”), and shall expire on</w:t>
            </w:r>
          </w:p>
        </w:tc>
        <w:tc>
          <w:tcPr>
            <w:tcW w:w="5100" w:type="dxa"/>
            <w:vAlign w:val="bottom"/>
          </w:tcPr>
          <w:p>
            <w:pPr>
              <w:jc w:val="right"/>
              <w:ind w:right="459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580" w:type="dxa"/>
            <w:vAlign w:val="bottom"/>
          </w:tcPr>
          <w:p>
            <w:pPr>
              <w:ind w:left="440"/>
              <w:spacing w:after="0"/>
              <w:rPr>
                <w:sz w:val="20"/>
                <w:szCs w:val="20"/>
                <w:color w:val="auto"/>
              </w:rPr>
            </w:pPr>
            <w:r>
              <w:rPr>
                <w:rFonts w:ascii="Arial" w:cs="Arial" w:eastAsia="Arial" w:hAnsi="Arial"/>
                <w:sz w:val="18"/>
                <w:szCs w:val="18"/>
                <w:color w:val="auto"/>
                <w:w w:val="79"/>
              </w:rPr>
              <w:t>3.</w:t>
            </w:r>
          </w:p>
        </w:tc>
        <w:tc>
          <w:tcPr>
            <w:tcW w:w="8860" w:type="dxa"/>
            <w:vAlign w:val="bottom"/>
            <w:gridSpan w:val="2"/>
          </w:tcPr>
          <w:p>
            <w:pPr>
              <w:ind w:left="40"/>
              <w:spacing w:after="0"/>
              <w:rPr>
                <w:sz w:val="20"/>
                <w:szCs w:val="20"/>
                <w:color w:val="auto"/>
              </w:rPr>
            </w:pPr>
            <w:r>
              <w:rPr>
                <w:rFonts w:ascii="Arial" w:cs="Arial" w:eastAsia="Arial" w:hAnsi="Arial"/>
                <w:sz w:val="18"/>
                <w:szCs w:val="18"/>
                <w:color w:val="auto"/>
                <w:w w:val="93"/>
              </w:rPr>
              <w:t>That in accordance with the provisions of the Lease, Monthly Base Rent and Additional Rent commenced to accrue on</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 2015.</w:t>
            </w:r>
          </w:p>
        </w:tc>
        <w:tc>
          <w:tcPr>
            <w:tcW w:w="320" w:type="dxa"/>
            <w:vAlign w:val="bottom"/>
          </w:tcPr>
          <w:p>
            <w:pPr>
              <w:spacing w:after="0"/>
              <w:rPr>
                <w:sz w:val="24"/>
                <w:szCs w:val="24"/>
                <w:color w:val="auto"/>
              </w:rPr>
            </w:pPr>
          </w:p>
        </w:tc>
      </w:tr>
    </w:tbl>
    <w:p>
      <w:pPr>
        <w:spacing w:after="0" w:line="94" w:lineRule="exact"/>
        <w:rPr>
          <w:sz w:val="20"/>
          <w:szCs w:val="20"/>
          <w:color w:val="auto"/>
        </w:rPr>
      </w:pPr>
    </w:p>
    <w:p>
      <w:pPr>
        <w:ind w:right="60" w:firstLine="430"/>
        <w:spacing w:after="0" w:line="277" w:lineRule="auto"/>
        <w:tabs>
          <w:tab w:leader="none" w:pos="6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Thereafter, rent is due and payable in advance on the first day of each month during the term of the Lease. Rent checks should be made payable to Lessor, c/o Tarlton Properties, Inc., 1530 O’Brien Drive, Suite C Menlo Park, California 94025.</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u w:val="single" w:color="auto"/>
          <w:color w:val="auto"/>
        </w:rPr>
        <w:t>AGREED AND ACCEPTED</w:t>
      </w:r>
    </w:p>
    <w:p>
      <w:pPr>
        <w:spacing w:after="0" w:line="25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u w:val="single" w:color="auto"/>
          <w:color w:val="auto"/>
        </w:rPr>
        <w:t>LESSEE</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LESSOR</w:t>
      </w:r>
      <w:r>
        <w:rPr>
          <w:rFonts w:ascii="Arial" w:cs="Arial" w:eastAsia="Arial" w:hAnsi="Arial"/>
          <w:sz w:val="16"/>
          <w:szCs w:val="16"/>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1000"/>
          </w:cols>
          <w:pgMar w:left="460" w:top="257" w:right="43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Lessee’s Hazardous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36830</wp:posOffset>
            </wp:positionV>
            <wp:extent cx="5285105" cy="3974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285105" cy="397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9019"/>
          </w:cols>
          <w:pgMar w:left="1440" w:top="274" w:right="1440" w:bottom="1440" w:gutter="0" w:footer="0" w:header="0"/>
        </w:sectPr>
      </w:pPr>
    </w:p>
    <w:bookmarkStart w:id="486" w:name="page487"/>
    <w:bookmarkEnd w:id="486"/>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u w:val="single" w:color="auto"/>
          <w:color w:val="auto"/>
        </w:rPr>
        <w:t>Description of Tenant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Paragraph 13, Lessor shall complete the following Tenant Improvements: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Scope of Work details</w:t>
      </w:r>
    </w:p>
    <w:p>
      <w:pPr>
        <w:spacing w:after="0" w:line="130" w:lineRule="exact"/>
        <w:rPr>
          <w:sz w:val="20"/>
          <w:szCs w:val="20"/>
          <w:color w:val="auto"/>
        </w:rPr>
      </w:pPr>
    </w:p>
    <w:p>
      <w:pPr>
        <w:ind w:left="860" w:hanging="438"/>
        <w:spacing w:after="0"/>
        <w:tabs>
          <w:tab w:leader="none" w:pos="8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Conference rooms #1, 2 and 3 will have dim lighting</w:t>
      </w:r>
    </w:p>
    <w:p>
      <w:pPr>
        <w:spacing w:after="0" w:line="134" w:lineRule="exact"/>
        <w:rPr>
          <w:rFonts w:ascii="Arial" w:cs="Arial" w:eastAsia="Arial" w:hAnsi="Arial"/>
          <w:sz w:val="18"/>
          <w:szCs w:val="18"/>
          <w:b w:val="1"/>
          <w:bCs w:val="1"/>
          <w:color w:val="auto"/>
        </w:rPr>
      </w:pPr>
    </w:p>
    <w:p>
      <w:pPr>
        <w:ind w:left="860" w:hanging="438"/>
        <w:spacing w:after="0" w:line="277" w:lineRule="auto"/>
        <w:tabs>
          <w:tab w:leader="none" w:pos="8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For conference rooms #1 through #7 will need a path (3/4” flex conduit) for video connection from the table to the ceiling for a projector to be supplied and installed by Personalis; Personalis will run its own cable</w:t>
      </w:r>
    </w:p>
    <w:p>
      <w:pPr>
        <w:spacing w:after="0" w:line="71" w:lineRule="exact"/>
        <w:rPr>
          <w:rFonts w:ascii="Arial" w:cs="Arial" w:eastAsia="Arial" w:hAnsi="Arial"/>
          <w:sz w:val="18"/>
          <w:szCs w:val="18"/>
          <w:b w:val="1"/>
          <w:bCs w:val="1"/>
          <w:color w:val="auto"/>
        </w:rPr>
      </w:pPr>
    </w:p>
    <w:p>
      <w:pPr>
        <w:ind w:left="860" w:hanging="438"/>
        <w:spacing w:after="0"/>
        <w:tabs>
          <w:tab w:leader="none" w:pos="8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budget provided by landlord is also incorporated in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w:t>
      </w:r>
      <w:r>
        <w:rPr>
          <w:rFonts w:ascii="Arial" w:cs="Arial" w:eastAsia="Arial" w:hAnsi="Arial"/>
          <w:sz w:val="15"/>
          <w:szCs w:val="15"/>
          <w:b w:val="1"/>
          <w:bCs w:val="1"/>
          <w:u w:val="single" w:color="auto"/>
          <w:color w:val="auto"/>
        </w:rPr>
        <w:t>st</w:t>
      </w:r>
      <w:r>
        <w:rPr>
          <w:rFonts w:ascii="Arial" w:cs="Arial" w:eastAsia="Arial" w:hAnsi="Arial"/>
          <w:sz w:val="18"/>
          <w:szCs w:val="18"/>
          <w:b w:val="1"/>
          <w:bCs w:val="1"/>
          <w:u w:val="single" w:color="auto"/>
          <w:color w:val="auto"/>
        </w:rPr>
        <w:t xml:space="preserve"> Floor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 Kitchen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to support 3 coffee machines, 4 microwaves, 2 toasters, 3 refrigerators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Cabinetry to the ceiling, if possible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network for a phone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2 - Conference room #1</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Power and data in ceiling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Dim lighting with backlights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(4 outlet 1 circuit) and data on floor under table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3. Server Room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Only 1 door on wall with electrical panel – remove 2</w:t>
      </w:r>
      <w:r>
        <w:rPr>
          <w:rFonts w:ascii="Arial" w:cs="Arial" w:eastAsia="Arial" w:hAnsi="Arial"/>
          <w:sz w:val="15"/>
          <w:szCs w:val="15"/>
          <w:color w:val="auto"/>
        </w:rPr>
        <w:t>nd</w:t>
      </w:r>
      <w:r>
        <w:rPr>
          <w:rFonts w:ascii="Arial" w:cs="Arial" w:eastAsia="Arial" w:hAnsi="Arial"/>
          <w:sz w:val="18"/>
          <w:szCs w:val="18"/>
          <w:color w:val="auto"/>
        </w:rPr>
        <w:t xml:space="preserve"> door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want all power panel needed to support the server room in the server room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hot aisle should be at least 3 feet and the cold aisle must equal 4 feet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server rack up to a wall – need 4 feet from wall (including at the end)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final configuration for racks for placement of external UPS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HVAC need cold air to come just on the cold aisles and an exhaust fan at top of ceiling.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4 - Conference room #2</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power and data in ceiling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Dim lighting with backlights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(4 outlet 1 circuit) and data on floor under table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5 - Mail room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use as a PO</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and data on 2 walls excluding wall with door and wall across the door.</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880"/>
          </w:cols>
          <w:pgMar w:left="460" w:top="273" w:right="559" w:bottom="1440" w:gutter="0" w:footer="0" w:header="0"/>
        </w:sectPr>
      </w:pPr>
    </w:p>
    <w:bookmarkStart w:id="487" w:name="page488"/>
    <w:bookmarkEnd w:id="48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Lobby</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Power and data on all walls</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Data and Power for receptionist desk</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7. PO’s (2)</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Power and data on 2 walls excluding wall with door and wall across the door.</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8. Cubicle Area (front of building)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1 circuit per 3 cubicles</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Two Cat6 ports per cubicle</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Will want additional power at ends of cubicle runs for printers</w:t>
      </w:r>
    </w:p>
    <w:p>
      <w:pPr>
        <w:spacing w:after="0" w:line="9" w:lineRule="exact"/>
        <w:rPr>
          <w:sz w:val="20"/>
          <w:szCs w:val="20"/>
          <w:color w:val="auto"/>
        </w:rPr>
      </w:pPr>
    </w:p>
    <w:p>
      <w:pPr>
        <w:ind w:left="890" w:right="3320"/>
        <w:spacing w:after="0" w:line="255" w:lineRule="auto"/>
        <w:rPr>
          <w:sz w:val="20"/>
          <w:szCs w:val="20"/>
          <w:color w:val="auto"/>
        </w:rPr>
      </w:pPr>
      <w:r>
        <w:rPr>
          <w:rFonts w:ascii="Arial" w:cs="Arial" w:eastAsia="Arial" w:hAnsi="Arial"/>
          <w:sz w:val="18"/>
          <w:szCs w:val="18"/>
          <w:color w:val="auto"/>
        </w:rPr>
        <w:t>Need electrical/power for cubicles to confirm to the new California Title 24 energy efficiency standards with regards the auto shutoff for task lighting Cabling wire to be Cat6</w:t>
      </w:r>
    </w:p>
    <w:p>
      <w:pPr>
        <w:spacing w:after="0" w:line="81" w:lineRule="exact"/>
        <w:rPr>
          <w:sz w:val="20"/>
          <w:szCs w:val="20"/>
          <w:color w:val="auto"/>
        </w:rPr>
      </w:pPr>
    </w:p>
    <w:p>
      <w:pPr>
        <w:ind w:left="10"/>
        <w:spacing w:after="0"/>
        <w:rPr>
          <w:sz w:val="20"/>
          <w:szCs w:val="20"/>
          <w:color w:val="auto"/>
        </w:rPr>
      </w:pPr>
      <w:r>
        <w:rPr>
          <w:rFonts w:ascii="Arial" w:cs="Arial" w:eastAsia="Arial" w:hAnsi="Arial"/>
          <w:sz w:val="18"/>
          <w:szCs w:val="18"/>
          <w:color w:val="auto"/>
        </w:rPr>
        <w:t>9. Cubicle Area/Open Area (back of building)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Add power along wall</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Make sure plenty of extra power circuit available so when I add the power, the panel can support it.</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Remove all walls-just an open area with carpet</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10. Pre Lab</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Sink needs eye wash</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Pressure for this room needs to be as outlined on the attached drawing</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Dedicated exhaust out</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HVAC 24/7. Once thru air only</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Lower ceiling</w:t>
      </w:r>
    </w:p>
    <w:p>
      <w:pPr>
        <w:spacing w:after="0" w:line="102" w:lineRule="exact"/>
        <w:rPr>
          <w:sz w:val="20"/>
          <w:szCs w:val="20"/>
          <w:color w:val="auto"/>
        </w:rPr>
      </w:pPr>
    </w:p>
    <w:p>
      <w:pPr>
        <w:ind w:left="10" w:hanging="10"/>
        <w:spacing w:after="0" w:line="277" w:lineRule="auto"/>
        <w:tabs>
          <w:tab w:leader="none" w:pos="27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Will need network ports in various locations on the ceiling for wireless access points. Will need to draw details on drawings for locations. May need to also add power depending on our model/equipment.</w:t>
      </w:r>
    </w:p>
    <w:p>
      <w:pPr>
        <w:spacing w:after="0" w:line="62" w:lineRule="exact"/>
        <w:rPr>
          <w:sz w:val="20"/>
          <w:szCs w:val="20"/>
          <w:color w:val="auto"/>
        </w:rPr>
      </w:pPr>
    </w:p>
    <w:p>
      <w:pPr>
        <w:ind w:left="10"/>
        <w:spacing w:after="0"/>
        <w:rPr>
          <w:sz w:val="20"/>
          <w:szCs w:val="20"/>
          <w:color w:val="auto"/>
        </w:rPr>
      </w:pPr>
      <w:r>
        <w:rPr>
          <w:rFonts w:ascii="Arial" w:cs="Arial" w:eastAsia="Arial" w:hAnsi="Arial"/>
          <w:sz w:val="18"/>
          <w:szCs w:val="18"/>
          <w:color w:val="auto"/>
        </w:rPr>
        <w:t>Allowance for up to 4 points (data and power)</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12. Hallway</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Will need power along walls in this area in addition to the freezer locations</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Will want a couple of network drops</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When add power later – make sure generator panel can support it</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Pressure for this area needs to be as outlined on the attached drawing</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13. Instrumentation and Post</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Need Safety Shower with eyewash</w:t>
      </w:r>
    </w:p>
    <w:p>
      <w:pPr>
        <w:spacing w:after="0" w:line="157"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930"/>
          </w:cols>
          <w:pgMar w:left="450" w:top="274" w:right="519" w:bottom="1440" w:gutter="0" w:footer="0" w:header="0"/>
        </w:sectPr>
      </w:pPr>
    </w:p>
    <w:bookmarkStart w:id="488" w:name="page489"/>
    <w:bookmarkEnd w:id="48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Dedicated exhaust out (in support of fume hood below)</w:t>
      </w:r>
    </w:p>
    <w:p>
      <w:pPr>
        <w:spacing w:after="0" w:line="23"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Return air from each of these rooms will not be mixed with air in other parts of the building (including between these 2 rooms), but will instead be exhausted or recirculated only to each room (to avoid any potential of cross contamination). Fume Hood as included in drawing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Pressure for this room needs to be as outlined on the attached drawing</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Ice Machine (drain and plumbing), provided by Tenant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Remove door between pre lab and instrumentation room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Remove single door in fire exit corridor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Remove single door at the end of the Post side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HVAC 24/7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Make sure table floor plan aligns with poles in the room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Lower ceiling (10ft)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w:t>
      </w:r>
      <w:r>
        <w:rPr>
          <w:rFonts w:ascii="Arial" w:cs="Arial" w:eastAsia="Arial" w:hAnsi="Arial"/>
          <w:sz w:val="15"/>
          <w:szCs w:val="15"/>
          <w:b w:val="1"/>
          <w:bCs w:val="1"/>
          <w:u w:val="single" w:color="auto"/>
          <w:color w:val="auto"/>
        </w:rPr>
        <w:t>nd</w:t>
      </w:r>
      <w:r>
        <w:rPr>
          <w:rFonts w:ascii="Arial" w:cs="Arial" w:eastAsia="Arial" w:hAnsi="Arial"/>
          <w:sz w:val="18"/>
          <w:szCs w:val="18"/>
          <w:b w:val="1"/>
          <w:bCs w:val="1"/>
          <w:u w:val="single" w:color="auto"/>
          <w:color w:val="auto"/>
        </w:rPr>
        <w:t xml:space="preserve"> Floor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private offices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and data (2 EA Cat6) in one location to math furniture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Conference Rooms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power and data in ceiling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(4 outlet 1 circuit) and data on floor under table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Conference Room #3</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Dim Lighting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 Network Closet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connection to main server room</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Power to support network equipment (2 EA dedicated 20 amp circuits)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10 Storage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Covert to Mom’s room</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 Power for small dorm room size refrigerator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 door by stairwell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 Coffee Area</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 power for 1 coffee machine and 1 microwave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Water and sink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Storage cabinets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Space for a refrigerator, if possible</w:t>
      </w: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640"/>
          </w:cols>
          <w:pgMar w:left="460" w:top="274" w:right="799" w:bottom="1440" w:gutter="0" w:footer="0" w:header="0"/>
        </w:sectPr>
      </w:pPr>
    </w:p>
    <w:bookmarkStart w:id="489" w:name="page490"/>
    <w:bookmarkEnd w:id="489"/>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 &amp; 22. Open Cubicle Areas</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1 circuit per 3 cubicles</w:t>
      </w:r>
    </w:p>
    <w:p>
      <w:pPr>
        <w:spacing w:after="0" w:line="23" w:lineRule="exact"/>
        <w:rPr>
          <w:sz w:val="20"/>
          <w:szCs w:val="20"/>
          <w:color w:val="auto"/>
        </w:rPr>
      </w:pPr>
    </w:p>
    <w:p>
      <w:pPr>
        <w:ind w:left="890"/>
        <w:spacing w:after="0"/>
        <w:rPr>
          <w:sz w:val="20"/>
          <w:szCs w:val="20"/>
          <w:color w:val="auto"/>
        </w:rPr>
      </w:pPr>
      <w:r>
        <w:rPr>
          <w:rFonts w:ascii="Arial" w:cs="Arial" w:eastAsia="Arial" w:hAnsi="Arial"/>
          <w:sz w:val="18"/>
          <w:szCs w:val="18"/>
          <w:color w:val="auto"/>
        </w:rPr>
        <w:t>Two Cat6 ports per cubicle</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Will want additional power at ends of cubicle runs for printers (allowance for up to 6 EA dedicated circuits @ cubicle ends)</w:t>
      </w:r>
    </w:p>
    <w:p>
      <w:pPr>
        <w:spacing w:after="0" w:line="9" w:lineRule="exact"/>
        <w:rPr>
          <w:sz w:val="20"/>
          <w:szCs w:val="20"/>
          <w:color w:val="auto"/>
        </w:rPr>
      </w:pPr>
    </w:p>
    <w:p>
      <w:pPr>
        <w:ind w:left="890"/>
        <w:spacing w:after="0" w:line="250" w:lineRule="auto"/>
        <w:rPr>
          <w:sz w:val="20"/>
          <w:szCs w:val="20"/>
          <w:color w:val="auto"/>
        </w:rPr>
      </w:pPr>
      <w:r>
        <w:rPr>
          <w:rFonts w:ascii="Arial" w:cs="Arial" w:eastAsia="Arial" w:hAnsi="Arial"/>
          <w:sz w:val="18"/>
          <w:szCs w:val="18"/>
          <w:color w:val="auto"/>
        </w:rPr>
        <w:t>Need electrical/power for cubicles to confirm to the new California Title 24 energy efficiency standards with regards the auto shutoff for task lighting</w:t>
      </w:r>
    </w:p>
    <w:p>
      <w:pPr>
        <w:ind w:left="890"/>
        <w:spacing w:after="0"/>
        <w:rPr>
          <w:sz w:val="20"/>
          <w:szCs w:val="20"/>
          <w:color w:val="auto"/>
        </w:rPr>
      </w:pPr>
      <w:r>
        <w:rPr>
          <w:rFonts w:ascii="Arial" w:cs="Arial" w:eastAsia="Arial" w:hAnsi="Arial"/>
          <w:sz w:val="18"/>
          <w:szCs w:val="18"/>
          <w:color w:val="auto"/>
        </w:rPr>
        <w:t>Cabling wire to be Cat6</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Generator Capacity (refer to attached)</w:t>
      </w:r>
    </w:p>
    <w:p>
      <w:pPr>
        <w:spacing w:after="0" w:line="130" w:lineRule="exact"/>
        <w:rPr>
          <w:sz w:val="20"/>
          <w:szCs w:val="20"/>
          <w:color w:val="auto"/>
        </w:rPr>
      </w:pPr>
    </w:p>
    <w:p>
      <w:pPr>
        <w:ind w:left="870" w:hanging="438"/>
        <w:spacing w:after="0"/>
        <w:tabs>
          <w:tab w:leader="none" w:pos="87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Freezers and Refrigerator</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Pre-Lab</w:t>
      </w:r>
    </w:p>
    <w:p>
      <w:pPr>
        <w:spacing w:after="0" w:line="117" w:lineRule="exact"/>
        <w:rPr>
          <w:sz w:val="20"/>
          <w:szCs w:val="20"/>
          <w:color w:val="auto"/>
        </w:rPr>
      </w:pPr>
    </w:p>
    <w:p>
      <w:pPr>
        <w:ind w:left="130" w:hanging="130"/>
        <w:spacing w:after="0"/>
        <w:tabs>
          <w:tab w:leader="none" w:pos="13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Freezers</w:t>
      </w:r>
    </w:p>
    <w:p>
      <w:pPr>
        <w:spacing w:after="0" w:line="23" w:lineRule="exact"/>
        <w:rPr>
          <w:rFonts w:ascii="Arial" w:cs="Arial" w:eastAsia="Arial" w:hAnsi="Arial"/>
          <w:sz w:val="18"/>
          <w:szCs w:val="18"/>
          <w:color w:val="auto"/>
        </w:rPr>
      </w:pPr>
    </w:p>
    <w:p>
      <w:pPr>
        <w:ind w:left="130" w:hanging="130"/>
        <w:spacing w:after="0"/>
        <w:tabs>
          <w:tab w:leader="none" w:pos="13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Refrigerators</w:t>
      </w:r>
    </w:p>
    <w:p>
      <w:pPr>
        <w:spacing w:after="0" w:line="8"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1 - 80 freezer</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Post Lab</w:t>
      </w:r>
    </w:p>
    <w:p>
      <w:pPr>
        <w:spacing w:after="0" w:line="117" w:lineRule="exact"/>
        <w:rPr>
          <w:sz w:val="20"/>
          <w:szCs w:val="20"/>
          <w:color w:val="auto"/>
        </w:rPr>
      </w:pPr>
    </w:p>
    <w:p>
      <w:pPr>
        <w:ind w:left="130" w:hanging="130"/>
        <w:spacing w:after="0"/>
        <w:tabs>
          <w:tab w:leader="none" w:pos="13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Freezers</w:t>
      </w:r>
    </w:p>
    <w:p>
      <w:pPr>
        <w:spacing w:after="0" w:line="23" w:lineRule="exact"/>
        <w:rPr>
          <w:rFonts w:ascii="Arial" w:cs="Arial" w:eastAsia="Arial" w:hAnsi="Arial"/>
          <w:sz w:val="18"/>
          <w:szCs w:val="18"/>
          <w:color w:val="auto"/>
        </w:rPr>
      </w:pPr>
    </w:p>
    <w:p>
      <w:pPr>
        <w:ind w:left="130" w:hanging="130"/>
        <w:spacing w:after="0"/>
        <w:tabs>
          <w:tab w:leader="none" w:pos="13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Refrigerators</w:t>
      </w:r>
    </w:p>
    <w:p>
      <w:pPr>
        <w:spacing w:after="0" w:line="8"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1 - 80 Freezer</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Instrument Room</w:t>
      </w:r>
    </w:p>
    <w:p>
      <w:pPr>
        <w:spacing w:after="0" w:line="117" w:lineRule="exact"/>
        <w:rPr>
          <w:sz w:val="20"/>
          <w:szCs w:val="20"/>
          <w:color w:val="auto"/>
        </w:rPr>
      </w:pPr>
    </w:p>
    <w:p>
      <w:pPr>
        <w:ind w:left="130" w:hanging="130"/>
        <w:spacing w:after="0"/>
        <w:tabs>
          <w:tab w:leader="none" w:pos="13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Freezers</w:t>
      </w:r>
    </w:p>
    <w:p>
      <w:pPr>
        <w:spacing w:after="0" w:line="23" w:lineRule="exact"/>
        <w:rPr>
          <w:rFonts w:ascii="Arial" w:cs="Arial" w:eastAsia="Arial" w:hAnsi="Arial"/>
          <w:sz w:val="18"/>
          <w:szCs w:val="18"/>
          <w:color w:val="auto"/>
        </w:rPr>
      </w:pPr>
    </w:p>
    <w:p>
      <w:pPr>
        <w:ind w:left="130" w:hanging="130"/>
        <w:spacing w:after="0"/>
        <w:tabs>
          <w:tab w:leader="none" w:pos="13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Refrigerators</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Hallway</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10 Freezers</w:t>
      </w:r>
    </w:p>
    <w:p>
      <w:pPr>
        <w:spacing w:after="0" w:line="23" w:lineRule="exact"/>
        <w:rPr>
          <w:sz w:val="20"/>
          <w:szCs w:val="20"/>
          <w:color w:val="auto"/>
        </w:rPr>
      </w:pPr>
    </w:p>
    <w:p>
      <w:pPr>
        <w:ind w:left="10" w:right="9520" w:hanging="10"/>
        <w:spacing w:after="0" w:line="323" w:lineRule="auto"/>
        <w:tabs>
          <w:tab w:leader="none" w:pos="23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Refrigerators 2 - 80 Freezers</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8"/>
          <w:szCs w:val="18"/>
          <w:color w:val="auto"/>
        </w:rPr>
        <w:t>Based on these totals, the needs are:</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18 Freezers</w:t>
      </w:r>
    </w:p>
    <w:p>
      <w:pPr>
        <w:spacing w:after="0" w:line="23" w:lineRule="exact"/>
        <w:rPr>
          <w:sz w:val="20"/>
          <w:szCs w:val="20"/>
          <w:color w:val="auto"/>
        </w:rPr>
      </w:pPr>
    </w:p>
    <w:p>
      <w:pPr>
        <w:ind w:left="10" w:right="9520" w:hanging="10"/>
        <w:spacing w:after="0" w:line="323" w:lineRule="auto"/>
        <w:tabs>
          <w:tab w:leader="none" w:pos="23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Refrigerators 4 - 80 freezers</w:t>
      </w:r>
    </w:p>
    <w:p>
      <w:pPr>
        <w:spacing w:after="0" w:line="70" w:lineRule="exact"/>
        <w:rPr>
          <w:sz w:val="20"/>
          <w:szCs w:val="20"/>
          <w:color w:val="auto"/>
        </w:rPr>
      </w:pPr>
    </w:p>
    <w:p>
      <w:pPr>
        <w:jc w:val="center"/>
        <w:ind w:right="-30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690"/>
          </w:cols>
          <w:pgMar w:left="450" w:top="274" w:right="759" w:bottom="1440" w:gutter="0" w:footer="0" w:header="0"/>
        </w:sectPr>
      </w:pPr>
    </w:p>
    <w:bookmarkStart w:id="490" w:name="page491"/>
    <w:bookmarkEnd w:id="49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20 - Hiseq instruments each at needs 1500watts(20Amp dedicated)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Robots - each needs 11.5Amps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Server Room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Three (3) 30A 208V power feeds, one for each of the first three racks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regular 120V wall outlet near the network racks (&lt;2A draw)</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MPOE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Two regular 120V wall outlets for &lt;10A total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2nd floor network closet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should have one regular 120V wall outlet for &lt;10A as well</w:t>
      </w:r>
    </w:p>
    <w:p>
      <w:pPr>
        <w:spacing w:after="0" w:line="264"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9999"/>
          </w:cols>
          <w:pgMar w:left="460" w:top="270" w:right="1440" w:bottom="1440" w:gutter="0" w:footer="0" w:header="0"/>
        </w:sectPr>
      </w:pPr>
    </w:p>
    <w:bookmarkStart w:id="491" w:name="page492"/>
    <w:bookmarkEnd w:id="49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Server Room and Generator Clarifications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Server room:</w:t>
      </w:r>
    </w:p>
    <w:p>
      <w:pPr>
        <w:spacing w:after="0" w:line="117" w:lineRule="exact"/>
        <w:rPr>
          <w:sz w:val="20"/>
          <w:szCs w:val="20"/>
          <w:color w:val="auto"/>
        </w:rPr>
      </w:pPr>
    </w:p>
    <w:p>
      <w:pPr>
        <w:ind w:left="440" w:right="20" w:hanging="10"/>
        <w:spacing w:after="0" w:line="277" w:lineRule="auto"/>
        <w:tabs>
          <w:tab w:leader="none" w:pos="62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server room will have a 20ton HVAC unit, provided by landlord. Personalis will provide the HVAC and power layout for the 20 ton HVAC Unit that will be installed by landlord</w:t>
      </w:r>
    </w:p>
    <w:p>
      <w:pPr>
        <w:spacing w:after="0" w:line="61" w:lineRule="exact"/>
        <w:rPr>
          <w:rFonts w:ascii="Arial" w:cs="Arial" w:eastAsia="Arial" w:hAnsi="Arial"/>
          <w:sz w:val="18"/>
          <w:szCs w:val="18"/>
          <w:color w:val="auto"/>
        </w:rPr>
      </w:pPr>
    </w:p>
    <w:p>
      <w:pPr>
        <w:ind w:left="620" w:hanging="190"/>
        <w:spacing w:after="0"/>
        <w:tabs>
          <w:tab w:leader="none" w:pos="62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electrical panel in the server room will need to support the power requirements as layout for the entire server room configuration</w:t>
      </w:r>
    </w:p>
    <w:p>
      <w:pPr>
        <w:spacing w:after="0" w:line="128" w:lineRule="exact"/>
        <w:rPr>
          <w:rFonts w:ascii="Arial" w:cs="Arial" w:eastAsia="Arial" w:hAnsi="Arial"/>
          <w:sz w:val="17"/>
          <w:szCs w:val="17"/>
          <w:color w:val="auto"/>
        </w:rPr>
      </w:pPr>
    </w:p>
    <w:p>
      <w:pPr>
        <w:ind w:left="440" w:right="180" w:hanging="10"/>
        <w:spacing w:after="0" w:line="277" w:lineRule="auto"/>
        <w:tabs>
          <w:tab w:leader="none" w:pos="62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Power and HVAC will be provided by landlord for the equipment used by the 20 ton unit. Personalis will provide the design requirements for the HVAC layout to meet the hot and cold aisle requirements</w:t>
      </w:r>
    </w:p>
    <w:p>
      <w:pPr>
        <w:spacing w:after="0" w:line="61" w:lineRule="exact"/>
        <w:rPr>
          <w:rFonts w:ascii="Arial" w:cs="Arial" w:eastAsia="Arial" w:hAnsi="Arial"/>
          <w:sz w:val="18"/>
          <w:szCs w:val="18"/>
          <w:color w:val="auto"/>
        </w:rPr>
      </w:pPr>
    </w:p>
    <w:p>
      <w:pPr>
        <w:ind w:left="440" w:hanging="10"/>
        <w:spacing w:after="0" w:line="277" w:lineRule="auto"/>
        <w:tabs>
          <w:tab w:leader="none" w:pos="63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There will be a designation in the room/roof and a plan for all necessary ducting/power required to support an additional 20 ton HVAC unit that will be added later by Personalis, at Personalis’s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Generator</w:t>
      </w:r>
    </w:p>
    <w:p>
      <w:pPr>
        <w:spacing w:after="0" w:line="117" w:lineRule="exact"/>
        <w:rPr>
          <w:sz w:val="20"/>
          <w:szCs w:val="20"/>
          <w:color w:val="auto"/>
        </w:rPr>
      </w:pPr>
    </w:p>
    <w:p>
      <w:pPr>
        <w:ind w:left="440" w:right="260" w:hanging="10"/>
        <w:spacing w:after="0" w:line="277" w:lineRule="auto"/>
        <w:tabs>
          <w:tab w:leader="none" w:pos="62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Landlord will provide $70,000 for a generator. The landlord and Personals will determine how best to spend this money to support a 100KV generator. Any costs in excess of $70,000 will be paid by Personalis</w:t>
      </w:r>
    </w:p>
    <w:p>
      <w:pPr>
        <w:spacing w:after="0" w:line="61" w:lineRule="exact"/>
        <w:rPr>
          <w:rFonts w:ascii="Arial" w:cs="Arial" w:eastAsia="Arial" w:hAnsi="Arial"/>
          <w:sz w:val="18"/>
          <w:szCs w:val="18"/>
          <w:color w:val="auto"/>
        </w:rPr>
      </w:pPr>
    </w:p>
    <w:p>
      <w:pPr>
        <w:ind w:left="620" w:hanging="190"/>
        <w:spacing w:after="0"/>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Landlord will provide the emergency generator panel that will support a 100KV generator</w:t>
      </w:r>
    </w:p>
    <w:p>
      <w:pPr>
        <w:spacing w:after="0" w:line="116" w:lineRule="exact"/>
        <w:rPr>
          <w:rFonts w:ascii="Arial" w:cs="Arial" w:eastAsia="Arial" w:hAnsi="Arial"/>
          <w:sz w:val="18"/>
          <w:szCs w:val="18"/>
          <w:color w:val="auto"/>
        </w:rPr>
      </w:pPr>
    </w:p>
    <w:p>
      <w:pPr>
        <w:ind w:left="440" w:right="380" w:hanging="10"/>
        <w:spacing w:after="0" w:line="277" w:lineRule="auto"/>
        <w:tabs>
          <w:tab w:leader="none" w:pos="62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Landlord will provide electrical work to support 60KV generator. Personalis will work with electrician to designate separation of power to support a combination of the freezers, instruments and server room</w:t>
      </w:r>
    </w:p>
    <w:p>
      <w:pPr>
        <w:spacing w:after="0" w:line="61" w:lineRule="exact"/>
        <w:rPr>
          <w:rFonts w:ascii="Arial" w:cs="Arial" w:eastAsia="Arial" w:hAnsi="Arial"/>
          <w:sz w:val="18"/>
          <w:szCs w:val="18"/>
          <w:color w:val="auto"/>
        </w:rPr>
      </w:pPr>
    </w:p>
    <w:p>
      <w:pPr>
        <w:ind w:left="620" w:hanging="190"/>
        <w:spacing w:after="0"/>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Personalis will provide, at its own cost, the electrical work for the additional 40KV generator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960"/>
          </w:cols>
          <w:pgMar w:left="460" w:top="269" w:right="479" w:bottom="1440" w:gutter="0" w:footer="0" w:header="0"/>
        </w:sectPr>
      </w:pPr>
    </w:p>
    <w:bookmarkStart w:id="492" w:name="page493"/>
    <w:bookmarkEnd w:id="4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1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728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9019"/>
          </w:cols>
          <w:pgMar w:left="1440" w:top="1440" w:right="1440" w:bottom="1440" w:gutter="0" w:footer="0" w:header="0"/>
        </w:sectPr>
      </w:pPr>
    </w:p>
    <w:bookmarkStart w:id="493" w:name="page494"/>
    <w:bookmarkEnd w:id="4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728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9019"/>
          </w:cols>
          <w:pgMar w:left="1440" w:top="1440" w:right="1440" w:bottom="1440" w:gutter="0" w:footer="0" w:header="0"/>
        </w:sectPr>
      </w:pPr>
    </w:p>
    <w:bookmarkStart w:id="494" w:name="page495"/>
    <w:bookmarkEnd w:id="494"/>
    <w:p>
      <w:pPr>
        <w:jc w:val="center"/>
        <w:ind w:right="-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MEMORANDUM</w:t>
      </w:r>
    </w:p>
    <w:p>
      <w:pPr>
        <w:spacing w:after="0" w:line="252" w:lineRule="exact"/>
        <w:rPr>
          <w:sz w:val="20"/>
          <w:szCs w:val="20"/>
          <w:color w:val="auto"/>
        </w:rPr>
      </w:pPr>
    </w:p>
    <w:p>
      <w:pPr>
        <w:ind w:left="10"/>
        <w:spacing w:after="0"/>
        <w:tabs>
          <w:tab w:leader="none" w:pos="8789" w:val="left"/>
        </w:tabs>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Personalis, Inc.</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15, 2015</w:t>
      </w:r>
    </w:p>
    <w:p>
      <w:pPr>
        <w:spacing w:after="0" w:line="117" w:lineRule="exact"/>
        <w:rPr>
          <w:sz w:val="20"/>
          <w:szCs w:val="20"/>
          <w:color w:val="auto"/>
        </w:rPr>
      </w:pPr>
    </w:p>
    <w:p>
      <w:pPr>
        <w:ind w:left="10" w:right="40"/>
        <w:spacing w:after="0" w:line="255" w:lineRule="auto"/>
        <w:rPr>
          <w:sz w:val="20"/>
          <w:szCs w:val="20"/>
          <w:color w:val="auto"/>
        </w:rPr>
      </w:pPr>
      <w:r>
        <w:rPr>
          <w:rFonts w:ascii="Arial" w:cs="Arial" w:eastAsia="Arial" w:hAnsi="Arial"/>
          <w:sz w:val="18"/>
          <w:szCs w:val="18"/>
          <w:color w:val="auto"/>
        </w:rPr>
        <w:t>Re: The Lease dated February 2, 2015, by and between MENLO PRECH I, LLC, a Delaware limited liability company, MENLO PREPI I, LLC, a Delaware limited liability company and TPI INVESTORS 9, LLC, a California limited liability company, hereafter collectively referred to as “Lessor”, and PERSONALIS, INC. a Delaware corporation, hereafter referred to as “Lessee” or “Personalis”, concerning the Premises consisting of approximately Twenty-Five Thousand Three Hundred Sixty Six (25,366) rentable square feet in Building 5, and consisting of approximately Five Thousand Nine Hundred Fourteen (5,914) rentable square feet in Building 6, on the second floor, these buildings are commonly known as 1330 O’Brien Drive, Menlo Park, California and 1360 O’Brien Drive, 2</w:t>
      </w:r>
      <w:r>
        <w:rPr>
          <w:rFonts w:ascii="Arial" w:cs="Arial" w:eastAsia="Arial" w:hAnsi="Arial"/>
          <w:sz w:val="15"/>
          <w:szCs w:val="15"/>
          <w:color w:val="auto"/>
        </w:rPr>
        <w:t>nd</w:t>
      </w:r>
      <w:r>
        <w:rPr>
          <w:rFonts w:ascii="Arial" w:cs="Arial" w:eastAsia="Arial" w:hAnsi="Arial"/>
          <w:sz w:val="18"/>
          <w:szCs w:val="18"/>
          <w:color w:val="auto"/>
        </w:rPr>
        <w:t xml:space="preserve"> Floor, Menlo Park, California.</w:t>
      </w:r>
    </w:p>
    <w:p>
      <w:pPr>
        <w:spacing w:after="0" w:line="19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accordance with the subject Lease, we hereby confirm the following:</w:t>
      </w:r>
    </w:p>
    <w:p>
      <w:pPr>
        <w:spacing w:after="0" w:line="130" w:lineRule="exact"/>
        <w:rPr>
          <w:sz w:val="20"/>
          <w:szCs w:val="20"/>
          <w:color w:val="auto"/>
        </w:rPr>
      </w:pPr>
    </w:p>
    <w:p>
      <w:pPr>
        <w:ind w:left="430" w:hanging="430"/>
        <w:spacing w:after="0"/>
        <w:tabs>
          <w:tab w:leader="none" w:pos="43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That the Premises have been unconditionally accepted by Lessee, except as noted on the attached.</w:t>
      </w:r>
    </w:p>
    <w:p>
      <w:pPr>
        <w:spacing w:after="0" w:line="130" w:lineRule="exact"/>
        <w:rPr>
          <w:rFonts w:ascii="Arial" w:cs="Arial" w:eastAsia="Arial" w:hAnsi="Arial"/>
          <w:sz w:val="18"/>
          <w:szCs w:val="18"/>
          <w:color w:val="auto"/>
        </w:rPr>
      </w:pPr>
    </w:p>
    <w:p>
      <w:pPr>
        <w:ind w:left="430" w:right="340" w:hanging="430"/>
        <w:spacing w:after="0" w:line="277" w:lineRule="auto"/>
        <w:tabs>
          <w:tab w:leader="none" w:pos="43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That Lessee has possession of the Premises and acknowledges that pursuant to the Lease, the initial term of the Lease commenced on </w:t>
      </w:r>
      <w:r>
        <w:rPr>
          <w:rFonts w:ascii="Arial" w:cs="Arial" w:eastAsia="Arial" w:hAnsi="Arial"/>
          <w:sz w:val="18"/>
          <w:szCs w:val="18"/>
          <w:u w:val="single" w:color="auto"/>
          <w:color w:val="auto"/>
        </w:rPr>
        <w:t>May 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2015</w:t>
      </w:r>
      <w:r>
        <w:rPr>
          <w:rFonts w:ascii="Arial" w:cs="Arial" w:eastAsia="Arial" w:hAnsi="Arial"/>
          <w:sz w:val="18"/>
          <w:szCs w:val="18"/>
          <w:color w:val="auto"/>
        </w:rPr>
        <w:t xml:space="preserve"> (the “Commencement Date”), and shall expire on </w:t>
      </w:r>
      <w:r>
        <w:rPr>
          <w:rFonts w:ascii="Arial" w:cs="Arial" w:eastAsia="Arial" w:hAnsi="Arial"/>
          <w:sz w:val="18"/>
          <w:szCs w:val="18"/>
          <w:u w:val="single" w:color="auto"/>
          <w:color w:val="auto"/>
        </w:rPr>
        <w:t>November 30, 2020</w:t>
      </w:r>
      <w:r>
        <w:rPr>
          <w:rFonts w:ascii="Arial" w:cs="Arial" w:eastAsia="Arial" w:hAnsi="Arial"/>
          <w:sz w:val="18"/>
          <w:szCs w:val="18"/>
          <w:color w:val="auto"/>
        </w:rPr>
        <w:t>, (the “Expiration Date”).</w:t>
      </w:r>
    </w:p>
    <w:p>
      <w:pPr>
        <w:spacing w:after="0" w:line="75" w:lineRule="exact"/>
        <w:rPr>
          <w:rFonts w:ascii="Arial" w:cs="Arial" w:eastAsia="Arial" w:hAnsi="Arial"/>
          <w:sz w:val="18"/>
          <w:szCs w:val="18"/>
          <w:color w:val="auto"/>
        </w:rPr>
      </w:pPr>
    </w:p>
    <w:p>
      <w:pPr>
        <w:ind w:left="430" w:hanging="430"/>
        <w:spacing w:after="0"/>
        <w:tabs>
          <w:tab w:leader="none" w:pos="43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That in accordance with the provisions of the Lease, Monthly Base Rent and Additional Rent commenced to accrue on </w:t>
      </w:r>
      <w:r>
        <w:rPr>
          <w:rFonts w:ascii="Arial" w:cs="Arial" w:eastAsia="Arial" w:hAnsi="Arial"/>
          <w:sz w:val="17"/>
          <w:szCs w:val="17"/>
          <w:u w:val="single" w:color="auto"/>
          <w:color w:val="auto"/>
        </w:rPr>
        <w:t>May 15, 2015</w:t>
      </w:r>
      <w:r>
        <w:rPr>
          <w:rFonts w:ascii="Arial" w:cs="Arial" w:eastAsia="Arial" w:hAnsi="Arial"/>
          <w:sz w:val="17"/>
          <w:szCs w:val="17"/>
          <w:color w:val="auto"/>
        </w:rPr>
        <w:t>.</w:t>
      </w:r>
    </w:p>
    <w:p>
      <w:pPr>
        <w:spacing w:after="0" w:line="141" w:lineRule="exact"/>
        <w:rPr>
          <w:rFonts w:ascii="Arial" w:cs="Arial" w:eastAsia="Arial" w:hAnsi="Arial"/>
          <w:sz w:val="17"/>
          <w:szCs w:val="17"/>
          <w:color w:val="auto"/>
        </w:rPr>
      </w:pPr>
    </w:p>
    <w:p>
      <w:pPr>
        <w:ind w:left="430" w:hanging="430"/>
        <w:spacing w:after="0" w:line="263" w:lineRule="auto"/>
        <w:tabs>
          <w:tab w:leader="none" w:pos="43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Thereafter, Rent is due and payable in advance on the first day of each month during the term of the Lease. Rent checks should be made payable to Lessor: </w:t>
      </w:r>
      <w:r>
        <w:rPr>
          <w:rFonts w:ascii="Arial" w:cs="Arial" w:eastAsia="Arial" w:hAnsi="Arial"/>
          <w:sz w:val="18"/>
          <w:szCs w:val="18"/>
          <w:u w:val="single" w:color="auto"/>
          <w:color w:val="auto"/>
        </w:rPr>
        <w:t>Menlo Park Portfolio,</w:t>
      </w:r>
      <w:r>
        <w:rPr>
          <w:rFonts w:ascii="Arial" w:cs="Arial" w:eastAsia="Arial" w:hAnsi="Arial"/>
          <w:sz w:val="18"/>
          <w:szCs w:val="18"/>
          <w:color w:val="auto"/>
        </w:rPr>
        <w:t xml:space="preserve"> and mailed to the following address: </w:t>
      </w:r>
      <w:r>
        <w:rPr>
          <w:rFonts w:ascii="Arial" w:cs="Arial" w:eastAsia="Arial" w:hAnsi="Arial"/>
          <w:sz w:val="18"/>
          <w:szCs w:val="18"/>
          <w:u w:val="single" w:color="auto"/>
          <w:color w:val="auto"/>
        </w:rPr>
        <w:t>Menlo Park Portfolio, Property: 435010, P.O. Box 310300, Des Moines, IA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50331-0300.</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AGREED AND ACCEPTED</w:t>
            </w:r>
          </w:p>
        </w:tc>
        <w:tc>
          <w:tcPr>
            <w:tcW w:w="0" w:type="dxa"/>
            <w:vAlign w:val="bottom"/>
          </w:tcPr>
          <w:p>
            <w:pPr>
              <w:spacing w:after="0"/>
              <w:rPr>
                <w:sz w:val="1"/>
                <w:szCs w:val="1"/>
                <w:color w:val="auto"/>
              </w:rPr>
            </w:pPr>
          </w:p>
        </w:tc>
      </w:tr>
      <w:tr>
        <w:trPr>
          <w:trHeight w:val="479"/>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LESSEE:</w:t>
            </w:r>
          </w:p>
        </w:tc>
        <w:tc>
          <w:tcPr>
            <w:tcW w:w="1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LESSOR: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20" w:type="dxa"/>
            <w:vAlign w:val="bottom"/>
            <w:gridSpan w:val="2"/>
          </w:tcPr>
          <w:p>
            <w:pPr>
              <w:spacing w:after="0"/>
              <w:rPr>
                <w:sz w:val="20"/>
                <w:szCs w:val="20"/>
                <w:color w:val="auto"/>
              </w:rPr>
            </w:pPr>
            <w:r>
              <w:rPr>
                <w:rFonts w:ascii="Arial" w:cs="Arial" w:eastAsia="Arial" w:hAnsi="Arial"/>
                <w:sz w:val="18"/>
                <w:szCs w:val="18"/>
                <w:color w:val="auto"/>
              </w:rPr>
              <w:t>PERSONALIS, INC.</w:t>
            </w:r>
          </w:p>
        </w:tc>
        <w:tc>
          <w:tcPr>
            <w:tcW w:w="1200" w:type="dxa"/>
            <w:vAlign w:val="bottom"/>
          </w:tcPr>
          <w:p>
            <w:pPr>
              <w:spacing w:after="0"/>
              <w:rPr>
                <w:sz w:val="24"/>
                <w:szCs w:val="24"/>
                <w:color w:val="auto"/>
              </w:rPr>
            </w:pP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MENLO PRECH I, LLC,</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0" w:type="dxa"/>
            <w:vAlign w:val="bottom"/>
          </w:tcPr>
          <w:p>
            <w:pPr>
              <w:spacing w:after="0"/>
              <w:rPr>
                <w:sz w:val="18"/>
                <w:szCs w:val="18"/>
                <w:color w:val="auto"/>
              </w:rPr>
            </w:pP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MENLO PREPI I, LLC and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TPI INVESTORS 9, LLC</w:t>
            </w:r>
          </w:p>
        </w:tc>
        <w:tc>
          <w:tcPr>
            <w:tcW w:w="0" w:type="dxa"/>
            <w:vAlign w:val="bottom"/>
          </w:tcPr>
          <w:p>
            <w:pPr>
              <w:spacing w:after="0"/>
              <w:rPr>
                <w:sz w:val="1"/>
                <w:szCs w:val="1"/>
                <w:color w:val="auto"/>
              </w:rPr>
            </w:pP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120"/>
              <w:spacing w:after="0"/>
              <w:rPr>
                <w:sz w:val="20"/>
                <w:szCs w:val="20"/>
                <w:color w:val="auto"/>
              </w:rPr>
            </w:pPr>
            <w:r>
              <w:rPr>
                <w:rFonts w:ascii="Arial" w:cs="Arial" w:eastAsia="Arial" w:hAnsi="Arial"/>
                <w:sz w:val="18"/>
                <w:szCs w:val="18"/>
                <w:color w:val="auto"/>
              </w:rPr>
              <w:t>/s/ John West</w:t>
            </w:r>
          </w:p>
        </w:tc>
        <w:tc>
          <w:tcPr>
            <w:tcW w:w="120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 Tarlton</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John C. Tarlton</w:t>
            </w:r>
          </w:p>
        </w:tc>
        <w:tc>
          <w:tcPr>
            <w:tcW w:w="0" w:type="dxa"/>
            <w:vAlign w:val="bottom"/>
          </w:tcPr>
          <w:p>
            <w:pPr>
              <w:spacing w:after="0" w:line="20" w:lineRule="exact"/>
              <w:rPr>
                <w:sz w:val="1"/>
                <w:szCs w:val="1"/>
                <w:color w:val="auto"/>
              </w:rPr>
            </w:pPr>
          </w:p>
        </w:tc>
      </w:tr>
      <w:tr>
        <w:trPr>
          <w:trHeight w:val="168"/>
        </w:trPr>
        <w:tc>
          <w:tcPr>
            <w:tcW w:w="440" w:type="dxa"/>
            <w:vAlign w:val="bottom"/>
          </w:tcPr>
          <w:p>
            <w:pPr>
              <w:spacing w:after="0"/>
              <w:rPr>
                <w:sz w:val="14"/>
                <w:szCs w:val="14"/>
                <w:color w:val="auto"/>
              </w:rPr>
            </w:pPr>
          </w:p>
        </w:tc>
        <w:tc>
          <w:tcPr>
            <w:tcW w:w="3980" w:type="dxa"/>
            <w:vAlign w:val="bottom"/>
          </w:tcPr>
          <w:p>
            <w:pPr>
              <w:ind w:left="120"/>
              <w:spacing w:after="0" w:line="169" w:lineRule="exact"/>
              <w:rPr>
                <w:sz w:val="20"/>
                <w:szCs w:val="20"/>
                <w:color w:val="auto"/>
              </w:rPr>
            </w:pPr>
            <w:r>
              <w:rPr>
                <w:rFonts w:ascii="Arial" w:cs="Arial" w:eastAsia="Arial" w:hAnsi="Arial"/>
                <w:sz w:val="18"/>
                <w:szCs w:val="18"/>
                <w:color w:val="auto"/>
              </w:rPr>
              <w:t>John West</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CEO</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Agent and Property Manager</w:t>
            </w:r>
          </w:p>
        </w:tc>
        <w:tc>
          <w:tcPr>
            <w:tcW w:w="0" w:type="dxa"/>
            <w:vAlign w:val="bottom"/>
          </w:tcPr>
          <w:p>
            <w:pPr>
              <w:spacing w:after="0"/>
              <w:rPr>
                <w:sz w:val="1"/>
                <w:szCs w:val="1"/>
                <w:color w:val="auto"/>
              </w:rPr>
            </w:pP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5/26/15</w:t>
            </w:r>
          </w:p>
        </w:tc>
        <w:tc>
          <w:tcPr>
            <w:tcW w:w="120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4720" w:type="dxa"/>
            <w:vAlign w:val="bottom"/>
            <w:gridSpan w:val="2"/>
          </w:tcPr>
          <w:p>
            <w:pPr>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bl>
    <w:p>
      <w:pPr>
        <w:sectPr>
          <w:pgSz w:w="11900" w:h="16838" w:orient="portrait"/>
          <w:cols w:equalWidth="0" w:num="1">
            <w:col w:w="11010"/>
          </w:cols>
          <w:pgMar w:left="450" w:top="273" w:right="439" w:bottom="1440"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ind w:left="10" w:right="320" w:hanging="10"/>
        <w:spacing w:after="0" w:line="281" w:lineRule="auto"/>
        <w:tabs>
          <w:tab w:leader="none" w:pos="444"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240" w:type="dxa"/>
            <w:vAlign w:val="bottom"/>
            <w:gridSpan w:val="5"/>
          </w:tcPr>
          <w:p>
            <w:pPr>
              <w:ind w:left="800"/>
              <w:spacing w:after="0"/>
              <w:rPr>
                <w:sz w:val="20"/>
                <w:szCs w:val="20"/>
                <w:color w:val="auto"/>
              </w:rPr>
            </w:pPr>
            <w:r>
              <w:rPr>
                <w:rFonts w:ascii="Arial" w:cs="Arial" w:eastAsia="Arial" w:hAnsi="Arial"/>
                <w:sz w:val="14"/>
                <w:szCs w:val="14"/>
                <w:b w:val="1"/>
                <w:bCs w:val="1"/>
                <w:color w:val="auto"/>
              </w:rPr>
              <w:t>SOLICITATION/CONTRACT/ORDER FOR COMMERCIAL ITEMS</w:t>
            </w:r>
          </w:p>
        </w:tc>
        <w:tc>
          <w:tcPr>
            <w:tcW w:w="2940" w:type="dxa"/>
            <w:vAlign w:val="bottom"/>
            <w:gridSpan w:val="3"/>
          </w:tcPr>
          <w:p>
            <w:pPr>
              <w:ind w:left="860"/>
              <w:spacing w:after="0"/>
              <w:rPr>
                <w:sz w:val="20"/>
                <w:szCs w:val="20"/>
                <w:color w:val="auto"/>
              </w:rPr>
            </w:pPr>
            <w:r>
              <w:rPr>
                <w:rFonts w:ascii="Arial" w:cs="Arial" w:eastAsia="Arial" w:hAnsi="Arial"/>
                <w:sz w:val="14"/>
                <w:szCs w:val="14"/>
                <w:color w:val="auto"/>
              </w:rPr>
              <w:t>1. REQUISITION NO.</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PAGE 1 of 89</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80" w:type="dxa"/>
            <w:vAlign w:val="bottom"/>
            <w:gridSpan w:val="4"/>
          </w:tcPr>
          <w:p>
            <w:pPr>
              <w:jc w:val="right"/>
              <w:ind w:right="208"/>
              <w:spacing w:after="0" w:line="153" w:lineRule="exact"/>
              <w:rPr>
                <w:sz w:val="20"/>
                <w:szCs w:val="20"/>
                <w:color w:val="auto"/>
              </w:rPr>
            </w:pPr>
            <w:r>
              <w:rPr>
                <w:rFonts w:ascii="Arial" w:cs="Arial" w:eastAsia="Arial" w:hAnsi="Arial"/>
                <w:sz w:val="14"/>
                <w:szCs w:val="14"/>
                <w:b w:val="1"/>
                <w:bCs w:val="1"/>
                <w:color w:val="auto"/>
              </w:rPr>
              <w:t>OFFEROR TO COMPLETE BLOCKS 12, 17, 23, 24 &amp; 30</w:t>
            </w:r>
          </w:p>
        </w:tc>
        <w:tc>
          <w:tcPr>
            <w:tcW w:w="160" w:type="dxa"/>
            <w:vAlign w:val="bottom"/>
          </w:tcPr>
          <w:p>
            <w:pPr>
              <w:spacing w:after="0"/>
              <w:rPr>
                <w:sz w:val="13"/>
                <w:szCs w:val="13"/>
                <w:color w:val="auto"/>
              </w:rPr>
            </w:pPr>
          </w:p>
        </w:tc>
        <w:tc>
          <w:tcPr>
            <w:tcW w:w="2060" w:type="dxa"/>
            <w:vAlign w:val="bottom"/>
            <w:gridSpan w:val="2"/>
          </w:tcPr>
          <w:p>
            <w:pPr>
              <w:ind w:left="860"/>
              <w:spacing w:after="0" w:line="153" w:lineRule="exact"/>
              <w:rPr>
                <w:sz w:val="20"/>
                <w:szCs w:val="20"/>
                <w:color w:val="auto"/>
              </w:rPr>
            </w:pPr>
            <w:r>
              <w:rPr>
                <w:rFonts w:ascii="Arial" w:cs="Arial" w:eastAsia="Arial" w:hAnsi="Arial"/>
                <w:sz w:val="14"/>
                <w:szCs w:val="14"/>
                <w:color w:val="auto"/>
                <w:w w:val="98"/>
              </w:rPr>
              <w:t>101-17-2-335-0009</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ind w:left="860"/>
              <w:spacing w:after="0"/>
              <w:rPr>
                <w:sz w:val="20"/>
                <w:szCs w:val="20"/>
                <w:color w:val="auto"/>
              </w:rPr>
            </w:pPr>
            <w:r>
              <w:rPr>
                <w:rFonts w:ascii="Arial" w:cs="Arial" w:eastAsia="Arial" w:hAnsi="Arial"/>
                <w:sz w:val="14"/>
                <w:szCs w:val="14"/>
                <w:color w:val="auto"/>
                <w:w w:val="98"/>
              </w:rPr>
              <w:t>101-17-2-335-0010</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r>
              <w:rPr>
                <w:rFonts w:ascii="Arial" w:cs="Arial" w:eastAsia="Arial" w:hAnsi="Arial"/>
                <w:sz w:val="14"/>
                <w:szCs w:val="14"/>
                <w:color w:val="auto"/>
              </w:rPr>
              <w:t>2. CONTRACT NO.</w:t>
            </w:r>
          </w:p>
        </w:tc>
        <w:tc>
          <w:tcPr>
            <w:tcW w:w="760" w:type="dxa"/>
            <w:vAlign w:val="bottom"/>
          </w:tcPr>
          <w:p>
            <w:pPr>
              <w:ind w:left="120"/>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20"/>
                <w:szCs w:val="20"/>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 ORDER NO.</w:t>
            </w:r>
          </w:p>
        </w:tc>
        <w:tc>
          <w:tcPr>
            <w:tcW w:w="160" w:type="dxa"/>
            <w:vAlign w:val="bottom"/>
          </w:tcPr>
          <w:p>
            <w:pPr>
              <w:spacing w:after="0"/>
              <w:rPr>
                <w:sz w:val="20"/>
                <w:szCs w:val="20"/>
                <w:color w:val="auto"/>
              </w:rPr>
            </w:pPr>
          </w:p>
        </w:tc>
        <w:tc>
          <w:tcPr>
            <w:tcW w:w="2940" w:type="dxa"/>
            <w:vAlign w:val="bottom"/>
            <w:gridSpan w:val="3"/>
          </w:tcPr>
          <w:p>
            <w:pPr>
              <w:ind w:left="860"/>
              <w:spacing w:after="0"/>
              <w:rPr>
                <w:sz w:val="20"/>
                <w:szCs w:val="20"/>
                <w:color w:val="auto"/>
              </w:rPr>
            </w:pPr>
            <w:r>
              <w:rPr>
                <w:rFonts w:ascii="Arial" w:cs="Arial" w:eastAsia="Arial" w:hAnsi="Arial"/>
                <w:sz w:val="14"/>
                <w:szCs w:val="14"/>
                <w:color w:val="auto"/>
              </w:rPr>
              <w:t>5. SOLICITATION NUMBER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6. SOLICITATION ISSUE DATE</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2960" w:type="dxa"/>
            <w:vAlign w:val="bottom"/>
            <w:gridSpan w:val="3"/>
          </w:tcPr>
          <w:p>
            <w:pPr>
              <w:ind w:left="120"/>
              <w:spacing w:after="0"/>
              <w:rPr>
                <w:sz w:val="20"/>
                <w:szCs w:val="20"/>
                <w:color w:val="auto"/>
              </w:rPr>
            </w:pPr>
            <w:r>
              <w:rPr>
                <w:rFonts w:ascii="Arial" w:cs="Arial" w:eastAsia="Arial" w:hAnsi="Arial"/>
                <w:sz w:val="14"/>
                <w:szCs w:val="14"/>
                <w:color w:val="auto"/>
              </w:rPr>
              <w:t>AWARD/EFFECTIVE DATE</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880"/>
              <w:spacing w:after="0"/>
              <w:rPr>
                <w:sz w:val="20"/>
                <w:szCs w:val="20"/>
                <w:color w:val="auto"/>
              </w:rPr>
            </w:pPr>
            <w:r>
              <w:rPr>
                <w:rFonts w:ascii="Arial" w:cs="Arial" w:eastAsia="Arial" w:hAnsi="Arial"/>
                <w:sz w:val="14"/>
                <w:szCs w:val="14"/>
                <w:color w:val="auto"/>
              </w:rPr>
              <w:t>VA240-17-D-0103</w:t>
            </w:r>
          </w:p>
        </w:tc>
        <w:tc>
          <w:tcPr>
            <w:tcW w:w="760" w:type="dxa"/>
            <w:vAlign w:val="bottom"/>
            <w:vMerge w:val="restart"/>
          </w:tcPr>
          <w:p>
            <w:pPr>
              <w:ind w:left="120"/>
              <w:spacing w:after="0"/>
              <w:rPr>
                <w:sz w:val="20"/>
                <w:szCs w:val="20"/>
                <w:color w:val="auto"/>
              </w:rPr>
            </w:pPr>
            <w:r>
              <w:rPr>
                <w:rFonts w:ascii="Arial" w:cs="Arial" w:eastAsia="Arial" w:hAnsi="Arial"/>
                <w:sz w:val="14"/>
                <w:szCs w:val="14"/>
                <w:color w:val="auto"/>
                <w:w w:val="99"/>
              </w:rPr>
              <w:t>9/28/2017</w:t>
            </w: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2"/>
          </w:tcPr>
          <w:p>
            <w:pPr>
              <w:ind w:left="860"/>
              <w:spacing w:after="0"/>
              <w:rPr>
                <w:sz w:val="20"/>
                <w:szCs w:val="20"/>
                <w:color w:val="auto"/>
              </w:rPr>
            </w:pPr>
            <w:r>
              <w:rPr>
                <w:rFonts w:ascii="Arial" w:cs="Arial" w:eastAsia="Arial" w:hAnsi="Arial"/>
                <w:sz w:val="14"/>
                <w:szCs w:val="14"/>
                <w:color w:val="auto"/>
              </w:rPr>
              <w:t>VA240-17-R-0102</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07-14-2017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r>
              <w:rPr>
                <w:rFonts w:ascii="Arial" w:cs="Arial" w:eastAsia="Arial" w:hAnsi="Arial"/>
                <w:sz w:val="14"/>
                <w:szCs w:val="14"/>
                <w:color w:val="auto"/>
              </w:rPr>
              <w:t>7. FOR SOLICITATION</w:t>
            </w:r>
          </w:p>
        </w:tc>
        <w:tc>
          <w:tcPr>
            <w:tcW w:w="760" w:type="dxa"/>
            <w:vAlign w:val="bottom"/>
          </w:tcPr>
          <w:p>
            <w:pPr>
              <w:ind w:left="120"/>
              <w:spacing w:after="0"/>
              <w:rPr>
                <w:sz w:val="20"/>
                <w:szCs w:val="20"/>
                <w:color w:val="auto"/>
              </w:rPr>
            </w:pPr>
            <w:r>
              <w:rPr>
                <w:rFonts w:ascii="Arial" w:cs="Arial" w:eastAsia="Arial" w:hAnsi="Arial"/>
                <w:sz w:val="14"/>
                <w:szCs w:val="14"/>
                <w:color w:val="auto"/>
              </w:rPr>
              <w:t>a. NAME</w:t>
            </w: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ind w:left="860"/>
              <w:spacing w:after="0"/>
              <w:rPr>
                <w:sz w:val="20"/>
                <w:szCs w:val="20"/>
                <w:color w:val="auto"/>
              </w:rPr>
            </w:pPr>
            <w:r>
              <w:rPr>
                <w:rFonts w:ascii="Arial" w:cs="Arial" w:eastAsia="Arial" w:hAnsi="Arial"/>
                <w:sz w:val="14"/>
                <w:szCs w:val="14"/>
                <w:color w:val="auto"/>
                <w:w w:val="96"/>
              </w:rPr>
              <w:t>b. TELEPHONE NO. (No Collect Calls)</w:t>
            </w:r>
          </w:p>
        </w:tc>
        <w:tc>
          <w:tcPr>
            <w:tcW w:w="180" w:type="dxa"/>
            <w:vAlign w:val="bottom"/>
          </w:tcPr>
          <w:p>
            <w:pPr>
              <w:spacing w:after="0"/>
              <w:rPr>
                <w:sz w:val="20"/>
                <w:szCs w:val="20"/>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5. OFFER DUE DATE/LOCAL TIME</w:t>
            </w: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INFORMATION CALL:</w:t>
            </w:r>
          </w:p>
        </w:tc>
        <w:tc>
          <w:tcPr>
            <w:tcW w:w="7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ind w:left="10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08-29-2017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color w:val="auto"/>
              </w:rPr>
              <w:t>12:00 PM</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0"/>
                <w:szCs w:val="20"/>
                <w:color w:val="auto"/>
              </w:rPr>
            </w:pPr>
            <w:r>
              <w:rPr>
                <w:rFonts w:ascii="Arial" w:cs="Arial" w:eastAsia="Arial" w:hAnsi="Arial"/>
                <w:sz w:val="14"/>
                <w:szCs w:val="14"/>
                <w:color w:val="auto"/>
              </w:rPr>
              <w:t>9. ISSUED BY</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CODE  36c240</w:t>
            </w:r>
          </w:p>
        </w:tc>
        <w:tc>
          <w:tcPr>
            <w:tcW w:w="3380" w:type="dxa"/>
            <w:vAlign w:val="bottom"/>
            <w:gridSpan w:val="5"/>
          </w:tcPr>
          <w:p>
            <w:pPr>
              <w:ind w:left="80"/>
              <w:spacing w:after="0" w:line="161" w:lineRule="exact"/>
              <w:rPr>
                <w:sz w:val="20"/>
                <w:szCs w:val="20"/>
                <w:color w:val="auto"/>
              </w:rPr>
            </w:pPr>
            <w:r>
              <w:rPr>
                <w:rFonts w:ascii="Arial" w:cs="Arial" w:eastAsia="Arial" w:hAnsi="Arial"/>
                <w:sz w:val="14"/>
                <w:szCs w:val="14"/>
                <w:color w:val="auto"/>
              </w:rPr>
              <w:t xml:space="preserve">10. THIS ACQUISITION IS </w:t>
            </w:r>
            <w:r>
              <w:rPr>
                <w:rFonts w:ascii="MS PGothic" w:cs="MS PGothic" w:eastAsia="MS PGothic" w:hAnsi="MS PGothic"/>
                <w:sz w:val="14"/>
                <w:szCs w:val="14"/>
                <w:color w:val="auto"/>
              </w:rPr>
              <w:t>☐</w:t>
            </w:r>
            <w:r>
              <w:rPr>
                <w:rFonts w:ascii="Arial" w:cs="Arial" w:eastAsia="Arial" w:hAnsi="Arial"/>
                <w:sz w:val="14"/>
                <w:szCs w:val="14"/>
                <w:color w:val="auto"/>
              </w:rPr>
              <w:t>UNRESTRICTED OR</w:t>
            </w:r>
          </w:p>
        </w:tc>
        <w:tc>
          <w:tcPr>
            <w:tcW w:w="1800" w:type="dxa"/>
            <w:vAlign w:val="bottom"/>
            <w:gridSpan w:val="5"/>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SET ASIDE 100 % FOR</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80" w:type="dxa"/>
            <w:vAlign w:val="bottom"/>
            <w:gridSpan w:val="2"/>
          </w:tcPr>
          <w:p>
            <w:pPr>
              <w:ind w:left="280"/>
              <w:spacing w:after="0"/>
              <w:rPr>
                <w:sz w:val="20"/>
                <w:szCs w:val="20"/>
                <w:color w:val="auto"/>
              </w:rPr>
            </w:pPr>
            <w:r>
              <w:rPr>
                <w:rFonts w:ascii="Arial" w:cs="Arial" w:eastAsia="Arial" w:hAnsi="Arial"/>
                <w:sz w:val="14"/>
                <w:szCs w:val="14"/>
                <w:color w:val="auto"/>
              </w:rPr>
              <w:t>US Department of Veterans Affairs</w:t>
            </w:r>
          </w:p>
        </w:tc>
        <w:tc>
          <w:tcPr>
            <w:tcW w:w="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20" w:type="dxa"/>
            <w:vAlign w:val="bottom"/>
            <w:gridSpan w:val="2"/>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SMALL BUSINESS</w:t>
            </w:r>
          </w:p>
        </w:tc>
        <w:tc>
          <w:tcPr>
            <w:tcW w:w="2600" w:type="dxa"/>
            <w:vAlign w:val="bottom"/>
            <w:gridSpan w:val="5"/>
          </w:tcPr>
          <w:p>
            <w:pPr>
              <w:ind w:left="8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WOMEN-OWNED SMALL BUSINESS</w:t>
            </w:r>
          </w:p>
        </w:tc>
        <w:tc>
          <w:tcPr>
            <w:tcW w:w="2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120" w:type="dxa"/>
            <w:vAlign w:val="bottom"/>
          </w:tcPr>
          <w:p>
            <w:pPr>
              <w:ind w:left="280"/>
              <w:spacing w:after="0" w:line="116" w:lineRule="exact"/>
              <w:rPr>
                <w:sz w:val="20"/>
                <w:szCs w:val="20"/>
                <w:color w:val="auto"/>
              </w:rPr>
            </w:pPr>
            <w:r>
              <w:rPr>
                <w:rFonts w:ascii="Arial" w:cs="Arial" w:eastAsia="Arial" w:hAnsi="Arial"/>
                <w:sz w:val="13"/>
                <w:szCs w:val="13"/>
                <w:color w:val="auto"/>
              </w:rPr>
              <w:t>Veterans Health Administration</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72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HUBZONE SMALL</w:t>
            </w:r>
          </w:p>
        </w:tc>
        <w:tc>
          <w:tcPr>
            <w:tcW w:w="3460" w:type="dxa"/>
            <w:vAlign w:val="bottom"/>
            <w:gridSpan w:val="8"/>
            <w:vMerge w:val="restart"/>
          </w:tcPr>
          <w:p>
            <w:pPr>
              <w:ind w:left="220"/>
              <w:spacing w:after="0"/>
              <w:rPr>
                <w:sz w:val="20"/>
                <w:szCs w:val="20"/>
                <w:color w:val="auto"/>
              </w:rPr>
            </w:pPr>
            <w:r>
              <w:rPr>
                <w:rFonts w:ascii="Arial" w:cs="Arial" w:eastAsia="Arial" w:hAnsi="Arial"/>
                <w:sz w:val="14"/>
                <w:szCs w:val="14"/>
                <w:color w:val="auto"/>
              </w:rPr>
              <w:t>(WOSB) ELIGIBLE UNDER THE WOMEN-OWNED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80" w:type="dxa"/>
            <w:vAlign w:val="bottom"/>
            <w:gridSpan w:val="2"/>
            <w:vMerge w:val="restart"/>
          </w:tcPr>
          <w:p>
            <w:pPr>
              <w:ind w:left="280"/>
              <w:spacing w:after="0"/>
              <w:rPr>
                <w:sz w:val="20"/>
                <w:szCs w:val="20"/>
                <w:color w:val="auto"/>
              </w:rPr>
            </w:pPr>
            <w:r>
              <w:rPr>
                <w:rFonts w:ascii="Arial" w:cs="Arial" w:eastAsia="Arial" w:hAnsi="Arial"/>
                <w:sz w:val="14"/>
                <w:szCs w:val="14"/>
                <w:color w:val="auto"/>
              </w:rPr>
              <w:t>Service Area Office (SAO) East</w:t>
            </w:r>
          </w:p>
        </w:tc>
        <w:tc>
          <w:tcPr>
            <w:tcW w:w="5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3460" w:type="dxa"/>
            <w:vAlign w:val="bottom"/>
            <w:gridSpan w:val="8"/>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3180" w:type="dxa"/>
            <w:vAlign w:val="bottom"/>
            <w:gridSpan w:val="7"/>
          </w:tcPr>
          <w:p>
            <w:pPr>
              <w:ind w:left="220"/>
              <w:spacing w:after="0" w:line="140" w:lineRule="exact"/>
              <w:rPr>
                <w:sz w:val="20"/>
                <w:szCs w:val="20"/>
                <w:color w:val="auto"/>
              </w:rPr>
            </w:pPr>
            <w:r>
              <w:rPr>
                <w:rFonts w:ascii="Arial" w:cs="Arial" w:eastAsia="Arial" w:hAnsi="Arial"/>
                <w:sz w:val="14"/>
                <w:szCs w:val="14"/>
                <w:color w:val="auto"/>
              </w:rPr>
              <w:t>SMALL BUSINESS PROGRAM</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80" w:type="dxa"/>
            <w:vAlign w:val="bottom"/>
            <w:gridSpan w:val="2"/>
          </w:tcPr>
          <w:p>
            <w:pPr>
              <w:ind w:left="280"/>
              <w:spacing w:after="0" w:line="121" w:lineRule="exact"/>
              <w:rPr>
                <w:sz w:val="20"/>
                <w:szCs w:val="20"/>
                <w:color w:val="auto"/>
              </w:rPr>
            </w:pPr>
            <w:r>
              <w:rPr>
                <w:rFonts w:ascii="Arial" w:cs="Arial" w:eastAsia="Arial" w:hAnsi="Arial"/>
                <w:sz w:val="14"/>
                <w:szCs w:val="14"/>
                <w:color w:val="auto"/>
              </w:rPr>
              <w:t>323 North Shore Drive, Suite 500</w:t>
            </w:r>
          </w:p>
        </w:tc>
        <w:tc>
          <w:tcPr>
            <w:tcW w:w="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ind w:left="60"/>
              <w:spacing w:after="0" w:line="121" w:lineRule="exact"/>
              <w:rPr>
                <w:sz w:val="20"/>
                <w:szCs w:val="20"/>
                <w:color w:val="auto"/>
              </w:rPr>
            </w:pPr>
            <w:r>
              <w:rPr>
                <w:rFonts w:ascii="Arial" w:cs="Arial" w:eastAsia="Arial" w:hAnsi="Arial"/>
                <w:sz w:val="14"/>
                <w:szCs w:val="14"/>
                <w:color w:val="auto"/>
              </w:rPr>
              <w:t>BUSINESS</w:t>
            </w: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80"/>
              <w:spacing w:after="0"/>
              <w:rPr>
                <w:sz w:val="20"/>
                <w:szCs w:val="20"/>
                <w:color w:val="auto"/>
              </w:rPr>
            </w:pPr>
            <w:r>
              <w:rPr>
                <w:rFonts w:ascii="Arial" w:cs="Arial" w:eastAsia="Arial" w:hAnsi="Arial"/>
                <w:sz w:val="14"/>
                <w:szCs w:val="14"/>
                <w:color w:val="auto"/>
              </w:rPr>
              <w:t>Pittsburgh PA 15212-5319</w:t>
            </w: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SERVICE-DISABLED</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ind w:left="580"/>
              <w:spacing w:after="0"/>
              <w:rPr>
                <w:sz w:val="20"/>
                <w:szCs w:val="20"/>
                <w:color w:val="auto"/>
              </w:rPr>
            </w:pPr>
            <w:r>
              <w:rPr>
                <w:rFonts w:ascii="Arial" w:cs="Arial" w:eastAsia="Arial" w:hAnsi="Arial"/>
                <w:sz w:val="14"/>
                <w:szCs w:val="14"/>
                <w:color w:val="auto"/>
              </w:rPr>
              <w:t>NAICS: 541380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38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EDW058</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VETERAN-OWNED</w:t>
            </w: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SMALL BUSINESS</w:t>
            </w:r>
          </w:p>
        </w:tc>
        <w:tc>
          <w:tcPr>
            <w:tcW w:w="50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S(A)</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580"/>
              <w:spacing w:after="0"/>
              <w:rPr>
                <w:sz w:val="20"/>
                <w:szCs w:val="20"/>
                <w:color w:val="auto"/>
              </w:rPr>
            </w:pPr>
            <w:r>
              <w:rPr>
                <w:rFonts w:ascii="Arial" w:cs="Arial" w:eastAsia="Arial" w:hAnsi="Arial"/>
                <w:sz w:val="14"/>
                <w:szCs w:val="14"/>
                <w:color w:val="auto"/>
              </w:rPr>
              <w:t>SIZE STANDARD:</w:t>
            </w:r>
          </w:p>
        </w:tc>
        <w:tc>
          <w:tcPr>
            <w:tcW w:w="0" w:type="dxa"/>
            <w:vAlign w:val="bottom"/>
          </w:tcPr>
          <w:p>
            <w:pPr>
              <w:spacing w:after="0"/>
              <w:rPr>
                <w:sz w:val="1"/>
                <w:szCs w:val="1"/>
                <w:color w:val="auto"/>
              </w:rPr>
            </w:pPr>
          </w:p>
        </w:tc>
      </w:tr>
      <w:tr>
        <w:trPr>
          <w:trHeight w:val="198"/>
        </w:trPr>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Arial" w:cs="Arial" w:eastAsia="Arial" w:hAnsi="Arial"/>
                <w:sz w:val="14"/>
                <w:szCs w:val="14"/>
                <w:color w:val="auto"/>
              </w:rPr>
              <w:t>Y</w:t>
            </w:r>
          </w:p>
        </w:tc>
        <w:tc>
          <w:tcPr>
            <w:tcW w:w="1340" w:type="dxa"/>
            <w:vAlign w:val="bottom"/>
            <w:gridSpan w:val="3"/>
          </w:tcPr>
          <w:p>
            <w:pPr>
              <w:jc w:val="right"/>
              <w:ind w:right="28"/>
              <w:spacing w:after="0"/>
              <w:rPr>
                <w:sz w:val="20"/>
                <w:szCs w:val="20"/>
                <w:color w:val="auto"/>
              </w:rPr>
            </w:pPr>
            <w:r>
              <w:rPr>
                <w:rFonts w:ascii="Arial" w:cs="Arial" w:eastAsia="Arial" w:hAnsi="Arial"/>
                <w:sz w:val="14"/>
                <w:szCs w:val="14"/>
                <w:color w:val="auto"/>
              </w:rPr>
              <w:t>$15 Million</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880" w:type="dxa"/>
            <w:vAlign w:val="bottom"/>
            <w:gridSpan w:val="2"/>
          </w:tcPr>
          <w:p>
            <w:pPr>
              <w:spacing w:after="0"/>
              <w:rPr>
                <w:sz w:val="20"/>
                <w:szCs w:val="20"/>
                <w:color w:val="auto"/>
              </w:rPr>
            </w:pPr>
            <w:r>
              <w:rPr>
                <w:rFonts w:ascii="Arial" w:cs="Arial" w:eastAsia="Arial" w:hAnsi="Arial"/>
                <w:sz w:val="14"/>
                <w:szCs w:val="14"/>
                <w:color w:val="auto"/>
              </w:rPr>
              <w:t>11. DELIVERY FOR FOB DESTINATION</w:t>
            </w: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12. DISCOUNT TERMS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w w:val="98"/>
              </w:rPr>
              <w:t>13B. RATING</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UNLESS BLOCK IS MARKED</w:t>
            </w:r>
          </w:p>
        </w:tc>
        <w:tc>
          <w:tcPr>
            <w:tcW w:w="760" w:type="dxa"/>
            <w:vAlign w:val="bottom"/>
          </w:tcPr>
          <w:p>
            <w:pPr>
              <w:spacing w:after="0"/>
              <w:rPr>
                <w:sz w:val="15"/>
                <w:szCs w:val="15"/>
                <w:color w:val="auto"/>
              </w:rPr>
            </w:pPr>
          </w:p>
        </w:tc>
        <w:tc>
          <w:tcPr>
            <w:tcW w:w="2200" w:type="dxa"/>
            <w:vAlign w:val="bottom"/>
            <w:gridSpan w:val="2"/>
          </w:tcPr>
          <w:p>
            <w:pPr>
              <w:jc w:val="right"/>
              <w:ind w:right="1088"/>
              <w:spacing w:after="0"/>
              <w:rPr>
                <w:sz w:val="20"/>
                <w:szCs w:val="20"/>
                <w:color w:val="auto"/>
              </w:rPr>
            </w:pPr>
            <w:r>
              <w:rPr>
                <w:rFonts w:ascii="Arial" w:cs="Arial" w:eastAsia="Arial" w:hAnsi="Arial"/>
                <w:sz w:val="14"/>
                <w:szCs w:val="14"/>
                <w:color w:val="auto"/>
              </w:rPr>
              <w:t>See volume 4</w:t>
            </w:r>
          </w:p>
        </w:tc>
        <w:tc>
          <w:tcPr>
            <w:tcW w:w="160" w:type="dxa"/>
            <w:vAlign w:val="bottom"/>
          </w:tcPr>
          <w:p>
            <w:pPr>
              <w:spacing w:after="0"/>
              <w:rPr>
                <w:sz w:val="15"/>
                <w:szCs w:val="15"/>
                <w:color w:val="auto"/>
              </w:rPr>
            </w:pPr>
          </w:p>
        </w:tc>
        <w:tc>
          <w:tcPr>
            <w:tcW w:w="2060" w:type="dxa"/>
            <w:vAlign w:val="bottom"/>
            <w:gridSpan w:val="2"/>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13a. THIS CONTRACT IS</w:t>
            </w:r>
          </w:p>
        </w:tc>
        <w:tc>
          <w:tcPr>
            <w:tcW w:w="880" w:type="dxa"/>
            <w:vAlign w:val="bottom"/>
          </w:tcPr>
          <w:p>
            <w:pPr>
              <w:ind w:left="2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Arial" w:cs="Arial" w:eastAsia="Arial" w:hAnsi="Arial"/>
                <w:sz w:val="14"/>
                <w:szCs w:val="14"/>
                <w:color w:val="auto"/>
              </w:rPr>
              <w:t>A RATED</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ind w:left="260"/>
              <w:spacing w:after="0" w:line="140" w:lineRule="exact"/>
              <w:rPr>
                <w:sz w:val="20"/>
                <w:szCs w:val="20"/>
                <w:color w:val="auto"/>
              </w:rPr>
            </w:pPr>
            <w:r>
              <w:rPr>
                <w:rFonts w:ascii="Arial" w:cs="Arial" w:eastAsia="Arial" w:hAnsi="Arial"/>
                <w:sz w:val="14"/>
                <w:szCs w:val="14"/>
                <w:color w:val="auto"/>
              </w:rPr>
              <w:t>ORDER UNDER DPAS</w:t>
            </w:r>
          </w:p>
        </w:tc>
        <w:tc>
          <w:tcPr>
            <w:tcW w:w="2680" w:type="dxa"/>
            <w:vAlign w:val="bottom"/>
            <w:gridSpan w:val="6"/>
          </w:tcPr>
          <w:p>
            <w:pPr>
              <w:ind w:left="20"/>
              <w:spacing w:after="0" w:line="140" w:lineRule="exact"/>
              <w:rPr>
                <w:sz w:val="20"/>
                <w:szCs w:val="20"/>
                <w:color w:val="auto"/>
              </w:rPr>
            </w:pPr>
            <w:r>
              <w:rPr>
                <w:rFonts w:ascii="Arial" w:cs="Arial" w:eastAsia="Arial" w:hAnsi="Arial"/>
                <w:sz w:val="14"/>
                <w:szCs w:val="14"/>
                <w:color w:val="auto"/>
              </w:rPr>
              <w:t>14. METHOD OF SOLICITATION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120" w:type="dxa"/>
            <w:vAlign w:val="bottom"/>
            <w:vMerge w:val="restart"/>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SEE SCHEDULE</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ind w:left="260"/>
              <w:spacing w:after="0"/>
              <w:rPr>
                <w:sz w:val="20"/>
                <w:szCs w:val="20"/>
                <w:color w:val="auto"/>
              </w:rPr>
            </w:pPr>
            <w:r>
              <w:rPr>
                <w:rFonts w:ascii="Arial" w:cs="Arial" w:eastAsia="Arial" w:hAnsi="Arial"/>
                <w:sz w:val="14"/>
                <w:szCs w:val="14"/>
                <w:color w:val="auto"/>
              </w:rPr>
              <w:t>(15 CFR 700)</w:t>
            </w:r>
          </w:p>
        </w:tc>
        <w:tc>
          <w:tcPr>
            <w:tcW w:w="500" w:type="dxa"/>
            <w:vAlign w:val="bottom"/>
          </w:tcPr>
          <w:p>
            <w:pPr>
              <w:spacing w:after="0"/>
              <w:rPr>
                <w:sz w:val="19"/>
                <w:szCs w:val="19"/>
                <w:color w:val="auto"/>
              </w:rPr>
            </w:pPr>
          </w:p>
        </w:tc>
        <w:tc>
          <w:tcPr>
            <w:tcW w:w="11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RFG   </w:t>
            </w:r>
            <w:r>
              <w:rPr>
                <w:rFonts w:ascii="MS PGothic" w:cs="MS PGothic" w:eastAsia="MS PGothic" w:hAnsi="MS PGothic"/>
                <w:sz w:val="14"/>
                <w:szCs w:val="14"/>
                <w:color w:val="auto"/>
              </w:rPr>
              <w:t>☐</w:t>
            </w:r>
            <w:r>
              <w:rPr>
                <w:rFonts w:ascii="Arial" w:cs="Arial" w:eastAsia="Arial" w:hAnsi="Arial"/>
                <w:sz w:val="14"/>
                <w:szCs w:val="14"/>
                <w:color w:val="auto"/>
              </w:rPr>
              <w:t xml:space="preserve"> IFS</w:t>
            </w:r>
          </w:p>
        </w:tc>
        <w:tc>
          <w:tcPr>
            <w:tcW w:w="1520" w:type="dxa"/>
            <w:vAlign w:val="bottom"/>
            <w:gridSpan w:val="4"/>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RFP</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1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120" w:type="dxa"/>
            <w:vAlign w:val="bottom"/>
          </w:tcPr>
          <w:p>
            <w:pPr>
              <w:spacing w:after="0"/>
              <w:rPr>
                <w:sz w:val="20"/>
                <w:szCs w:val="20"/>
                <w:color w:val="auto"/>
              </w:rPr>
            </w:pPr>
            <w:r>
              <w:rPr>
                <w:rFonts w:ascii="Arial" w:cs="Arial" w:eastAsia="Arial" w:hAnsi="Arial"/>
                <w:sz w:val="14"/>
                <w:szCs w:val="14"/>
                <w:color w:val="auto"/>
              </w:rPr>
              <w:t>15. DELIVER TO</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CODE</w:t>
            </w:r>
          </w:p>
        </w:tc>
        <w:tc>
          <w:tcPr>
            <w:tcW w:w="160" w:type="dxa"/>
            <w:vAlign w:val="bottom"/>
          </w:tcPr>
          <w:p>
            <w:pPr>
              <w:spacing w:after="0"/>
              <w:rPr>
                <w:sz w:val="23"/>
                <w:szCs w:val="23"/>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16. ADMINISTERED BY</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CODE</w:t>
            </w:r>
          </w:p>
        </w:tc>
        <w:tc>
          <w:tcPr>
            <w:tcW w:w="720" w:type="dxa"/>
            <w:vAlign w:val="bottom"/>
          </w:tcPr>
          <w:p>
            <w:pPr>
              <w:ind w:left="240"/>
              <w:spacing w:after="0"/>
              <w:rPr>
                <w:sz w:val="20"/>
                <w:szCs w:val="20"/>
                <w:color w:val="auto"/>
              </w:rPr>
            </w:pPr>
            <w:r>
              <w:rPr>
                <w:rFonts w:ascii="Arial" w:cs="Arial" w:eastAsia="Arial" w:hAnsi="Arial"/>
                <w:sz w:val="14"/>
                <w:szCs w:val="14"/>
                <w:color w:val="auto"/>
                <w:w w:val="85"/>
              </w:rPr>
              <w:t>36c240e</w:t>
            </w:r>
          </w:p>
        </w:tc>
        <w:tc>
          <w:tcPr>
            <w:tcW w:w="0" w:type="dxa"/>
            <w:vAlign w:val="bottom"/>
          </w:tcPr>
          <w:p>
            <w:pPr>
              <w:spacing w:after="0"/>
              <w:rPr>
                <w:sz w:val="1"/>
                <w:szCs w:val="1"/>
                <w:color w:val="auto"/>
              </w:rPr>
            </w:pPr>
          </w:p>
        </w:tc>
      </w:tr>
      <w:tr>
        <w:trPr>
          <w:trHeight w:val="236"/>
        </w:trPr>
        <w:tc>
          <w:tcPr>
            <w:tcW w:w="2120" w:type="dxa"/>
            <w:vAlign w:val="bottom"/>
          </w:tcPr>
          <w:p>
            <w:pPr>
              <w:ind w:left="280"/>
              <w:spacing w:after="0"/>
              <w:rPr>
                <w:sz w:val="20"/>
                <w:szCs w:val="20"/>
                <w:color w:val="auto"/>
              </w:rPr>
            </w:pPr>
            <w:r>
              <w:rPr>
                <w:rFonts w:ascii="Arial" w:cs="Arial" w:eastAsia="Arial" w:hAnsi="Arial"/>
                <w:sz w:val="14"/>
                <w:szCs w:val="14"/>
                <w:color w:val="auto"/>
                <w:w w:val="94"/>
              </w:rPr>
              <w:t>Department of Veterans Affairs</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3"/>
          </w:tcPr>
          <w:p>
            <w:pPr>
              <w:ind w:left="420"/>
              <w:spacing w:after="0"/>
              <w:rPr>
                <w:sz w:val="20"/>
                <w:szCs w:val="20"/>
                <w:color w:val="auto"/>
              </w:rPr>
            </w:pPr>
            <w:r>
              <w:rPr>
                <w:rFonts w:ascii="Arial" w:cs="Arial" w:eastAsia="Arial" w:hAnsi="Arial"/>
                <w:sz w:val="14"/>
                <w:szCs w:val="14"/>
                <w:color w:val="auto"/>
              </w:rPr>
              <w:t>US Department of Veterans Affairs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80"/>
              <w:spacing w:after="0" w:line="149" w:lineRule="exact"/>
              <w:rPr>
                <w:sz w:val="20"/>
                <w:szCs w:val="20"/>
                <w:color w:val="auto"/>
              </w:rPr>
            </w:pPr>
            <w:r>
              <w:rPr>
                <w:rFonts w:ascii="Arial" w:cs="Arial" w:eastAsia="Arial" w:hAnsi="Arial"/>
                <w:sz w:val="14"/>
                <w:szCs w:val="14"/>
                <w:color w:val="auto"/>
              </w:rPr>
              <w:t>1100 First Street NE</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Veterans Health Administration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Service Area Office (SAO) East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ind w:left="280"/>
              <w:spacing w:after="0"/>
              <w:rPr>
                <w:sz w:val="20"/>
                <w:szCs w:val="20"/>
                <w:color w:val="auto"/>
              </w:rPr>
            </w:pPr>
            <w:r>
              <w:rPr>
                <w:rFonts w:ascii="Arial" w:cs="Arial" w:eastAsia="Arial" w:hAnsi="Arial"/>
                <w:sz w:val="14"/>
                <w:szCs w:val="14"/>
                <w:color w:val="auto"/>
              </w:rPr>
              <w:t>Washington DC 20002</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323 North Shore Drive, Suite 500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2"/>
            <w:vMerge w:val="restart"/>
          </w:tcPr>
          <w:p>
            <w:pPr>
              <w:ind w:left="420"/>
              <w:spacing w:after="0"/>
              <w:rPr>
                <w:sz w:val="20"/>
                <w:szCs w:val="20"/>
                <w:color w:val="auto"/>
              </w:rPr>
            </w:pPr>
            <w:r>
              <w:rPr>
                <w:rFonts w:ascii="Arial" w:cs="Arial" w:eastAsia="Arial" w:hAnsi="Arial"/>
                <w:sz w:val="14"/>
                <w:szCs w:val="14"/>
                <w:color w:val="auto"/>
                <w:w w:val="98"/>
              </w:rPr>
              <w:t>Pittsburgh PA 15212-5319</w:t>
            </w: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120" w:type="dxa"/>
            <w:vAlign w:val="bottom"/>
          </w:tcPr>
          <w:p>
            <w:pPr>
              <w:spacing w:after="0"/>
              <w:rPr>
                <w:sz w:val="20"/>
                <w:szCs w:val="20"/>
                <w:color w:val="auto"/>
              </w:rPr>
            </w:pPr>
            <w:r>
              <w:rPr>
                <w:rFonts w:ascii="Arial" w:cs="Arial" w:eastAsia="Arial" w:hAnsi="Arial"/>
                <w:sz w:val="14"/>
                <w:szCs w:val="14"/>
                <w:color w:val="auto"/>
              </w:rPr>
              <w:t>17a. CONTRACT/OFFEROR</w:t>
            </w:r>
          </w:p>
        </w:tc>
        <w:tc>
          <w:tcPr>
            <w:tcW w:w="760" w:type="dxa"/>
            <w:vAlign w:val="bottom"/>
          </w:tcPr>
          <w:p>
            <w:pPr>
              <w:spacing w:after="0"/>
              <w:rPr>
                <w:sz w:val="20"/>
                <w:szCs w:val="20"/>
                <w:color w:val="auto"/>
              </w:rPr>
            </w:pPr>
            <w:r>
              <w:rPr>
                <w:rFonts w:ascii="Arial" w:cs="Arial" w:eastAsia="Arial" w:hAnsi="Arial"/>
                <w:sz w:val="14"/>
                <w:szCs w:val="14"/>
                <w:color w:val="auto"/>
              </w:rPr>
              <w:t>CODE</w:t>
            </w:r>
          </w:p>
        </w:tc>
        <w:tc>
          <w:tcPr>
            <w:tcW w:w="580" w:type="dxa"/>
            <w:vAlign w:val="bottom"/>
          </w:tcPr>
          <w:p>
            <w:pPr>
              <w:ind w:left="40"/>
              <w:spacing w:after="0"/>
              <w:rPr>
                <w:sz w:val="20"/>
                <w:szCs w:val="20"/>
                <w:color w:val="auto"/>
              </w:rPr>
            </w:pPr>
            <w:r>
              <w:rPr>
                <w:rFonts w:ascii="Arial" w:cs="Arial" w:eastAsia="Arial" w:hAnsi="Arial"/>
                <w:sz w:val="14"/>
                <w:szCs w:val="14"/>
                <w:color w:val="auto"/>
              </w:rPr>
              <w:t>7377-1</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FACILITY CODE</w:t>
            </w:r>
          </w:p>
        </w:tc>
        <w:tc>
          <w:tcPr>
            <w:tcW w:w="160" w:type="dxa"/>
            <w:vAlign w:val="bottom"/>
          </w:tcPr>
          <w:p>
            <w:pPr>
              <w:spacing w:after="0"/>
              <w:rPr>
                <w:sz w:val="24"/>
                <w:szCs w:val="24"/>
                <w:color w:val="auto"/>
              </w:rPr>
            </w:pPr>
          </w:p>
        </w:tc>
        <w:tc>
          <w:tcPr>
            <w:tcW w:w="2940" w:type="dxa"/>
            <w:vAlign w:val="bottom"/>
            <w:gridSpan w:val="3"/>
          </w:tcPr>
          <w:p>
            <w:pPr>
              <w:ind w:left="140"/>
              <w:spacing w:after="0"/>
              <w:rPr>
                <w:sz w:val="20"/>
                <w:szCs w:val="20"/>
                <w:color w:val="auto"/>
              </w:rPr>
            </w:pPr>
            <w:r>
              <w:rPr>
                <w:rFonts w:ascii="Arial" w:cs="Arial" w:eastAsia="Arial" w:hAnsi="Arial"/>
                <w:sz w:val="14"/>
                <w:szCs w:val="14"/>
                <w:color w:val="auto"/>
              </w:rPr>
              <w:t>18a. PAYMENT WILL BE MADE BY</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4"/>
                <w:szCs w:val="14"/>
                <w:color w:val="auto"/>
                <w:w w:val="98"/>
              </w:rPr>
              <w:t>CODE</w:t>
            </w:r>
          </w:p>
        </w:tc>
        <w:tc>
          <w:tcPr>
            <w:tcW w:w="720" w:type="dxa"/>
            <w:vAlign w:val="bottom"/>
          </w:tcPr>
          <w:p>
            <w:pPr>
              <w:ind w:left="240"/>
              <w:spacing w:after="0"/>
              <w:rPr>
                <w:sz w:val="20"/>
                <w:szCs w:val="20"/>
                <w:color w:val="auto"/>
              </w:rPr>
            </w:pPr>
            <w:r>
              <w:rPr>
                <w:rFonts w:ascii="Arial" w:cs="Arial" w:eastAsia="Arial" w:hAnsi="Arial"/>
                <w:sz w:val="14"/>
                <w:szCs w:val="14"/>
                <w:color w:val="auto"/>
              </w:rPr>
              <w:t>36c24e</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Personalis Inc</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vMerge w:val="restart"/>
          </w:tcPr>
          <w:p>
            <w:pPr>
              <w:ind w:left="140"/>
              <w:spacing w:after="0"/>
              <w:rPr>
                <w:sz w:val="20"/>
                <w:szCs w:val="20"/>
                <w:color w:val="auto"/>
              </w:rPr>
            </w:pPr>
            <w:r>
              <w:rPr>
                <w:rFonts w:ascii="Arial" w:cs="Arial" w:eastAsia="Arial" w:hAnsi="Arial"/>
                <w:sz w:val="14"/>
                <w:szCs w:val="14"/>
                <w:color w:val="auto"/>
              </w:rPr>
              <w:t>US Department of Veterans Affairs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4"/>
                <w:szCs w:val="14"/>
                <w:color w:val="auto"/>
              </w:rPr>
              <w:t>1330 O’Brien Drive</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line="157" w:lineRule="exact"/>
              <w:rPr>
                <w:sz w:val="20"/>
                <w:szCs w:val="20"/>
                <w:color w:val="auto"/>
              </w:rPr>
            </w:pPr>
            <w:r>
              <w:rPr>
                <w:rFonts w:ascii="Arial" w:cs="Arial" w:eastAsia="Arial" w:hAnsi="Arial"/>
                <w:sz w:val="14"/>
                <w:szCs w:val="14"/>
                <w:color w:val="auto"/>
              </w:rPr>
              <w:t>Menlo Park</w:t>
            </w: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2"/>
          </w:tcPr>
          <w:p>
            <w:pPr>
              <w:ind w:left="140"/>
              <w:spacing w:after="0" w:line="157" w:lineRule="exact"/>
              <w:rPr>
                <w:sz w:val="20"/>
                <w:szCs w:val="20"/>
                <w:color w:val="auto"/>
              </w:rPr>
            </w:pPr>
            <w:r>
              <w:rPr>
                <w:rFonts w:ascii="Arial" w:cs="Arial" w:eastAsia="Arial" w:hAnsi="Arial"/>
                <w:sz w:val="14"/>
                <w:szCs w:val="14"/>
                <w:color w:val="auto"/>
                <w:w w:val="94"/>
              </w:rPr>
              <w:t>Financial Services Center (FSC)</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CA 94025</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ind w:left="140"/>
              <w:spacing w:after="0"/>
              <w:rPr>
                <w:sz w:val="20"/>
                <w:szCs w:val="20"/>
                <w:color w:val="auto"/>
              </w:rPr>
            </w:pPr>
            <w:r>
              <w:rPr>
                <w:rFonts w:ascii="Arial" w:cs="Arial" w:eastAsia="Arial" w:hAnsi="Arial"/>
                <w:sz w:val="14"/>
                <w:szCs w:val="14"/>
                <w:color w:val="auto"/>
              </w:rPr>
              <w:t>P.O. Box 149971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Arial" w:cs="Arial" w:eastAsia="Arial" w:hAnsi="Arial"/>
                <w:sz w:val="14"/>
                <w:szCs w:val="14"/>
                <w:color w:val="auto"/>
              </w:rPr>
              <w:t>Austin TX 78734-8971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ind w:left="140"/>
              <w:spacing w:after="0"/>
              <w:rPr>
                <w:sz w:val="20"/>
                <w:szCs w:val="20"/>
                <w:color w:val="auto"/>
              </w:rPr>
            </w:pPr>
            <w:r>
              <w:rPr>
                <w:rFonts w:ascii="Arial" w:cs="Arial" w:eastAsia="Arial" w:hAnsi="Arial"/>
                <w:sz w:val="14"/>
                <w:szCs w:val="14"/>
                <w:color w:val="auto"/>
              </w:rPr>
              <w:t>PHONE:</w:t>
            </w:r>
          </w:p>
        </w:tc>
        <w:tc>
          <w:tcPr>
            <w:tcW w:w="500" w:type="dxa"/>
            <w:vAlign w:val="bottom"/>
          </w:tcPr>
          <w:p>
            <w:pPr>
              <w:ind w:left="140"/>
              <w:spacing w:after="0"/>
              <w:rPr>
                <w:sz w:val="20"/>
                <w:szCs w:val="20"/>
                <w:color w:val="auto"/>
              </w:rPr>
            </w:pPr>
            <w:r>
              <w:rPr>
                <w:rFonts w:ascii="Arial" w:cs="Arial" w:eastAsia="Arial" w:hAnsi="Arial"/>
                <w:sz w:val="14"/>
                <w:szCs w:val="14"/>
                <w:color w:val="auto"/>
              </w:rPr>
              <w:t>FAX:</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120" w:type="dxa"/>
            <w:vAlign w:val="bottom"/>
          </w:tcPr>
          <w:p>
            <w:pPr>
              <w:spacing w:after="0"/>
              <w:rPr>
                <w:sz w:val="20"/>
                <w:szCs w:val="20"/>
                <w:color w:val="auto"/>
              </w:rPr>
            </w:pPr>
            <w:r>
              <w:rPr>
                <w:rFonts w:ascii="Arial" w:cs="Arial" w:eastAsia="Arial" w:hAnsi="Arial"/>
                <w:sz w:val="14"/>
                <w:szCs w:val="14"/>
                <w:color w:val="auto"/>
              </w:rPr>
              <w:t>TELEPHONE NO 650-752-1330</w:t>
            </w:r>
          </w:p>
        </w:tc>
        <w:tc>
          <w:tcPr>
            <w:tcW w:w="760" w:type="dxa"/>
            <w:vAlign w:val="bottom"/>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DUNS 078325220 DUNS -4</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740" w:type="dxa"/>
            <w:vAlign w:val="bottom"/>
            <w:gridSpan w:val="10"/>
          </w:tcPr>
          <w:p>
            <w:pPr>
              <w:jc w:val="center"/>
              <w:ind w:left="528"/>
              <w:spacing w:after="0"/>
              <w:rPr>
                <w:sz w:val="20"/>
                <w:szCs w:val="20"/>
                <w:color w:val="auto"/>
              </w:rPr>
            </w:pPr>
            <w:r>
              <w:rPr>
                <w:rFonts w:ascii="Arial" w:cs="Arial" w:eastAsia="Arial" w:hAnsi="Arial"/>
                <w:sz w:val="14"/>
                <w:szCs w:val="14"/>
                <w:color w:val="auto"/>
                <w:w w:val="98"/>
              </w:rPr>
              <w:t>18b. SUBMIT INVOICES TO ADDRESS SHOWN IN BLOCK 18a UNLESS BLOCK</w:t>
            </w:r>
          </w:p>
        </w:tc>
        <w:tc>
          <w:tcPr>
            <w:tcW w:w="0" w:type="dxa"/>
            <w:vAlign w:val="bottom"/>
          </w:tcPr>
          <w:p>
            <w:pPr>
              <w:spacing w:after="0"/>
              <w:rPr>
                <w:sz w:val="1"/>
                <w:szCs w:val="1"/>
                <w:color w:val="auto"/>
              </w:rPr>
            </w:pPr>
          </w:p>
        </w:tc>
      </w:tr>
      <w:tr>
        <w:trPr>
          <w:trHeight w:val="140"/>
        </w:trPr>
        <w:tc>
          <w:tcPr>
            <w:tcW w:w="6800" w:type="dxa"/>
            <w:vAlign w:val="bottom"/>
            <w:gridSpan w:val="6"/>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17b. CHECK IF REMITTANCE IS DIFFERENT AND PUT SUCH ADDRESS IN OFFER</w:t>
            </w:r>
          </w:p>
        </w:tc>
        <w:tc>
          <w:tcPr>
            <w:tcW w:w="500" w:type="dxa"/>
            <w:vAlign w:val="bottom"/>
          </w:tcPr>
          <w:p>
            <w:pPr>
              <w:spacing w:after="0"/>
              <w:rPr>
                <w:sz w:val="12"/>
                <w:szCs w:val="12"/>
                <w:color w:val="auto"/>
              </w:rPr>
            </w:pPr>
          </w:p>
        </w:tc>
        <w:tc>
          <w:tcPr>
            <w:tcW w:w="2680" w:type="dxa"/>
            <w:vAlign w:val="bottom"/>
            <w:gridSpan w:val="6"/>
          </w:tcPr>
          <w:p>
            <w:pPr>
              <w:jc w:val="center"/>
              <w:ind w:right="388"/>
              <w:spacing w:after="0" w:line="140" w:lineRule="exact"/>
              <w:rPr>
                <w:sz w:val="20"/>
                <w:szCs w:val="20"/>
                <w:color w:val="auto"/>
              </w:rPr>
            </w:pPr>
            <w:r>
              <w:rPr>
                <w:rFonts w:ascii="Arial" w:cs="Arial" w:eastAsia="Arial" w:hAnsi="Arial"/>
                <w:sz w:val="14"/>
                <w:szCs w:val="14"/>
                <w:color w:val="auto"/>
                <w:w w:val="98"/>
              </w:rPr>
              <w:t>BELOW IS CHECKED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800" w:type="dxa"/>
            <w:vAlign w:val="bottom"/>
            <w:gridSpan w:val="6"/>
            <w:vMerge w:val="continue"/>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gridSpan w:val="6"/>
          </w:tcPr>
          <w:p>
            <w:pPr>
              <w:jc w:val="center"/>
              <w:ind w:right="388"/>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SEE ADDENDUM</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440"/>
              <w:spacing w:after="0"/>
              <w:rPr>
                <w:sz w:val="20"/>
                <w:szCs w:val="20"/>
                <w:color w:val="auto"/>
              </w:rPr>
            </w:pPr>
            <w:r>
              <w:rPr>
                <w:rFonts w:ascii="Arial" w:cs="Arial" w:eastAsia="Arial" w:hAnsi="Arial"/>
                <w:sz w:val="14"/>
                <w:szCs w:val="14"/>
                <w:color w:val="auto"/>
              </w:rPr>
              <w:t>19.</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tcPr>
          <w:p>
            <w:pPr>
              <w:jc w:val="right"/>
              <w:ind w:right="1308"/>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9"/>
                <w:szCs w:val="19"/>
                <w:color w:val="auto"/>
              </w:rPr>
            </w:pPr>
          </w:p>
        </w:tc>
        <w:tc>
          <w:tcPr>
            <w:tcW w:w="1560" w:type="dxa"/>
            <w:vAlign w:val="bottom"/>
          </w:tcPr>
          <w:p>
            <w:pPr>
              <w:ind w:left="1200"/>
              <w:spacing w:after="0"/>
              <w:rPr>
                <w:sz w:val="20"/>
                <w:szCs w:val="20"/>
                <w:color w:val="auto"/>
              </w:rPr>
            </w:pPr>
            <w:r>
              <w:rPr>
                <w:rFonts w:ascii="Arial" w:cs="Arial" w:eastAsia="Arial" w:hAnsi="Arial"/>
                <w:sz w:val="14"/>
                <w:szCs w:val="14"/>
                <w:color w:val="auto"/>
              </w:rPr>
              <w:t>21.</w:t>
            </w:r>
          </w:p>
        </w:tc>
        <w:tc>
          <w:tcPr>
            <w:tcW w:w="500" w:type="dxa"/>
            <w:vAlign w:val="bottom"/>
          </w:tcPr>
          <w:p>
            <w:pPr>
              <w:spacing w:after="0"/>
              <w:rPr>
                <w:sz w:val="19"/>
                <w:szCs w:val="19"/>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4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120" w:type="dxa"/>
            <w:vAlign w:val="bottom"/>
          </w:tcPr>
          <w:p>
            <w:pPr>
              <w:ind w:left="200"/>
              <w:spacing w:after="0"/>
              <w:rPr>
                <w:sz w:val="20"/>
                <w:szCs w:val="20"/>
                <w:color w:val="auto"/>
              </w:rPr>
            </w:pPr>
            <w:r>
              <w:rPr>
                <w:rFonts w:ascii="Arial" w:cs="Arial" w:eastAsia="Arial" w:hAnsi="Arial"/>
                <w:sz w:val="14"/>
                <w:szCs w:val="14"/>
                <w:color w:val="auto"/>
              </w:rPr>
              <w:t>ITEM NO.</w:t>
            </w:r>
          </w:p>
        </w:tc>
        <w:tc>
          <w:tcPr>
            <w:tcW w:w="2960" w:type="dxa"/>
            <w:vAlign w:val="bottom"/>
            <w:gridSpan w:val="3"/>
          </w:tcPr>
          <w:p>
            <w:pPr>
              <w:jc w:val="right"/>
              <w:ind w:right="228"/>
              <w:spacing w:after="0"/>
              <w:rPr>
                <w:sz w:val="20"/>
                <w:szCs w:val="20"/>
                <w:color w:val="auto"/>
              </w:rPr>
            </w:pPr>
            <w:r>
              <w:rPr>
                <w:rFonts w:ascii="Arial" w:cs="Arial" w:eastAsia="Arial" w:hAnsi="Arial"/>
                <w:sz w:val="14"/>
                <w:szCs w:val="14"/>
                <w:color w:val="auto"/>
              </w:rPr>
              <w:t>SCHEDULE OF SUPPLIES/SERVICES</w:t>
            </w:r>
          </w:p>
        </w:tc>
        <w:tc>
          <w:tcPr>
            <w:tcW w:w="160" w:type="dxa"/>
            <w:vAlign w:val="bottom"/>
          </w:tcPr>
          <w:p>
            <w:pPr>
              <w:spacing w:after="0"/>
              <w:rPr>
                <w:sz w:val="14"/>
                <w:szCs w:val="14"/>
                <w:color w:val="auto"/>
              </w:rPr>
            </w:pPr>
          </w:p>
        </w:tc>
        <w:tc>
          <w:tcPr>
            <w:tcW w:w="2060" w:type="dxa"/>
            <w:vAlign w:val="bottom"/>
            <w:gridSpan w:val="2"/>
          </w:tcPr>
          <w:p>
            <w:pPr>
              <w:ind w:left="920"/>
              <w:spacing w:after="0"/>
              <w:rPr>
                <w:sz w:val="20"/>
                <w:szCs w:val="20"/>
                <w:color w:val="auto"/>
              </w:rPr>
            </w:pPr>
            <w:r>
              <w:rPr>
                <w:rFonts w:ascii="Arial" w:cs="Arial" w:eastAsia="Arial" w:hAnsi="Arial"/>
                <w:sz w:val="14"/>
                <w:szCs w:val="14"/>
                <w:color w:val="auto"/>
              </w:rPr>
              <w:t>QUANTITY</w:t>
            </w:r>
          </w:p>
        </w:tc>
        <w:tc>
          <w:tcPr>
            <w:tcW w:w="880" w:type="dxa"/>
            <w:vAlign w:val="bottom"/>
          </w:tcPr>
          <w:p>
            <w:pPr>
              <w:ind w:left="60"/>
              <w:spacing w:after="0"/>
              <w:rPr>
                <w:sz w:val="20"/>
                <w:szCs w:val="20"/>
                <w:color w:val="auto"/>
              </w:rPr>
            </w:pPr>
            <w:r>
              <w:rPr>
                <w:rFonts w:ascii="Arial" w:cs="Arial" w:eastAsia="Arial" w:hAnsi="Arial"/>
                <w:sz w:val="14"/>
                <w:szCs w:val="14"/>
                <w:color w:val="auto"/>
              </w:rPr>
              <w:t>UNIT</w:t>
            </w:r>
          </w:p>
        </w:tc>
        <w:tc>
          <w:tcPr>
            <w:tcW w:w="28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color w:val="auto"/>
              </w:rPr>
              <w:t>UNIT PRICE</w:t>
            </w:r>
          </w:p>
        </w:tc>
        <w:tc>
          <w:tcPr>
            <w:tcW w:w="1000" w:type="dxa"/>
            <w:vAlign w:val="bottom"/>
            <w:gridSpan w:val="2"/>
          </w:tcPr>
          <w:p>
            <w:pPr>
              <w:jc w:val="center"/>
              <w:ind w:right="10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82"/>
        </w:trPr>
        <w:tc>
          <w:tcPr>
            <w:tcW w:w="5080" w:type="dxa"/>
            <w:vAlign w:val="bottom"/>
            <w:gridSpan w:val="4"/>
          </w:tcPr>
          <w:p>
            <w:pPr>
              <w:ind w:left="1160"/>
              <w:spacing w:after="0"/>
              <w:rPr>
                <w:sz w:val="20"/>
                <w:szCs w:val="20"/>
                <w:color w:val="auto"/>
              </w:rPr>
            </w:pPr>
            <w:r>
              <w:rPr>
                <w:rFonts w:ascii="Arial" w:cs="Arial" w:eastAsia="Arial" w:hAnsi="Arial"/>
                <w:sz w:val="14"/>
                <w:szCs w:val="14"/>
                <w:color w:val="auto"/>
              </w:rPr>
              <w:t>Whole Genome Sequencing IAM Statement of Work</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3460" w:type="dxa"/>
            <w:vAlign w:val="bottom"/>
            <w:gridSpan w:val="3"/>
          </w:tcPr>
          <w:p>
            <w:pPr>
              <w:ind w:left="1160"/>
              <w:spacing w:after="0"/>
              <w:rPr>
                <w:sz w:val="20"/>
                <w:szCs w:val="20"/>
                <w:color w:val="auto"/>
              </w:rPr>
            </w:pPr>
            <w:r>
              <w:rPr>
                <w:rFonts w:ascii="Arial" w:cs="Arial" w:eastAsia="Arial" w:hAnsi="Arial"/>
                <w:sz w:val="14"/>
                <w:szCs w:val="14"/>
                <w:color w:val="auto"/>
                <w:w w:val="94"/>
              </w:rPr>
              <w:t>See Volume 4 of proposal for schedule</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0"/>
        </w:trPr>
        <w:tc>
          <w:tcPr>
            <w:tcW w:w="5080" w:type="dxa"/>
            <w:vAlign w:val="bottom"/>
            <w:gridSpan w:val="4"/>
          </w:tcPr>
          <w:p>
            <w:pPr>
              <w:ind w:left="1160"/>
              <w:spacing w:after="0"/>
              <w:rPr>
                <w:sz w:val="20"/>
                <w:szCs w:val="20"/>
                <w:color w:val="auto"/>
              </w:rPr>
            </w:pPr>
            <w:r>
              <w:rPr>
                <w:rFonts w:ascii="Arial" w:cs="Arial" w:eastAsia="Arial" w:hAnsi="Arial"/>
                <w:sz w:val="14"/>
                <w:szCs w:val="14"/>
                <w:color w:val="auto"/>
              </w:rPr>
              <w:t>(Use Reverse and/or Attach Additional Sheets as Necessary)</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gridSpan w:val="3"/>
          </w:tcPr>
          <w:p>
            <w:pPr>
              <w:spacing w:after="0"/>
              <w:rPr>
                <w:sz w:val="20"/>
                <w:szCs w:val="20"/>
                <w:color w:val="auto"/>
              </w:rPr>
            </w:pPr>
            <w:r>
              <w:rPr>
                <w:rFonts w:ascii="Arial" w:cs="Arial" w:eastAsia="Arial" w:hAnsi="Arial"/>
                <w:sz w:val="14"/>
                <w:szCs w:val="14"/>
                <w:color w:val="auto"/>
              </w:rPr>
              <w:t>25. ACCOUNTING AND APPROPRIATION DATA</w:t>
            </w: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60" w:type="dxa"/>
            <w:vAlign w:val="bottom"/>
            <w:gridSpan w:val="8"/>
          </w:tcPr>
          <w:p>
            <w:pPr>
              <w:ind w:left="220"/>
              <w:spacing w:after="0"/>
              <w:rPr>
                <w:sz w:val="20"/>
                <w:szCs w:val="20"/>
                <w:color w:val="auto"/>
              </w:rPr>
            </w:pPr>
            <w:r>
              <w:rPr>
                <w:rFonts w:ascii="Arial" w:cs="Arial" w:eastAsia="Arial" w:hAnsi="Arial"/>
                <w:sz w:val="14"/>
                <w:szCs w:val="14"/>
                <w:color w:val="auto"/>
                <w:w w:val="99"/>
              </w:rPr>
              <w:t>26. TOTAL AWARD AMOUNT (For Govt. Use Only)</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$.0.00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00" w:type="dxa"/>
            <w:vAlign w:val="bottom"/>
            <w:gridSpan w:val="7"/>
          </w:tcPr>
          <w:p>
            <w:pPr>
              <w:spacing w:after="0" w:line="161" w:lineRule="exact"/>
              <w:rPr>
                <w:sz w:val="20"/>
                <w:szCs w:val="20"/>
                <w:color w:val="auto"/>
              </w:rPr>
            </w:pPr>
            <w:r>
              <w:rPr>
                <w:rFonts w:ascii="MS PGothic" w:cs="MS PGothic" w:eastAsia="MS PGothic" w:hAnsi="MS PGothic"/>
                <w:sz w:val="14"/>
                <w:szCs w:val="14"/>
                <w:color w:val="auto"/>
                <w:w w:val="97"/>
              </w:rPr>
              <w:t>☐</w:t>
            </w:r>
            <w:r>
              <w:rPr>
                <w:rFonts w:ascii="Arial" w:cs="Arial" w:eastAsia="Arial" w:hAnsi="Arial"/>
                <w:sz w:val="14"/>
                <w:szCs w:val="14"/>
                <w:color w:val="auto"/>
                <w:w w:val="97"/>
              </w:rPr>
              <w:t xml:space="preserve"> 27a. SOLICITATION INCORPORATES BY REFERENCE FAR 52.212-1. 52.212-4. FAR 52.212-3 AND 52.212-5 ARE</w:t>
            </w:r>
          </w:p>
        </w:tc>
        <w:tc>
          <w:tcPr>
            <w:tcW w:w="88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ARE</w:t>
            </w:r>
          </w:p>
        </w:tc>
        <w:tc>
          <w:tcPr>
            <w:tcW w:w="1800" w:type="dxa"/>
            <w:vAlign w:val="bottom"/>
            <w:gridSpan w:val="5"/>
          </w:tcPr>
          <w:p>
            <w:pPr>
              <w:jc w:val="right"/>
              <w:ind w:right="4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ARE NOT ATTACHED.</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ATTACHED. ADDENDA</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00" w:type="dxa"/>
            <w:vAlign w:val="bottom"/>
            <w:gridSpan w:val="6"/>
          </w:tcPr>
          <w:p>
            <w:pPr>
              <w:spacing w:after="0" w:line="161" w:lineRule="exact"/>
              <w:rPr>
                <w:sz w:val="20"/>
                <w:szCs w:val="20"/>
                <w:color w:val="auto"/>
              </w:rPr>
            </w:pPr>
            <w:r>
              <w:rPr>
                <w:rFonts w:ascii="MS PGothic" w:cs="MS PGothic" w:eastAsia="MS PGothic" w:hAnsi="MS PGothic"/>
                <w:sz w:val="14"/>
                <w:szCs w:val="14"/>
                <w:color w:val="auto"/>
                <w:w w:val="97"/>
              </w:rPr>
              <w:t>☒</w:t>
            </w:r>
            <w:r>
              <w:rPr>
                <w:rFonts w:ascii="Arial" w:cs="Arial" w:eastAsia="Arial" w:hAnsi="Arial"/>
                <w:sz w:val="14"/>
                <w:szCs w:val="14"/>
                <w:color w:val="auto"/>
                <w:w w:val="97"/>
              </w:rPr>
              <w:t xml:space="preserve"> 27b. CONTRACT/PURCHASE ORDER INCORPORATES BY REFERENCE FAR 52.212-4. FAR 52-212-5 IS</w:t>
            </w:r>
          </w:p>
        </w:tc>
        <w:tc>
          <w:tcPr>
            <w:tcW w:w="500" w:type="dxa"/>
            <w:vAlign w:val="bottom"/>
          </w:tcPr>
          <w:p>
            <w:pPr>
              <w:spacing w:after="0"/>
              <w:rPr>
                <w:sz w:val="21"/>
                <w:szCs w:val="21"/>
                <w:color w:val="auto"/>
              </w:rPr>
            </w:pPr>
          </w:p>
        </w:tc>
        <w:tc>
          <w:tcPr>
            <w:tcW w:w="88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ARE</w:t>
            </w:r>
          </w:p>
        </w:tc>
        <w:tc>
          <w:tcPr>
            <w:tcW w:w="1800" w:type="dxa"/>
            <w:vAlign w:val="bottom"/>
            <w:gridSpan w:val="5"/>
          </w:tcPr>
          <w:p>
            <w:pPr>
              <w:jc w:val="right"/>
              <w:ind w:right="4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ARE NOT ATTACHED.</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ATTACHED. ADDENDA.</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010"/>
          </w:cols>
          <w:pgMar w:left="450" w:top="121" w:right="439" w:bottom="795" w:gutter="0" w:footer="0" w:header="0"/>
        </w:sectPr>
      </w:pPr>
    </w:p>
    <w:p>
      <w:pPr>
        <w:ind w:left="10"/>
        <w:spacing w:after="0" w:line="161" w:lineRule="exact"/>
        <w:tabs>
          <w:tab w:leader="none" w:pos="5229" w:val="left"/>
          <w:tab w:leader="none" w:pos="5469"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28. CONTRACTOR IS REQUIRED TO SIGN THIS DOCUMENT AND RETURN</w:t>
        <w:tab/>
        <w:t>1</w:t>
      </w:r>
      <w:r>
        <w:rPr>
          <w:sz w:val="20"/>
          <w:szCs w:val="20"/>
          <w:color w:val="auto"/>
        </w:rPr>
        <w:tab/>
      </w:r>
      <w:r>
        <w:rPr>
          <w:rFonts w:ascii="Arial" w:cs="Arial" w:eastAsia="Arial" w:hAnsi="Arial"/>
          <w:sz w:val="13"/>
          <w:szCs w:val="13"/>
          <w:color w:val="auto"/>
        </w:rPr>
        <w:t>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12700</wp:posOffset>
            </wp:positionV>
            <wp:extent cx="22796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20" w:lineRule="exact"/>
        <w:rPr>
          <w:sz w:val="20"/>
          <w:szCs w:val="20"/>
          <w:color w:val="auto"/>
        </w:rPr>
      </w:pPr>
    </w:p>
    <w:p>
      <w:pPr>
        <w:ind w:left="210"/>
        <w:spacing w:after="0" w:line="232" w:lineRule="auto"/>
        <w:rPr>
          <w:sz w:val="20"/>
          <w:szCs w:val="20"/>
          <w:color w:val="auto"/>
        </w:rPr>
      </w:pPr>
      <w:r>
        <w:rPr>
          <w:rFonts w:ascii="Arial" w:cs="Arial" w:eastAsia="Arial" w:hAnsi="Arial"/>
          <w:sz w:val="14"/>
          <w:szCs w:val="14"/>
          <w:color w:val="auto"/>
        </w:rPr>
        <w:t>ISSUING OFFICE. CONTRACTOR AGREES TO FURNISH AND DELIVER ALL ITEMS SET FORTH OR OTHERWISE IDENTIFIED ABOVE AND ON ANY ADDITIONAL SHEETS SUBJECT TO THE TERMS AND CONDITIONS SPECIFIED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19" w:right="100" w:hanging="219"/>
        <w:spacing w:after="0" w:line="238" w:lineRule="auto"/>
        <w:tabs>
          <w:tab w:leader="none" w:pos="203" w:val="left"/>
        </w:tabs>
        <w:numPr>
          <w:ilvl w:val="0"/>
          <w:numId w:val="405"/>
        </w:numPr>
        <w:rPr>
          <w:rFonts w:ascii="MS PGothic" w:cs="MS PGothic" w:eastAsia="MS PGothic" w:hAnsi="MS PGothic"/>
          <w:sz w:val="14"/>
          <w:szCs w:val="14"/>
          <w:color w:val="auto"/>
        </w:rPr>
      </w:pPr>
      <w:r>
        <w:rPr>
          <w:rFonts w:ascii="Arial" w:cs="Arial" w:eastAsia="Arial" w:hAnsi="Arial"/>
          <w:sz w:val="14"/>
          <w:szCs w:val="14"/>
          <w:color w:val="auto"/>
        </w:rPr>
        <w:t xml:space="preserve">29. AWARD OF CONTRACT: REF. </w:t>
      </w:r>
      <w:r>
        <w:rPr>
          <w:rFonts w:ascii="Arial" w:cs="Arial" w:eastAsia="Arial" w:hAnsi="Arial"/>
          <w:sz w:val="14"/>
          <w:szCs w:val="14"/>
          <w:u w:val="single" w:color="auto"/>
          <w:color w:val="auto"/>
        </w:rPr>
        <w:t>Personalis proposal</w:t>
      </w:r>
      <w:r>
        <w:rPr>
          <w:rFonts w:ascii="Arial" w:cs="Arial" w:eastAsia="Arial" w:hAnsi="Arial"/>
          <w:sz w:val="14"/>
          <w:szCs w:val="14"/>
          <w:color w:val="auto"/>
        </w:rPr>
        <w:t xml:space="preserve"> OFFER DATED </w:t>
      </w:r>
      <w:r>
        <w:rPr>
          <w:rFonts w:ascii="Arial" w:cs="Arial" w:eastAsia="Arial" w:hAnsi="Arial"/>
          <w:sz w:val="14"/>
          <w:szCs w:val="14"/>
          <w:u w:val="single" w:color="auto"/>
          <w:color w:val="auto"/>
        </w:rPr>
        <w:t>8/28/2017</w:t>
      </w:r>
      <w:r>
        <w:rPr>
          <w:rFonts w:ascii="Arial" w:cs="Arial" w:eastAsia="Arial" w:hAnsi="Arial"/>
          <w:sz w:val="14"/>
          <w:szCs w:val="14"/>
          <w:color w:val="auto"/>
        </w:rPr>
        <w:t xml:space="preserve"> YOUR OFFER ON SOLICITATION (BLOCK 5), INCLUDING ANY ADDITIONS OR CHANGES WHICH ARE SET FORTH HEREIN IS ACCEPTED AS TO ITEMS.</w:t>
      </w:r>
    </w:p>
    <w:p>
      <w:pPr>
        <w:spacing w:after="0" w:line="64" w:lineRule="exact"/>
        <w:rPr>
          <w:sz w:val="20"/>
          <w:szCs w:val="20"/>
          <w:color w:val="auto"/>
        </w:rPr>
      </w:pPr>
    </w:p>
    <w:p>
      <w:pPr>
        <w:sectPr>
          <w:pgSz w:w="11900" w:h="16838" w:orient="portrait"/>
          <w:cols w:equalWidth="0" w:num="2">
            <w:col w:w="6390" w:space="261"/>
            <w:col w:w="4359"/>
          </w:cols>
          <w:pgMar w:left="450" w:top="121" w:right="439" w:bottom="795" w:gutter="0" w:footer="0" w:header="0"/>
          <w:type w:val="continuous"/>
        </w:sectPr>
      </w:pPr>
    </w:p>
    <w:tbl>
      <w:tblPr>
        <w:tblLayout w:type="fixed"/>
        <w:tblInd w:w="1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Arial" w:cs="Arial" w:eastAsia="Arial" w:hAnsi="Arial"/>
                <w:sz w:val="14"/>
                <w:szCs w:val="14"/>
                <w:color w:val="auto"/>
              </w:rPr>
              <w:t>30a. SIGNATURE OF OFFEROR/CONTRACTOR</w:t>
            </w:r>
          </w:p>
        </w:tc>
        <w:tc>
          <w:tcPr>
            <w:tcW w:w="172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31a. UNITED STATES OF AMERICA (SIGNATURE OF</w:t>
            </w:r>
          </w:p>
        </w:tc>
        <w:tc>
          <w:tcPr>
            <w:tcW w:w="1560" w:type="dxa"/>
            <w:vAlign w:val="bottom"/>
          </w:tcPr>
          <w:p>
            <w:pPr>
              <w:spacing w:after="0"/>
              <w:rPr>
                <w:sz w:val="14"/>
                <w:szCs w:val="14"/>
                <w:color w:val="auto"/>
              </w:rPr>
            </w:pPr>
          </w:p>
        </w:tc>
      </w:tr>
      <w:tr>
        <w:trPr>
          <w:trHeight w:val="182"/>
        </w:trPr>
        <w:tc>
          <w:tcPr>
            <w:tcW w:w="3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CONTRACTING OFFICER)</w:t>
            </w:r>
          </w:p>
        </w:tc>
        <w:tc>
          <w:tcPr>
            <w:tcW w:w="1560" w:type="dxa"/>
            <w:vAlign w:val="bottom"/>
          </w:tcPr>
          <w:p>
            <w:pPr>
              <w:spacing w:after="0"/>
              <w:rPr>
                <w:sz w:val="15"/>
                <w:szCs w:val="15"/>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14"/>
                <w:szCs w:val="14"/>
                <w:color w:val="auto"/>
              </w:rPr>
              <w:t>/s/ Carol J Tillis, VP Finance</w:t>
            </w:r>
          </w:p>
        </w:tc>
        <w:tc>
          <w:tcPr>
            <w:tcW w:w="172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/s/ Keith Costantino</w:t>
            </w:r>
          </w:p>
        </w:tc>
        <w:tc>
          <w:tcPr>
            <w:tcW w:w="1560" w:type="dxa"/>
            <w:vAlign w:val="bottom"/>
          </w:tcPr>
          <w:p>
            <w:pPr>
              <w:spacing w:after="0"/>
              <w:rPr>
                <w:sz w:val="24"/>
                <w:szCs w:val="24"/>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4"/>
                <w:szCs w:val="14"/>
                <w:color w:val="auto"/>
              </w:rPr>
              <w:t>30b. NAME AND TITLE OF SIGNER (TYPE OR PRINT)</w:t>
            </w:r>
          </w:p>
        </w:tc>
        <w:tc>
          <w:tcPr>
            <w:tcW w:w="1720" w:type="dxa"/>
            <w:vAlign w:val="bottom"/>
          </w:tcPr>
          <w:p>
            <w:pPr>
              <w:ind w:left="340"/>
              <w:spacing w:after="0"/>
              <w:rPr>
                <w:sz w:val="20"/>
                <w:szCs w:val="20"/>
                <w:color w:val="auto"/>
              </w:rPr>
            </w:pPr>
            <w:r>
              <w:rPr>
                <w:rFonts w:ascii="Arial" w:cs="Arial" w:eastAsia="Arial" w:hAnsi="Arial"/>
                <w:sz w:val="14"/>
                <w:szCs w:val="14"/>
                <w:color w:val="auto"/>
              </w:rPr>
              <w:t>30c. DATE SIGNED</w:t>
            </w:r>
          </w:p>
        </w:tc>
        <w:tc>
          <w:tcPr>
            <w:tcW w:w="3960" w:type="dxa"/>
            <w:vAlign w:val="bottom"/>
          </w:tcPr>
          <w:p>
            <w:pPr>
              <w:ind w:left="140"/>
              <w:spacing w:after="0"/>
              <w:rPr>
                <w:sz w:val="20"/>
                <w:szCs w:val="20"/>
                <w:color w:val="auto"/>
              </w:rPr>
            </w:pPr>
            <w:r>
              <w:rPr>
                <w:rFonts w:ascii="Arial" w:cs="Arial" w:eastAsia="Arial" w:hAnsi="Arial"/>
                <w:sz w:val="14"/>
                <w:szCs w:val="14"/>
                <w:color w:val="auto"/>
                <w:w w:val="98"/>
              </w:rPr>
              <w:t>31b. NAME OF CONTRACTING OFFICER (TYPE OR PRINT)</w:t>
            </w:r>
          </w:p>
        </w:tc>
        <w:tc>
          <w:tcPr>
            <w:tcW w:w="1560" w:type="dxa"/>
            <w:vAlign w:val="bottom"/>
          </w:tcPr>
          <w:p>
            <w:pPr>
              <w:ind w:left="340"/>
              <w:spacing w:after="0"/>
              <w:rPr>
                <w:sz w:val="20"/>
                <w:szCs w:val="20"/>
                <w:color w:val="auto"/>
              </w:rPr>
            </w:pPr>
            <w:r>
              <w:rPr>
                <w:rFonts w:ascii="Arial" w:cs="Arial" w:eastAsia="Arial" w:hAnsi="Arial"/>
                <w:sz w:val="14"/>
                <w:szCs w:val="14"/>
                <w:color w:val="auto"/>
                <w:w w:val="95"/>
              </w:rPr>
              <w:t>31c. DATE SIGNED</w:t>
            </w:r>
          </w:p>
        </w:tc>
      </w:tr>
      <w:tr>
        <w:trPr>
          <w:trHeight w:val="270"/>
        </w:trPr>
        <w:tc>
          <w:tcPr>
            <w:tcW w:w="3760" w:type="dxa"/>
            <w:vAlign w:val="bottom"/>
          </w:tcPr>
          <w:p>
            <w:pPr>
              <w:spacing w:after="0"/>
              <w:rPr>
                <w:sz w:val="20"/>
                <w:szCs w:val="20"/>
                <w:color w:val="auto"/>
              </w:rPr>
            </w:pPr>
            <w:r>
              <w:rPr>
                <w:rFonts w:ascii="Arial" w:cs="Arial" w:eastAsia="Arial" w:hAnsi="Arial"/>
                <w:sz w:val="14"/>
                <w:szCs w:val="14"/>
                <w:color w:val="auto"/>
              </w:rPr>
              <w:t>Carol J Tillis, VP Finance</w:t>
            </w:r>
          </w:p>
        </w:tc>
        <w:tc>
          <w:tcPr>
            <w:tcW w:w="1720" w:type="dxa"/>
            <w:vAlign w:val="bottom"/>
          </w:tcPr>
          <w:p>
            <w:pPr>
              <w:ind w:left="340"/>
              <w:spacing w:after="0"/>
              <w:rPr>
                <w:sz w:val="20"/>
                <w:szCs w:val="20"/>
                <w:color w:val="auto"/>
              </w:rPr>
            </w:pPr>
            <w:r>
              <w:rPr>
                <w:rFonts w:ascii="Arial" w:cs="Arial" w:eastAsia="Arial" w:hAnsi="Arial"/>
                <w:sz w:val="14"/>
                <w:szCs w:val="14"/>
                <w:color w:val="auto"/>
              </w:rPr>
              <w:t>08/28/17</w:t>
            </w:r>
          </w:p>
        </w:tc>
        <w:tc>
          <w:tcPr>
            <w:tcW w:w="3960" w:type="dxa"/>
            <w:vAlign w:val="bottom"/>
          </w:tcPr>
          <w:p>
            <w:pPr>
              <w:ind w:left="140"/>
              <w:spacing w:after="0"/>
              <w:rPr>
                <w:sz w:val="20"/>
                <w:szCs w:val="20"/>
                <w:color w:val="auto"/>
              </w:rPr>
            </w:pPr>
            <w:r>
              <w:rPr>
                <w:rFonts w:ascii="Arial" w:cs="Arial" w:eastAsia="Arial" w:hAnsi="Arial"/>
                <w:sz w:val="14"/>
                <w:szCs w:val="14"/>
                <w:color w:val="auto"/>
              </w:rPr>
              <w:t>Keith Costantino</w:t>
            </w:r>
          </w:p>
        </w:tc>
        <w:tc>
          <w:tcPr>
            <w:tcW w:w="1560" w:type="dxa"/>
            <w:vAlign w:val="bottom"/>
          </w:tcPr>
          <w:p>
            <w:pPr>
              <w:ind w:left="340"/>
              <w:spacing w:after="0"/>
              <w:rPr>
                <w:sz w:val="20"/>
                <w:szCs w:val="20"/>
                <w:color w:val="auto"/>
              </w:rPr>
            </w:pPr>
            <w:r>
              <w:rPr>
                <w:rFonts w:ascii="Arial" w:cs="Arial" w:eastAsia="Arial" w:hAnsi="Arial"/>
                <w:sz w:val="14"/>
                <w:szCs w:val="14"/>
                <w:color w:val="auto"/>
              </w:rPr>
              <w:t>9/28/2017</w:t>
            </w:r>
          </w:p>
        </w:tc>
      </w:tr>
      <w:tr>
        <w:trPr>
          <w:trHeight w:val="250"/>
        </w:trPr>
        <w:tc>
          <w:tcPr>
            <w:tcW w:w="3760" w:type="dxa"/>
            <w:vAlign w:val="bottom"/>
          </w:tcPr>
          <w:p>
            <w:pPr>
              <w:spacing w:after="0"/>
              <w:rPr>
                <w:sz w:val="20"/>
                <w:szCs w:val="20"/>
                <w:color w:val="auto"/>
              </w:rPr>
            </w:pPr>
            <w:r>
              <w:rPr>
                <w:rFonts w:ascii="Arial" w:cs="Arial" w:eastAsia="Arial" w:hAnsi="Arial"/>
                <w:sz w:val="14"/>
                <w:szCs w:val="14"/>
                <w:color w:val="auto"/>
              </w:rPr>
              <w:t>AUTHORIZED FOR LOCAL REPRODUCTION</w:t>
            </w:r>
          </w:p>
        </w:tc>
        <w:tc>
          <w:tcPr>
            <w:tcW w:w="1720" w:type="dxa"/>
            <w:vAlign w:val="bottom"/>
          </w:tcPr>
          <w:p>
            <w:pPr>
              <w:spacing w:after="0"/>
              <w:rPr>
                <w:sz w:val="21"/>
                <w:szCs w:val="21"/>
                <w:color w:val="auto"/>
              </w:rPr>
            </w:pPr>
          </w:p>
        </w:tc>
        <w:tc>
          <w:tcPr>
            <w:tcW w:w="3960" w:type="dxa"/>
            <w:vAlign w:val="bottom"/>
          </w:tcPr>
          <w:p>
            <w:pPr>
              <w:ind w:left="2120"/>
              <w:spacing w:after="0"/>
              <w:rPr>
                <w:sz w:val="20"/>
                <w:szCs w:val="20"/>
                <w:color w:val="auto"/>
              </w:rPr>
            </w:pPr>
            <w:r>
              <w:rPr>
                <w:rFonts w:ascii="Arial" w:cs="Arial" w:eastAsia="Arial" w:hAnsi="Arial"/>
                <w:sz w:val="14"/>
                <w:szCs w:val="14"/>
                <w:color w:val="auto"/>
              </w:rPr>
              <w:t>STANDARD FORM 1449</w:t>
            </w:r>
          </w:p>
        </w:tc>
        <w:tc>
          <w:tcPr>
            <w:tcW w:w="1560" w:type="dxa"/>
            <w:vAlign w:val="bottom"/>
          </w:tcPr>
          <w:p>
            <w:pPr>
              <w:ind w:left="20"/>
              <w:spacing w:after="0"/>
              <w:rPr>
                <w:sz w:val="20"/>
                <w:szCs w:val="20"/>
                <w:color w:val="auto"/>
              </w:rPr>
            </w:pPr>
            <w:r>
              <w:rPr>
                <w:rFonts w:ascii="Arial" w:cs="Arial" w:eastAsia="Arial" w:hAnsi="Arial"/>
                <w:sz w:val="14"/>
                <w:szCs w:val="14"/>
                <w:color w:val="auto"/>
              </w:rPr>
              <w:t>(Rev. 2/2012)</w:t>
            </w:r>
          </w:p>
        </w:tc>
      </w:tr>
      <w:tr>
        <w:trPr>
          <w:trHeight w:val="182"/>
        </w:trPr>
        <w:tc>
          <w:tcPr>
            <w:tcW w:w="3760" w:type="dxa"/>
            <w:vAlign w:val="bottom"/>
          </w:tcPr>
          <w:p>
            <w:pPr>
              <w:spacing w:after="0"/>
              <w:rPr>
                <w:sz w:val="20"/>
                <w:szCs w:val="20"/>
                <w:color w:val="auto"/>
              </w:rPr>
            </w:pPr>
            <w:r>
              <w:rPr>
                <w:rFonts w:ascii="Arial" w:cs="Arial" w:eastAsia="Arial" w:hAnsi="Arial"/>
                <w:sz w:val="14"/>
                <w:szCs w:val="14"/>
                <w:color w:val="auto"/>
              </w:rPr>
              <w:t>PREVIOUS EDITION IS NOT USABLE</w:t>
            </w:r>
          </w:p>
        </w:tc>
        <w:tc>
          <w:tcPr>
            <w:tcW w:w="1720" w:type="dxa"/>
            <w:vAlign w:val="bottom"/>
          </w:tcPr>
          <w:p>
            <w:pPr>
              <w:spacing w:after="0"/>
              <w:rPr>
                <w:sz w:val="15"/>
                <w:szCs w:val="15"/>
                <w:color w:val="auto"/>
              </w:rPr>
            </w:pPr>
          </w:p>
        </w:tc>
        <w:tc>
          <w:tcPr>
            <w:tcW w:w="5520" w:type="dxa"/>
            <w:vAlign w:val="bottom"/>
            <w:gridSpan w:val="2"/>
          </w:tcPr>
          <w:p>
            <w:pPr>
              <w:ind w:left="2120"/>
              <w:spacing w:after="0"/>
              <w:rPr>
                <w:sz w:val="20"/>
                <w:szCs w:val="20"/>
                <w:color w:val="auto"/>
              </w:rPr>
            </w:pPr>
            <w:r>
              <w:rPr>
                <w:rFonts w:ascii="Arial" w:cs="Arial" w:eastAsia="Arial" w:hAnsi="Arial"/>
                <w:sz w:val="14"/>
                <w:szCs w:val="14"/>
                <w:color w:val="auto"/>
              </w:rPr>
              <w:t>Prescribed by GSA – FAR (48CRF) 53.212</w:t>
            </w:r>
          </w:p>
        </w:tc>
      </w:tr>
    </w:tbl>
    <w:p>
      <w:pPr>
        <w:sectPr>
          <w:pgSz w:w="11900" w:h="16838" w:orient="portrait"/>
          <w:cols w:equalWidth="0" w:num="1">
            <w:col w:w="11010"/>
          </w:cols>
          <w:pgMar w:left="450" w:top="121" w:right="439" w:bottom="795" w:gutter="0" w:footer="0" w:header="0"/>
          <w:type w:val="continuous"/>
        </w:sectPr>
      </w:pPr>
    </w:p>
    <w:bookmarkStart w:id="496" w:name="page497"/>
    <w:bookmarkEnd w:id="496"/>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B - CONTINUATION OF SF 1449 BLOCKS</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B.1 CONTRACT ADMINISTRATION DATA</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(continuation from Standard Form 1449, block 18A.)</w:t>
      </w:r>
    </w:p>
    <w:p>
      <w:pPr>
        <w:spacing w:after="0" w:line="225" w:lineRule="exact"/>
        <w:rPr>
          <w:sz w:val="20"/>
          <w:szCs w:val="20"/>
          <w:color w:val="auto"/>
        </w:rPr>
      </w:pPr>
    </w:p>
    <w:p>
      <w:pPr>
        <w:ind w:left="230" w:right="2540" w:hanging="10"/>
        <w:spacing w:after="0" w:line="500" w:lineRule="auto"/>
        <w:tabs>
          <w:tab w:leader="none" w:pos="40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Contract Administration: All contract administration matters will be handled by the following individuals: a. CONTRACTOR:</w:t>
      </w:r>
    </w:p>
    <w:p>
      <w:pPr>
        <w:spacing w:after="0" w:line="1" w:lineRule="exact"/>
        <w:rPr>
          <w:sz w:val="20"/>
          <w:szCs w:val="20"/>
          <w:color w:val="auto"/>
        </w:rPr>
      </w:pPr>
    </w:p>
    <w:p>
      <w:pPr>
        <w:ind w:left="230"/>
        <w:spacing w:after="0"/>
        <w:rPr>
          <w:sz w:val="20"/>
          <w:szCs w:val="20"/>
          <w:color w:val="auto"/>
        </w:rPr>
      </w:pPr>
      <w:r>
        <w:rPr>
          <w:rFonts w:ascii="Arial" w:cs="Arial" w:eastAsia="Arial" w:hAnsi="Arial"/>
          <w:sz w:val="18"/>
          <w:szCs w:val="18"/>
          <w:color w:val="auto"/>
        </w:rPr>
        <w:t>b. GOVERNMENT: Contracting Officer 36C24E Keith Costantino</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US Department of Veterans Affairs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Veterans Health Administration</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Service Area Office (SAO) East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323 North Shore Drive, Suite 500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Pittsburgh PA 15212-5319</w:t>
      </w:r>
    </w:p>
    <w:p>
      <w:pPr>
        <w:spacing w:after="0" w:line="225" w:lineRule="exact"/>
        <w:rPr>
          <w:sz w:val="20"/>
          <w:szCs w:val="20"/>
          <w:color w:val="auto"/>
        </w:rPr>
      </w:pPr>
    </w:p>
    <w:p>
      <w:pPr>
        <w:ind w:left="410" w:hanging="190"/>
        <w:spacing w:after="0"/>
        <w:tabs>
          <w:tab w:leader="none" w:pos="41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CONTRACTOR REMITTANCE ADDRESS: All payments by the Government to the contractor will be made in accordance with:</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52.232-34, Payment by Electronic Funds Transfer—Other Than System For Award Management, or</w:t>
      </w:r>
    </w:p>
    <w:p>
      <w:pPr>
        <w:spacing w:after="0" w:line="130" w:lineRule="exact"/>
        <w:rPr>
          <w:sz w:val="20"/>
          <w:szCs w:val="20"/>
          <w:color w:val="auto"/>
        </w:rPr>
      </w:pPr>
    </w:p>
    <w:p>
      <w:pPr>
        <w:ind w:left="250" w:hanging="250"/>
        <w:spacing w:after="0"/>
        <w:tabs>
          <w:tab w:leader="none" w:pos="25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52.232-36, Payment by Third Party</w:t>
      </w:r>
    </w:p>
    <w:p>
      <w:pPr>
        <w:spacing w:after="0" w:line="224" w:lineRule="exact"/>
        <w:rPr>
          <w:rFonts w:ascii="Arial" w:cs="Arial" w:eastAsia="Arial" w:hAnsi="Arial"/>
          <w:sz w:val="18"/>
          <w:szCs w:val="18"/>
          <w:color w:val="auto"/>
        </w:rPr>
      </w:pPr>
    </w:p>
    <w:p>
      <w:pPr>
        <w:ind w:left="410" w:hanging="190"/>
        <w:spacing w:after="0"/>
        <w:tabs>
          <w:tab w:leader="none" w:pos="41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INVOICES: Invoices shall be submitted in arrears:</w:t>
      </w:r>
    </w:p>
    <w:p>
      <w:pPr>
        <w:spacing w:after="0" w:line="252" w:lineRule="exact"/>
        <w:rPr>
          <w:sz w:val="20"/>
          <w:szCs w:val="20"/>
          <w:color w:val="auto"/>
        </w:rPr>
      </w:pPr>
    </w:p>
    <w:tbl>
      <w:tblPr>
        <w:tblLayout w:type="fixed"/>
        <w:tblInd w:w="35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 Quarterly</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850"/>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b. Semi-Annually</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850"/>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c. Other</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w w:val="94"/>
              </w:rPr>
              <w:t>[  ] As directed by Task Order</w:t>
            </w:r>
          </w:p>
        </w:tc>
      </w:tr>
    </w:tbl>
    <w:p>
      <w:pPr>
        <w:spacing w:after="0" w:line="201" w:lineRule="exact"/>
        <w:rPr>
          <w:sz w:val="20"/>
          <w:szCs w:val="20"/>
          <w:color w:val="auto"/>
        </w:rPr>
      </w:pPr>
    </w:p>
    <w:p>
      <w:pPr>
        <w:ind w:left="10" w:firstLine="210"/>
        <w:spacing w:after="0" w:line="277" w:lineRule="auto"/>
        <w:tabs>
          <w:tab w:leader="none" w:pos="41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GOVERNMENT INVOICE ADDRESS: All Invoices from the contractor shall be submitted electronically in accordance with VAAR Clause 852.232-72 Electronic Submission of Payment Requests.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US Department of Veterans Affairs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Financial Services Center (FSC)</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P.O. Box 149971</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Austin TX 78714-8971</w:t>
      </w:r>
    </w:p>
    <w:p>
      <w:pPr>
        <w:spacing w:after="0" w:line="157" w:lineRule="exact"/>
        <w:rPr>
          <w:sz w:val="20"/>
          <w:szCs w:val="20"/>
          <w:color w:val="auto"/>
        </w:rPr>
      </w:pPr>
    </w:p>
    <w:p>
      <w:pPr>
        <w:jc w:val="center"/>
        <w:ind w:right="-449"/>
        <w:spacing w:after="0"/>
        <w:rPr>
          <w:sz w:val="20"/>
          <w:szCs w:val="20"/>
          <w:color w:val="auto"/>
        </w:rPr>
      </w:pPr>
      <w:r>
        <w:rPr>
          <w:rFonts w:ascii="Arial" w:cs="Arial" w:eastAsia="Arial" w:hAnsi="Arial"/>
          <w:sz w:val="18"/>
          <w:szCs w:val="18"/>
          <w:color w:val="auto"/>
        </w:rPr>
        <w:t>Page 2 of 57</w:t>
      </w:r>
    </w:p>
    <w:p>
      <w:pPr>
        <w:sectPr>
          <w:pgSz w:w="11900" w:h="16838" w:orient="portrait"/>
          <w:cols w:equalWidth="0" w:num="1">
            <w:col w:w="10570"/>
          </w:cols>
          <w:pgMar w:left="450" w:top="269" w:right="879" w:bottom="1440" w:gutter="0" w:footer="0" w:header="0"/>
        </w:sectPr>
      </w:pPr>
    </w:p>
    <w:bookmarkStart w:id="497" w:name="page498"/>
    <w:bookmarkEnd w:id="4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 OF AMENDMENTS: The offeror acknowledges receipt of amendments to the Solicitation numbered and dated as follows:</w:t>
      </w:r>
    </w:p>
    <w:p>
      <w:pPr>
        <w:spacing w:after="0" w:line="259" w:lineRule="exact"/>
        <w:rPr>
          <w:sz w:val="20"/>
          <w:szCs w:val="20"/>
          <w:color w:val="auto"/>
        </w:rPr>
      </w:pPr>
    </w:p>
    <w:p>
      <w:pPr>
        <w:ind w:left="2220"/>
        <w:spacing w:after="0"/>
        <w:tabs>
          <w:tab w:leader="none" w:pos="8220" w:val="left"/>
        </w:tabs>
        <w:rPr>
          <w:sz w:val="20"/>
          <w:szCs w:val="20"/>
          <w:color w:val="auto"/>
        </w:rPr>
      </w:pPr>
      <w:r>
        <w:rPr>
          <w:rFonts w:ascii="Arial" w:cs="Arial" w:eastAsia="Arial" w:hAnsi="Arial"/>
          <w:sz w:val="14"/>
          <w:szCs w:val="14"/>
          <w:color w:val="auto"/>
        </w:rPr>
        <w:t>AMENDMENT NO</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698944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B.2 LIMITATIONS ON SUBCONTRACTING— MONITORING AND COMPLIANCE (JUN 2011)</w:t>
      </w:r>
    </w:p>
    <w:p>
      <w:pPr>
        <w:spacing w:after="0" w:line="121" w:lineRule="exact"/>
        <w:rPr>
          <w:sz w:val="20"/>
          <w:szCs w:val="20"/>
          <w:color w:val="auto"/>
        </w:rPr>
      </w:pPr>
    </w:p>
    <w:p>
      <w:pPr>
        <w:ind w:firstLine="220"/>
        <w:spacing w:after="0" w:line="287" w:lineRule="auto"/>
        <w:rPr>
          <w:sz w:val="20"/>
          <w:szCs w:val="20"/>
          <w:color w:val="auto"/>
        </w:rPr>
      </w:pPr>
      <w:r>
        <w:rPr>
          <w:rFonts w:ascii="Arial" w:cs="Arial" w:eastAsia="Arial" w:hAnsi="Arial"/>
          <w:sz w:val="16"/>
          <w:szCs w:val="16"/>
          <w:color w:val="auto"/>
        </w:rPr>
        <w:t>This solicitation includes FAR 52.219-14 Limitations on Subcontracting. Accordingly, any contract resulting from this solicitation will include this clause. The contractor is advised in performing contract administration functions, the CO may use the services of a support contractor(s) retained by VA to assist in assessing the contractor’s compliance with the limitations on subcontracting or percentage of work performance requirements specified in the clause. To that end, the support contractor(s) may require access to contractor’s offices where the contractor’s business records or other proprietary data are retained and to review such business records regarding the contractor’s compliance with this requirement. All support contractors conducting this review on behalf of VA will be required to sign an “Information Protection and Non-Disclosure and Disclosure of Conflicts of Interest Agreement” to ensure the contractor’s business records or other proprietary data reviewed or obtained in the course of assisting the CO in assessing the contractor for compliance are protected to ensure information or data is not improperly disclosed or other impropriety occurs. Furthermore, if VA determines any services the support contractor(s) will perform in assessing compliance are advisory and assistance services as defined in FAR 2.101, Definitions, the support contractor(s) must also enter into an agreement with the contractor to protect proprietary information as required by FAR 9.505-4, obtaining access to proprietary information, paragraph (b). The contractor is required to cooperate fully and make available any records as may be required to enable the CO to assess the contractor’s compliance with the limitations on subcontracting or percentage of work performance requirement.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B.3 SUBCONTRACTING COMMITMENTS—MONITORING AND COMPLIANCE (JUN 2011)</w:t>
      </w:r>
    </w:p>
    <w:p>
      <w:pPr>
        <w:spacing w:after="0" w:line="121" w:lineRule="exact"/>
        <w:rPr>
          <w:sz w:val="20"/>
          <w:szCs w:val="20"/>
          <w:color w:val="auto"/>
        </w:rPr>
      </w:pPr>
    </w:p>
    <w:p>
      <w:pPr>
        <w:ind w:firstLine="220"/>
        <w:spacing w:after="0" w:line="283" w:lineRule="auto"/>
        <w:rPr>
          <w:sz w:val="20"/>
          <w:szCs w:val="20"/>
          <w:color w:val="auto"/>
        </w:rPr>
      </w:pPr>
      <w:r>
        <w:rPr>
          <w:rFonts w:ascii="Arial" w:cs="Arial" w:eastAsia="Arial" w:hAnsi="Arial"/>
          <w:sz w:val="16"/>
          <w:szCs w:val="16"/>
          <w:color w:val="auto"/>
        </w:rPr>
        <w:t>This solicitation includes VAAR 852.215-70, Service-Disabled Veteran-Owned and Veteran-Owned Small Business Evaluation Factors, and VAAR 852.215-71, Evaluation Factor Commitments. Accordingly, any contract resulting from this solicitation will include these clauses. The contractor is advised in performing contract administration functions, the CO may use the services of a support contractor(s) to assist in assessing contractor compliance with the subcontracting commitments incorporated into the contract. To that end, the support contractor(s) may require access to the contractor’s business records or other proprietary data to review such business records regarding contract compliance with this requirement. All support contractors conducting this review on behalf of VA will be required to sign an “Information Protection and Non-Disclosure and Disclosure of Conflicts of Interest Agreement” to ensure the contractor’s business records or other proprietary data reviewed or obtained in the course of assisting the CO in assessing the contractor for compliance are protected to ensure information or data is not improperly disclosed or other impropriety occurs. Furthermore, if VA determines any services the support contractor(s) will perform in assessing compliance are advisory and assistance services as defined in FAR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2.101, Definitions, the support contractor(s) must also enter into an agreement with the contractor to protect proprietary information as required by FAR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9.505-4, obtaining access to proprietary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57</w:t>
      </w:r>
    </w:p>
    <w:p>
      <w:pPr>
        <w:sectPr>
          <w:pgSz w:w="11900" w:h="16838" w:orient="portrait"/>
          <w:cols w:equalWidth="0" w:num="1">
            <w:col w:w="10980"/>
          </w:cols>
          <w:pgMar w:left="460" w:top="274" w:right="459" w:bottom="1440" w:gutter="0" w:footer="0" w:header="0"/>
        </w:sectPr>
      </w:pPr>
    </w:p>
    <w:bookmarkStart w:id="498" w:name="page499"/>
    <w:bookmarkEnd w:id="49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paragraph (b). The contractor is required to cooperate fully and make available any records as may be required to enable the CO to assess the contractor compliance with the subcontracting commitments.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STATEMENT OF WORK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Contractor shall furnish services to provide Whole Genome sequencing for human DNA samples for the Department of Veterans Affairs (VA) Veterans Health Administration (VHA), Office of Research and Development’s Million Veteran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BACKGROUND/SCOPE/QUALIFICATIONS</w:t>
      </w:r>
    </w:p>
    <w:p>
      <w:pPr>
        <w:spacing w:after="0" w:line="12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VHA provides healthcare services for the nations’ Veteran population. One of the charges of the VHA is to promote research and development dedicated to improving the health and lives of Veterans. The Office of Research and Development (ORD) created the Genomic Medicine Program (GMP) in 2006 to support and lead VA as it moves into the venue of genomic or precision medicine.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field of genomics and particularly genomic medicine is a new and rapidly evolving one. The VA stands at this cutting edge and needs resources to ensure that the Veterans receive the benefit of the latest technology and research.</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Statement of Work is to secure a combination of WHOLE GENOME sequencing services to support the objectives of the VA’s Million Veteran Program (MVP).</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MVP is a national research program begun in 2011 that is creating a resource of genetic information of one million consented Veteran volunteers (who receive their health care from the VA) linked with information from self-reported survey instruments and their electronic health records. There are currently 51 Veteran Affairs Medical Centers (VAMC) enrolling participants into MVP, and over 550,000 participants have fully consented and provided a blood sample to MVP. It is one of the world’s largest genetic resources of its kind.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GENERAL SCOPE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VHA Million Veteran Program requires the services of High-throughput human whole genome sequencing.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human DNA samples shall be sent by the VA to the contractor facility from the MAVERIC Biorepository in Boston or another VA biorepository.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CONTRACTOR 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have the following qualifications, capabilities, and be able to document the following:</w:t>
      </w:r>
    </w:p>
    <w:p>
      <w:pPr>
        <w:spacing w:after="0" w:line="130" w:lineRule="exact"/>
        <w:rPr>
          <w:sz w:val="20"/>
          <w:szCs w:val="20"/>
          <w:color w:val="auto"/>
        </w:rPr>
      </w:pPr>
    </w:p>
    <w:p>
      <w:pPr>
        <w:ind w:left="860" w:right="440" w:hanging="438"/>
        <w:spacing w:after="0" w:line="307" w:lineRule="auto"/>
        <w:tabs>
          <w:tab w:leader="none" w:pos="8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Headquarters and laboratory facilities where work to be conducted in is located within the Continental United States. No work shall be performed outside of the United States or in any locality outside of the jurisdiction of the laws of the United States.</w:t>
      </w:r>
    </w:p>
    <w:p>
      <w:pPr>
        <w:spacing w:after="0" w:line="52" w:lineRule="exact"/>
        <w:rPr>
          <w:rFonts w:ascii="Arial" w:cs="Arial" w:eastAsia="Arial" w:hAnsi="Arial"/>
          <w:sz w:val="17"/>
          <w:szCs w:val="17"/>
          <w:color w:val="auto"/>
        </w:rPr>
      </w:pPr>
    </w:p>
    <w:p>
      <w:pPr>
        <w:ind w:left="860" w:right="140" w:hanging="438"/>
        <w:spacing w:after="0" w:line="263" w:lineRule="auto"/>
        <w:tabs>
          <w:tab w:leader="none" w:pos="8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Ability to conduct high-throughput WHOLE GENOME sequencing (for research purposes ONLY) of up to 2500 VA human DNA samples at average &gt;30x depth over 90% of the mutually agreed upon reference genome per month utilizing a sequencing by synthesis method within the contract period. THIS IS A CRITICAL REQUIREMENT.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57</w:t>
      </w:r>
    </w:p>
    <w:p>
      <w:pPr>
        <w:sectPr>
          <w:pgSz w:w="11900" w:h="16838" w:orient="portrait"/>
          <w:cols w:equalWidth="0" w:num="1">
            <w:col w:w="10980"/>
          </w:cols>
          <w:pgMar w:left="460" w:top="274" w:right="459" w:bottom="1440" w:gutter="0" w:footer="0" w:header="0"/>
        </w:sectPr>
      </w:pPr>
    </w:p>
    <w:bookmarkStart w:id="499" w:name="page500"/>
    <w:bookmarkEnd w:id="499"/>
    <w:p>
      <w:pPr>
        <w:ind w:left="860" w:right="60" w:hanging="438"/>
        <w:spacing w:after="0" w:line="263" w:lineRule="auto"/>
        <w:tabs>
          <w:tab w:leader="none" w:pos="8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Ability to conduct high-throughput WHOLE GENOME sequencing (for research purposes ONLY) of up to 900 VA human tumor DNA samples at average &gt;100x depth over 90% of the mutually agreed upon reference genome per month utilizing a sequencing by synthesis method within the contract period for somatic samples. THIS IS A CRITIAL REQUIREMENT.</w:t>
      </w:r>
    </w:p>
    <w:p>
      <w:pPr>
        <w:spacing w:after="0" w:line="88" w:lineRule="exact"/>
        <w:rPr>
          <w:rFonts w:ascii="Arial" w:cs="Arial" w:eastAsia="Arial" w:hAnsi="Arial"/>
          <w:sz w:val="18"/>
          <w:szCs w:val="18"/>
          <w:color w:val="auto"/>
        </w:rPr>
      </w:pPr>
    </w:p>
    <w:p>
      <w:pPr>
        <w:ind w:left="860" w:hanging="438"/>
        <w:spacing w:after="0"/>
        <w:tabs>
          <w:tab w:leader="none" w:pos="8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Ability for Sample tracking and management utilizing bar coding to ensure security &amp; traceability of VA samples.</w:t>
      </w:r>
    </w:p>
    <w:p>
      <w:pPr>
        <w:spacing w:after="0" w:line="130" w:lineRule="exact"/>
        <w:rPr>
          <w:rFonts w:ascii="Arial" w:cs="Arial" w:eastAsia="Arial" w:hAnsi="Arial"/>
          <w:sz w:val="18"/>
          <w:szCs w:val="18"/>
          <w:color w:val="auto"/>
        </w:rPr>
      </w:pPr>
    </w:p>
    <w:p>
      <w:pPr>
        <w:ind w:left="860" w:right="20" w:hanging="438"/>
        <w:spacing w:after="0" w:line="277" w:lineRule="auto"/>
        <w:tabs>
          <w:tab w:leader="none" w:pos="8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Ability to produce documentation of sample handling and processing attributes/audit trail, etc. that would address sample mixing and sample error tracking.</w:t>
      </w:r>
    </w:p>
    <w:p>
      <w:pPr>
        <w:spacing w:after="0" w:line="75" w:lineRule="exact"/>
        <w:rPr>
          <w:rFonts w:ascii="Arial" w:cs="Arial" w:eastAsia="Arial" w:hAnsi="Arial"/>
          <w:sz w:val="18"/>
          <w:szCs w:val="18"/>
          <w:color w:val="auto"/>
        </w:rPr>
      </w:pPr>
    </w:p>
    <w:p>
      <w:pPr>
        <w:ind w:left="860" w:hanging="438"/>
        <w:spacing w:after="0"/>
        <w:tabs>
          <w:tab w:leader="none" w:pos="8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contractor shall demonstrate that they are certified in Good Laboratory Practice (GLP) and CLIA certification</w:t>
      </w:r>
    </w:p>
    <w:p>
      <w:pPr>
        <w:spacing w:after="0" w:line="130" w:lineRule="exact"/>
        <w:rPr>
          <w:rFonts w:ascii="Arial" w:cs="Arial" w:eastAsia="Arial" w:hAnsi="Arial"/>
          <w:sz w:val="18"/>
          <w:szCs w:val="18"/>
          <w:color w:val="auto"/>
        </w:rPr>
      </w:pPr>
    </w:p>
    <w:p>
      <w:pPr>
        <w:ind w:left="860" w:right="100" w:hanging="438"/>
        <w:spacing w:after="0" w:line="277" w:lineRule="auto"/>
        <w:tabs>
          <w:tab w:leader="none" w:pos="8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Contractors shall be required to submit for a NACI low level background investigation and security clearance in accordance with the VA IT Security Clause and complete the required training and procedures to comply with these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TASKS/REQUIREMENTS.</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Tasks</w:t>
      </w:r>
      <w:r>
        <w:rPr>
          <w:rFonts w:ascii="Arial" w:cs="Arial" w:eastAsia="Arial" w:hAnsi="Arial"/>
          <w:sz w:val="18"/>
          <w:szCs w:val="18"/>
          <w:color w:val="auto"/>
        </w:rPr>
        <w:t>: The contractor shall provide a detailed Project Management Plan in their proposal to address the following tasks necessary to complete the whole</w:t>
      </w:r>
      <w:r>
        <w:rPr>
          <w:rFonts w:ascii="Arial" w:cs="Arial" w:eastAsia="Arial" w:hAnsi="Arial"/>
          <w:sz w:val="18"/>
          <w:szCs w:val="18"/>
          <w:b w:val="1"/>
          <w:bCs w:val="1"/>
          <w:color w:val="auto"/>
        </w:rPr>
        <w:t xml:space="preserve"> </w:t>
      </w:r>
      <w:r>
        <w:rPr>
          <w:rFonts w:ascii="Arial" w:cs="Arial" w:eastAsia="Arial" w:hAnsi="Arial"/>
          <w:sz w:val="18"/>
          <w:szCs w:val="18"/>
          <w:color w:val="auto"/>
        </w:rPr>
        <w:t>genome sequencing, and shall address the capabilities to provide specific requirements:</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Additionally, the contractor shall not propose primary and alternative methods within a single proposal. If alternate methodologies are going to be proposed, it is suggested that the contractor submit multiple proposals.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Task 1</w:t>
      </w:r>
      <w:r>
        <w:rPr>
          <w:rFonts w:ascii="Arial" w:cs="Arial" w:eastAsia="Arial" w:hAnsi="Arial"/>
          <w:sz w:val="18"/>
          <w:szCs w:val="18"/>
          <w:color w:val="auto"/>
        </w:rPr>
        <w:t>: Provide a detailed DNA Sample Security and Data Security Plan:</w:t>
      </w:r>
    </w:p>
    <w:p>
      <w:pPr>
        <w:spacing w:after="0" w:line="130" w:lineRule="exact"/>
        <w:rPr>
          <w:sz w:val="20"/>
          <w:szCs w:val="20"/>
          <w:color w:val="auto"/>
        </w:rPr>
      </w:pPr>
    </w:p>
    <w:p>
      <w:pPr>
        <w:ind w:left="860" w:right="460" w:hanging="438"/>
        <w:spacing w:after="0" w:line="277" w:lineRule="auto"/>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materials and samples utilized during the course of the contract are the property of the Department of Veterans Affairs and must be handled in a confidential and secure manner.</w:t>
      </w:r>
    </w:p>
    <w:p>
      <w:pPr>
        <w:spacing w:after="0" w:line="75" w:lineRule="exact"/>
        <w:rPr>
          <w:rFonts w:ascii="Arial" w:cs="Arial" w:eastAsia="Arial" w:hAnsi="Arial"/>
          <w:sz w:val="18"/>
          <w:szCs w:val="18"/>
          <w:color w:val="auto"/>
        </w:rPr>
      </w:pPr>
    </w:p>
    <w:p>
      <w:pPr>
        <w:ind w:left="860" w:right="20" w:hanging="438"/>
        <w:spacing w:after="0" w:line="275" w:lineRule="auto"/>
        <w:tabs>
          <w:tab w:leader="none" w:pos="8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contractor shall outline in their response: their planned lab Standard Operating Procedures (SOPs) methods for handling and securing of samples including paper and electronic documents, the methods, assurances and processes for destruction of samples and data, details of proposed shipping requirements like method/conditions for shipping, receipt &amp; acknowledgement of shipments, encryption of hard drives (if that is the VA requested delivery method); documentation of security of electronic data delivery (if that is VA requested delivery method) as well as the contractors ability to perform in accordance with and subject to:</w:t>
      </w:r>
    </w:p>
    <w:p>
      <w:pPr>
        <w:spacing w:after="0" w:line="80" w:lineRule="exact"/>
        <w:rPr>
          <w:rFonts w:ascii="Arial" w:cs="Arial" w:eastAsia="Arial" w:hAnsi="Arial"/>
          <w:sz w:val="17"/>
          <w:szCs w:val="17"/>
          <w:color w:val="auto"/>
        </w:rPr>
      </w:pPr>
    </w:p>
    <w:p>
      <w:pPr>
        <w:ind w:left="1400" w:hanging="533"/>
        <w:spacing w:after="0" w:line="286" w:lineRule="auto"/>
        <w:tabs>
          <w:tab w:leader="none" w:pos="140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VA Handbook 6500.1 - Electronic Media Sanitization, VA Directive 6300 – Records and Information Management and its Handbook 6300.1 Records management Procedures, National Archives and Records Administration(NARA), FISMA, HIPAA, NIST, and related VA security and privacy control requirements applicable with provisions and clauses within this requirement.</w:t>
      </w:r>
    </w:p>
    <w:p>
      <w:pPr>
        <w:spacing w:after="0" w:line="70" w:lineRule="exact"/>
        <w:rPr>
          <w:rFonts w:ascii="Arial" w:cs="Arial" w:eastAsia="Arial" w:hAnsi="Arial"/>
          <w:sz w:val="17"/>
          <w:szCs w:val="17"/>
          <w:color w:val="auto"/>
        </w:rPr>
      </w:pPr>
    </w:p>
    <w:p>
      <w:pPr>
        <w:ind w:left="860" w:right="380" w:hanging="438"/>
        <w:spacing w:after="0" w:line="277" w:lineRule="auto"/>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This plan shall address how the contractor plans to meet these requirements and shall be required at the time of submitting the proposal. Simply stating or acknowledging the references is unacceptable.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57</w:t>
      </w:r>
    </w:p>
    <w:p>
      <w:pPr>
        <w:sectPr>
          <w:pgSz w:w="11900" w:h="16838" w:orient="portrait"/>
          <w:cols w:equalWidth="0" w:num="1">
            <w:col w:w="11000"/>
          </w:cols>
          <w:pgMar w:left="460" w:top="274" w:right="43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Task 2</w:t>
      </w:r>
      <w:r>
        <w:rPr>
          <w:rFonts w:ascii="Arial" w:cs="Arial" w:eastAsia="Arial" w:hAnsi="Arial"/>
          <w:sz w:val="18"/>
          <w:szCs w:val="18"/>
          <w:color w:val="auto"/>
        </w:rPr>
        <w:t>: Attend an initial post-award contract kick-off meeting, and attend as needed meetings through the life of the contract.</w:t>
      </w:r>
    </w:p>
    <w:p>
      <w:pPr>
        <w:spacing w:after="0" w:line="130" w:lineRule="exact"/>
        <w:rPr>
          <w:sz w:val="20"/>
          <w:szCs w:val="20"/>
          <w:color w:val="auto"/>
        </w:rPr>
      </w:pPr>
    </w:p>
    <w:p>
      <w:pPr>
        <w:ind w:left="860" w:right="200" w:hanging="438"/>
        <w:spacing w:after="0" w:line="277" w:lineRule="auto"/>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 kick off meeting will be held in Washington, DC at the Department of Veterans Affairs within 14 days after contract award and shall be attended by all key personnel staff on contract. This meeting may take place via teleconference if preferred.</w:t>
      </w:r>
    </w:p>
    <w:p>
      <w:pPr>
        <w:spacing w:after="0" w:line="75" w:lineRule="exact"/>
        <w:rPr>
          <w:rFonts w:ascii="Arial" w:cs="Arial" w:eastAsia="Arial" w:hAnsi="Arial"/>
          <w:sz w:val="18"/>
          <w:szCs w:val="18"/>
          <w:color w:val="auto"/>
        </w:rPr>
      </w:pPr>
    </w:p>
    <w:p>
      <w:pPr>
        <w:ind w:left="860" w:right="900" w:hanging="438"/>
        <w:spacing w:after="0" w:line="277" w:lineRule="auto"/>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contractor shall be required to communicate with Program staff on an as needed basis throughout the life of the contract via teleconference or videoconference.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Task 3</w:t>
      </w:r>
      <w:r>
        <w:rPr>
          <w:rFonts w:ascii="Arial" w:cs="Arial" w:eastAsia="Arial" w:hAnsi="Arial"/>
          <w:sz w:val="18"/>
          <w:szCs w:val="18"/>
          <w:color w:val="auto"/>
        </w:rPr>
        <w:t>: Receipt and storage of VA DNA samples for sequencing</w:t>
      </w:r>
    </w:p>
    <w:p>
      <w:pPr>
        <w:spacing w:after="0" w:line="130" w:lineRule="exact"/>
        <w:rPr>
          <w:sz w:val="20"/>
          <w:szCs w:val="20"/>
          <w:color w:val="auto"/>
        </w:rPr>
      </w:pPr>
    </w:p>
    <w:p>
      <w:pPr>
        <w:ind w:left="860" w:right="320" w:hanging="438"/>
        <w:spacing w:after="0" w:line="277" w:lineRule="auto"/>
        <w:tabs>
          <w:tab w:leader="none" w:pos="8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contractor shall include in proposal in their response to this SOW the outer boundaries of needed DNA sample quality, quantity and shipping requirement which will then be discussed and finalized at the Kick-off meeting.</w:t>
      </w:r>
    </w:p>
    <w:p>
      <w:pPr>
        <w:spacing w:after="0" w:line="75" w:lineRule="exact"/>
        <w:rPr>
          <w:rFonts w:ascii="Arial" w:cs="Arial" w:eastAsia="Arial" w:hAnsi="Arial"/>
          <w:sz w:val="18"/>
          <w:szCs w:val="18"/>
          <w:color w:val="auto"/>
        </w:rPr>
      </w:pPr>
    </w:p>
    <w:p>
      <w:pPr>
        <w:ind w:left="860" w:hanging="438"/>
        <w:spacing w:after="0" w:line="311" w:lineRule="auto"/>
        <w:tabs>
          <w:tab w:leader="none" w:pos="86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VA will provide the contractor with coded human DNA samples. The samples shall be stored by the contractor at -20 degrees Celsius in locked upright or chest freezers (with emergency back-up power) until the samples are processed for sequencing. Any unused samples are to be destroyed by the contractor as specified by VA policies. (See task 6 for detailed instructions on unused DNA and sequence data)</w:t>
      </w:r>
    </w:p>
    <w:p>
      <w:pPr>
        <w:spacing w:after="0" w:line="53" w:lineRule="exact"/>
        <w:rPr>
          <w:rFonts w:ascii="Arial" w:cs="Arial" w:eastAsia="Arial" w:hAnsi="Arial"/>
          <w:sz w:val="16"/>
          <w:szCs w:val="16"/>
          <w:color w:val="auto"/>
        </w:rPr>
      </w:pPr>
    </w:p>
    <w:p>
      <w:pPr>
        <w:ind w:left="860" w:hanging="438"/>
        <w:spacing w:after="0"/>
        <w:tabs>
          <w:tab w:leader="none" w:pos="8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Sample tracking and management process shall be in place to ensure security of VA samples.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Task 4</w:t>
      </w:r>
      <w:r>
        <w:rPr>
          <w:rFonts w:ascii="Arial" w:cs="Arial" w:eastAsia="Arial" w:hAnsi="Arial"/>
          <w:sz w:val="18"/>
          <w:szCs w:val="18"/>
          <w:color w:val="auto"/>
        </w:rPr>
        <w:t>: Whole Genome Sequencing</w:t>
      </w:r>
    </w:p>
    <w:p>
      <w:pPr>
        <w:spacing w:after="0" w:line="130" w:lineRule="exact"/>
        <w:rPr>
          <w:sz w:val="20"/>
          <w:szCs w:val="20"/>
          <w:color w:val="auto"/>
        </w:rPr>
      </w:pPr>
    </w:p>
    <w:p>
      <w:pPr>
        <w:ind w:left="860" w:right="240" w:hanging="438"/>
        <w:spacing w:after="0" w:line="277" w:lineRule="auto"/>
        <w:tabs>
          <w:tab w:leader="none" w:pos="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Contractor shall test DNA for quality sufficient to proceed with vendor sequencing procedures, and to confirm quality from VA reporting sent with samples, and to identity match samples before and after sequencing.</w:t>
      </w:r>
    </w:p>
    <w:p>
      <w:pPr>
        <w:spacing w:after="0" w:line="75" w:lineRule="exact"/>
        <w:rPr>
          <w:rFonts w:ascii="Arial" w:cs="Arial" w:eastAsia="Arial" w:hAnsi="Arial"/>
          <w:sz w:val="18"/>
          <w:szCs w:val="18"/>
          <w:color w:val="auto"/>
        </w:rPr>
      </w:pPr>
    </w:p>
    <w:p>
      <w:pPr>
        <w:ind w:left="860" w:hanging="438"/>
        <w:spacing w:after="0"/>
        <w:tabs>
          <w:tab w:leader="none" w:pos="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Contractor shall provide the following services when a task order is issued for RESEARCH specimens:</w:t>
      </w:r>
    </w:p>
    <w:p>
      <w:pPr>
        <w:spacing w:after="0" w:line="130"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Research Whole Genome Sequencing ( at average &gt;30x depth of &gt;90% of current, bilaterally agreed upon reference genome)</w:t>
      </w:r>
    </w:p>
    <w:p>
      <w:pPr>
        <w:spacing w:after="0" w:line="130" w:lineRule="exact"/>
        <w:rPr>
          <w:rFonts w:ascii="Arial" w:cs="Arial" w:eastAsia="Arial" w:hAnsi="Arial"/>
          <w:sz w:val="18"/>
          <w:szCs w:val="18"/>
          <w:color w:val="auto"/>
        </w:rPr>
      </w:pPr>
    </w:p>
    <w:p>
      <w:pPr>
        <w:jc w:val="both"/>
        <w:ind w:left="2280" w:right="80" w:hanging="428"/>
        <w:spacing w:after="0" w:line="263" w:lineRule="auto"/>
        <w:tabs>
          <w:tab w:leader="none" w:pos="22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DNA alignments and quality scores (Phred) of variants relative to a human genome reference sequence provided by the contractor in FASTQ or similar output file format, OR complete raw sequence files in FASTQ format, depending upon the specific requests of the task order</w:t>
      </w:r>
    </w:p>
    <w:p>
      <w:pPr>
        <w:spacing w:after="0" w:line="88" w:lineRule="exact"/>
        <w:rPr>
          <w:rFonts w:ascii="Arial" w:cs="Arial" w:eastAsia="Arial" w:hAnsi="Arial"/>
          <w:sz w:val="18"/>
          <w:szCs w:val="18"/>
          <w:color w:val="auto"/>
        </w:rPr>
      </w:pPr>
    </w:p>
    <w:p>
      <w:pPr>
        <w:ind w:left="2280" w:hanging="428"/>
        <w:spacing w:after="0"/>
        <w:tabs>
          <w:tab w:leader="none" w:pos="22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Variant calls (if requested in task order)</w:t>
      </w:r>
    </w:p>
    <w:p>
      <w:pPr>
        <w:spacing w:after="0" w:line="130" w:lineRule="exact"/>
        <w:rPr>
          <w:rFonts w:ascii="Arial" w:cs="Arial" w:eastAsia="Arial" w:hAnsi="Arial"/>
          <w:sz w:val="18"/>
          <w:szCs w:val="18"/>
          <w:color w:val="auto"/>
        </w:rPr>
      </w:pPr>
    </w:p>
    <w:p>
      <w:pPr>
        <w:ind w:left="2280" w:hanging="428"/>
        <w:spacing w:after="0"/>
        <w:tabs>
          <w:tab w:leader="none" w:pos="22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BAM files of each sequenced genome (if requested in task order)</w:t>
      </w:r>
    </w:p>
    <w:p>
      <w:pPr>
        <w:spacing w:after="0" w:line="130" w:lineRule="exact"/>
        <w:rPr>
          <w:rFonts w:ascii="Arial" w:cs="Arial" w:eastAsia="Arial" w:hAnsi="Arial"/>
          <w:sz w:val="18"/>
          <w:szCs w:val="18"/>
          <w:color w:val="auto"/>
        </w:rPr>
      </w:pPr>
    </w:p>
    <w:p>
      <w:pPr>
        <w:ind w:left="2280" w:hanging="428"/>
        <w:spacing w:after="0"/>
        <w:tabs>
          <w:tab w:leader="none" w:pos="22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Genotype array data file for each sample.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57</w:t>
      </w:r>
    </w:p>
    <w:p>
      <w:pPr>
        <w:sectPr>
          <w:pgSz w:w="11900" w:h="16838" w:orient="portrait"/>
          <w:cols w:equalWidth="0" w:num="1">
            <w:col w:w="10960"/>
          </w:cols>
          <w:pgMar w:left="460" w:top="274" w:right="479" w:bottom="1440" w:gutter="0" w:footer="0" w:header="0"/>
        </w:sectPr>
      </w:pPr>
    </w:p>
    <w:bookmarkStart w:id="501" w:name="page502"/>
    <w:bookmarkEnd w:id="501"/>
    <w:p>
      <w:pPr>
        <w:ind w:left="1400" w:right="620" w:hanging="533"/>
        <w:spacing w:after="0" w:line="277" w:lineRule="auto"/>
        <w:tabs>
          <w:tab w:leader="none" w:pos="14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Research Whole genome sequencing of tumor DNA samples (at average &gt;100x of current, bilaterally agreed upon reference genome)</w:t>
      </w:r>
    </w:p>
    <w:p>
      <w:pPr>
        <w:spacing w:after="0" w:line="75" w:lineRule="exact"/>
        <w:rPr>
          <w:rFonts w:ascii="Arial" w:cs="Arial" w:eastAsia="Arial" w:hAnsi="Arial"/>
          <w:sz w:val="18"/>
          <w:szCs w:val="18"/>
          <w:color w:val="auto"/>
        </w:rPr>
      </w:pPr>
    </w:p>
    <w:p>
      <w:pPr>
        <w:jc w:val="both"/>
        <w:ind w:left="2280" w:right="80" w:hanging="428"/>
        <w:spacing w:after="0" w:line="263" w:lineRule="auto"/>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DNA alignments and quality scores (Phred) of variants relative to a human genome reference sequence provided by the contractor in FASTQ or similar output file format, OR complete raw sequence files in FASTQ format, depending upon the specific requests of the task order</w:t>
      </w:r>
    </w:p>
    <w:p>
      <w:pPr>
        <w:spacing w:after="0" w:line="88" w:lineRule="exact"/>
        <w:rPr>
          <w:rFonts w:ascii="Arial" w:cs="Arial" w:eastAsia="Arial" w:hAnsi="Arial"/>
          <w:sz w:val="18"/>
          <w:szCs w:val="18"/>
          <w:color w:val="auto"/>
        </w:rPr>
      </w:pPr>
    </w:p>
    <w:p>
      <w:pPr>
        <w:ind w:left="2280" w:hanging="428"/>
        <w:spacing w:after="0"/>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Variant calls (if requested in task order)</w:t>
      </w:r>
    </w:p>
    <w:p>
      <w:pPr>
        <w:spacing w:after="0" w:line="130" w:lineRule="exact"/>
        <w:rPr>
          <w:rFonts w:ascii="Arial" w:cs="Arial" w:eastAsia="Arial" w:hAnsi="Arial"/>
          <w:sz w:val="18"/>
          <w:szCs w:val="18"/>
          <w:color w:val="auto"/>
        </w:rPr>
      </w:pPr>
    </w:p>
    <w:p>
      <w:pPr>
        <w:ind w:left="2280" w:hanging="428"/>
        <w:spacing w:after="0"/>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BAM files of each sequenced genome (if requested in task order)</w:t>
      </w:r>
    </w:p>
    <w:p>
      <w:pPr>
        <w:spacing w:after="0" w:line="130" w:lineRule="exact"/>
        <w:rPr>
          <w:sz w:val="20"/>
          <w:szCs w:val="20"/>
          <w:color w:val="auto"/>
        </w:rPr>
      </w:pPr>
    </w:p>
    <w:p>
      <w:pPr>
        <w:ind w:left="2280" w:hanging="428"/>
        <w:spacing w:after="0"/>
        <w:tabs>
          <w:tab w:leader="none" w:pos="22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Genotype array data file for each sample.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Task 5</w:t>
      </w:r>
      <w:r>
        <w:rPr>
          <w:rFonts w:ascii="Arial" w:cs="Arial" w:eastAsia="Arial" w:hAnsi="Arial"/>
          <w:sz w:val="18"/>
          <w:szCs w:val="18"/>
          <w:color w:val="auto"/>
        </w:rPr>
        <w:t>: Provide reports and required Data</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1. Monthly Written Report:</w:t>
      </w:r>
    </w:p>
    <w:p>
      <w:pPr>
        <w:spacing w:after="0" w:line="117" w:lineRule="exact"/>
        <w:rPr>
          <w:sz w:val="20"/>
          <w:szCs w:val="20"/>
          <w:color w:val="auto"/>
        </w:rPr>
      </w:pPr>
    </w:p>
    <w:p>
      <w:pPr>
        <w:ind w:left="880" w:right="480"/>
        <w:spacing w:after="0" w:line="277" w:lineRule="auto"/>
        <w:rPr>
          <w:sz w:val="20"/>
          <w:szCs w:val="20"/>
          <w:color w:val="auto"/>
        </w:rPr>
      </w:pPr>
      <w:r>
        <w:rPr>
          <w:rFonts w:ascii="Arial" w:cs="Arial" w:eastAsia="Arial" w:hAnsi="Arial"/>
          <w:sz w:val="18"/>
          <w:szCs w:val="18"/>
          <w:color w:val="auto"/>
        </w:rPr>
        <w:t>This report shall be delivered electronically via email no later than the 1st business day of the following month. The report shall track parameters, including:</w:t>
      </w:r>
    </w:p>
    <w:p>
      <w:pPr>
        <w:spacing w:after="0" w:line="75" w:lineRule="exact"/>
        <w:rPr>
          <w:sz w:val="20"/>
          <w:szCs w:val="20"/>
          <w:color w:val="auto"/>
        </w:rPr>
      </w:pPr>
    </w:p>
    <w:p>
      <w:pPr>
        <w:ind w:left="1860" w:hanging="440"/>
        <w:spacing w:after="0"/>
        <w:tabs>
          <w:tab w:leader="none" w:pos="18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Number of samples completed to desired parameters as requested per the task order</w:t>
      </w:r>
    </w:p>
    <w:p>
      <w:pPr>
        <w:spacing w:after="0" w:line="130" w:lineRule="exact"/>
        <w:rPr>
          <w:rFonts w:ascii="Arial" w:cs="Arial" w:eastAsia="Arial" w:hAnsi="Arial"/>
          <w:sz w:val="18"/>
          <w:szCs w:val="18"/>
          <w:color w:val="auto"/>
        </w:rPr>
      </w:pPr>
    </w:p>
    <w:p>
      <w:pPr>
        <w:ind w:left="1860" w:hanging="440"/>
        <w:spacing w:after="0"/>
        <w:tabs>
          <w:tab w:leader="none" w:pos="18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Average depth of sequencing for each sample</w:t>
      </w:r>
    </w:p>
    <w:p>
      <w:pPr>
        <w:spacing w:after="0" w:line="130" w:lineRule="exact"/>
        <w:rPr>
          <w:rFonts w:ascii="Arial" w:cs="Arial" w:eastAsia="Arial" w:hAnsi="Arial"/>
          <w:sz w:val="18"/>
          <w:szCs w:val="18"/>
          <w:color w:val="auto"/>
        </w:rPr>
      </w:pPr>
    </w:p>
    <w:p>
      <w:pPr>
        <w:ind w:left="1860" w:hanging="440"/>
        <w:spacing w:after="0"/>
        <w:tabs>
          <w:tab w:leader="none" w:pos="186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Quality control measurements of sequence data (including number of samples that did not meet QC measurement standards)</w:t>
      </w:r>
    </w:p>
    <w:p>
      <w:pPr>
        <w:spacing w:after="0" w:line="153" w:lineRule="exact"/>
        <w:rPr>
          <w:rFonts w:ascii="Arial" w:cs="Arial" w:eastAsia="Arial" w:hAnsi="Arial"/>
          <w:sz w:val="16"/>
          <w:szCs w:val="16"/>
          <w:color w:val="auto"/>
        </w:rPr>
      </w:pPr>
    </w:p>
    <w:p>
      <w:pPr>
        <w:ind w:left="1860" w:right="680" w:hanging="440"/>
        <w:spacing w:after="0" w:line="277" w:lineRule="auto"/>
        <w:tabs>
          <w:tab w:leader="none" w:pos="18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These reports will include any non-compliance issues, to include if and the number of DNA samples that do not meet contractor’s QC standards.</w:t>
      </w:r>
    </w:p>
    <w:p>
      <w:pPr>
        <w:spacing w:after="0" w:line="75" w:lineRule="exact"/>
        <w:rPr>
          <w:rFonts w:ascii="Arial" w:cs="Arial" w:eastAsia="Arial" w:hAnsi="Arial"/>
          <w:sz w:val="18"/>
          <w:szCs w:val="18"/>
          <w:color w:val="auto"/>
        </w:rPr>
      </w:pPr>
    </w:p>
    <w:p>
      <w:pPr>
        <w:ind w:left="1860" w:right="740" w:hanging="440"/>
        <w:spacing w:after="0" w:line="277" w:lineRule="auto"/>
        <w:tabs>
          <w:tab w:leader="none" w:pos="18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And, in accordance with the most current industry standards, any other data that may be deemed beneficial to VA by contractor.</w:t>
      </w:r>
    </w:p>
    <w:p>
      <w:pPr>
        <w:spacing w:after="0" w:line="277" w:lineRule="exact"/>
        <w:rPr>
          <w:rFonts w:ascii="Arial" w:cs="Arial" w:eastAsia="Arial" w:hAnsi="Arial"/>
          <w:sz w:val="18"/>
          <w:szCs w:val="18"/>
          <w:color w:val="auto"/>
        </w:rPr>
      </w:pPr>
    </w:p>
    <w:p>
      <w:pPr>
        <w:ind w:left="1060" w:hanging="189"/>
        <w:spacing w:after="0"/>
        <w:tabs>
          <w:tab w:leader="none" w:pos="1060" w:val="left"/>
        </w:tabs>
        <w:numPr>
          <w:ilvl w:val="0"/>
          <w:numId w:val="4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Required Sequenced Data</w:t>
      </w:r>
    </w:p>
    <w:p>
      <w:pPr>
        <w:spacing w:after="0" w:line="117" w:lineRule="exact"/>
        <w:rPr>
          <w:sz w:val="20"/>
          <w:szCs w:val="20"/>
          <w:color w:val="auto"/>
        </w:rPr>
      </w:pPr>
    </w:p>
    <w:p>
      <w:pPr>
        <w:ind w:left="880" w:right="80"/>
        <w:spacing w:after="0" w:line="263" w:lineRule="auto"/>
        <w:rPr>
          <w:sz w:val="20"/>
          <w:szCs w:val="20"/>
          <w:color w:val="auto"/>
        </w:rPr>
      </w:pPr>
      <w:r>
        <w:rPr>
          <w:rFonts w:ascii="Arial" w:cs="Arial" w:eastAsia="Arial" w:hAnsi="Arial"/>
          <w:sz w:val="18"/>
          <w:szCs w:val="18"/>
          <w:color w:val="auto"/>
        </w:rPr>
        <w:t>Contractor shall supply completed whole genome sequence data for the VA samples including the data requirements in Task 4, and generated in a secure manner in one or all of the requested formats below. Delivery shall occur within 30 days of completion of sequencing for each task order :</w:t>
      </w:r>
    </w:p>
    <w:p>
      <w:pPr>
        <w:spacing w:after="0" w:line="88" w:lineRule="exact"/>
        <w:rPr>
          <w:sz w:val="20"/>
          <w:szCs w:val="20"/>
          <w:color w:val="auto"/>
        </w:rPr>
      </w:pPr>
    </w:p>
    <w:p>
      <w:pPr>
        <w:ind w:left="1400" w:right="480" w:hanging="533"/>
        <w:spacing w:after="0" w:line="259" w:lineRule="auto"/>
        <w:tabs>
          <w:tab w:leader="none" w:pos="1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VA approved encrypted hard drives. Encryption shall be in accordance with VA security standards, VA Handbook 6500.6, by shipment of encrypted physical hard drives to VA location (provided by COR) by courier or overnight shipping, and including signature delivery confirmation. Currently the approved drive is 40TB (RAID 0) CSE-40TB4-SU3 (https://www.buslink.com/product.php?prod_id=442).</w:t>
      </w:r>
    </w:p>
    <w:p>
      <w:pPr>
        <w:spacing w:after="0" w:line="91" w:lineRule="exact"/>
        <w:rPr>
          <w:rFonts w:ascii="Arial" w:cs="Arial" w:eastAsia="Arial" w:hAnsi="Arial"/>
          <w:sz w:val="18"/>
          <w:szCs w:val="18"/>
          <w:color w:val="auto"/>
        </w:rPr>
      </w:pPr>
    </w:p>
    <w:p>
      <w:pPr>
        <w:ind w:left="1400" w:hanging="533"/>
        <w:spacing w:after="0"/>
        <w:tabs>
          <w:tab w:leader="none" w:pos="1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or by secure electronic transfer to VA approved secure cloud storage location;</w:t>
      </w:r>
    </w:p>
    <w:p>
      <w:pPr>
        <w:spacing w:after="0" w:line="130" w:lineRule="exact"/>
        <w:rPr>
          <w:rFonts w:ascii="Arial" w:cs="Arial" w:eastAsia="Arial" w:hAnsi="Arial"/>
          <w:sz w:val="18"/>
          <w:szCs w:val="18"/>
          <w:color w:val="auto"/>
        </w:rPr>
      </w:pPr>
    </w:p>
    <w:p>
      <w:pPr>
        <w:ind w:left="1400" w:hanging="533"/>
        <w:spacing w:after="0"/>
        <w:tabs>
          <w:tab w:leader="none" w:pos="1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or by secure electronic transfer to VA approved federal partner location.</w:t>
      </w:r>
    </w:p>
    <w:p>
      <w:pPr>
        <w:spacing w:after="0" w:line="11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Electronic Data and/or physical hard drives shall be sent to the VA or to approved cloud location or federal partner location within one week upon completion of each task order unless a specific schedule is mentioned in the individual task order.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57</w:t>
      </w:r>
    </w:p>
    <w:p>
      <w:pPr>
        <w:sectPr>
          <w:pgSz w:w="11900" w:h="16838" w:orient="portrait"/>
          <w:cols w:equalWidth="0" w:num="1">
            <w:col w:w="10960"/>
          </w:cols>
          <w:pgMar w:left="460" w:top="273" w:right="479" w:bottom="1440" w:gutter="0" w:footer="0" w:header="0"/>
        </w:sectPr>
      </w:pPr>
    </w:p>
    <w:bookmarkStart w:id="502" w:name="page503"/>
    <w:bookmarkEnd w:id="502"/>
    <w:p>
      <w:pPr>
        <w:ind w:left="88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vendor should have the capacity to begin shipments of task orders with the approved encrypted hard drives, but be able to switch to electronic data delivery within the contract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Task 6</w:t>
      </w:r>
      <w:r>
        <w:rPr>
          <w:rFonts w:ascii="Arial" w:cs="Arial" w:eastAsia="Arial" w:hAnsi="Arial"/>
          <w:sz w:val="18"/>
          <w:szCs w:val="18"/>
          <w:color w:val="auto"/>
        </w:rPr>
        <w:t>: Destruction of Unused DNA and sequence data</w:t>
      </w:r>
    </w:p>
    <w:p>
      <w:pPr>
        <w:spacing w:after="0" w:line="130" w:lineRule="exact"/>
        <w:rPr>
          <w:sz w:val="20"/>
          <w:szCs w:val="20"/>
          <w:color w:val="auto"/>
        </w:rPr>
      </w:pPr>
    </w:p>
    <w:p>
      <w:pPr>
        <w:ind w:left="860" w:hanging="438"/>
        <w:spacing w:after="0" w:line="263" w:lineRule="auto"/>
        <w:tabs>
          <w:tab w:leader="none" w:pos="8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contractor shall destroy or return unused DNA samples, in compliance with relevant sections of VA Handbook 6500.1 and per direction with written approval of the Contracting Officer’s Representative or Contracting Officer. The acceptable method of destroying DNA samples is by bleaching and certified to that effect.</w:t>
      </w:r>
    </w:p>
    <w:p>
      <w:pPr>
        <w:spacing w:after="0" w:line="88" w:lineRule="exact"/>
        <w:rPr>
          <w:rFonts w:ascii="Arial" w:cs="Arial" w:eastAsia="Arial" w:hAnsi="Arial"/>
          <w:sz w:val="18"/>
          <w:szCs w:val="18"/>
          <w:color w:val="auto"/>
        </w:rPr>
      </w:pPr>
    </w:p>
    <w:p>
      <w:pPr>
        <w:ind w:left="860" w:right="120" w:hanging="438"/>
        <w:spacing w:after="0" w:line="279" w:lineRule="auto"/>
        <w:tabs>
          <w:tab w:leader="none" w:pos="8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contractor shall destroy all data associated with VA sample as per direction and with approval of the VA COR/Contracting Officer and in full compliance of the VA Handbook 6500.1 specifically paragraphs 5 and 6. Once the data is received, the VA COR will notify the vendor in writing of the same. The data on the vendor’s end shall be destroyed by the vendor after documented completion of initial QC checks by the VA. The vendor should be able to store the raw data for up to 12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3.0 PLACE OF PERFORMANCE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performance of this work shall be at the contractors facility, which shall meet the qualifications listed in this SOW. All certifications and assurances shall be provided to the CO and COR prior to initiation of work. The contractor will not be required to perform sample gathering at a government location, however the contractor will be required to demonstrate that the selected worksite meets all security requirements for the use of research coded samples. This will include the use of encrypted computers and an established system of information management in accordance with all federal and VA-specific security standards established by Federal law and regulation and VA-specific policy.</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contractor shall be required to complete and submit a Contractor Security Control Assessment within 30 days of award of a contract, and annually thereafter, in accordance with VA Handbook 6500.6.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work shall be performed outside of the United States or in any locality outside of the jurisdiction of the laws of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4.0 GOVERNMENT FURNISHED EQUIPMENT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Department of Veterans Affairs shall furnish the following Government Property for completion of the desired task</w:t>
      </w:r>
    </w:p>
    <w:p>
      <w:pPr>
        <w:spacing w:after="0" w:line="130" w:lineRule="exact"/>
        <w:rPr>
          <w:sz w:val="20"/>
          <w:szCs w:val="20"/>
          <w:color w:val="auto"/>
        </w:rPr>
      </w:pPr>
    </w:p>
    <w:p>
      <w:pPr>
        <w:ind w:left="860" w:hanging="330"/>
        <w:spacing w:after="0"/>
        <w:tabs>
          <w:tab w:leader="none" w:pos="8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Coded DNA samples</w:t>
      </w:r>
    </w:p>
    <w:p>
      <w:pPr>
        <w:spacing w:after="0" w:line="130" w:lineRule="exact"/>
        <w:rPr>
          <w:rFonts w:ascii="Arial" w:cs="Arial" w:eastAsia="Arial" w:hAnsi="Arial"/>
          <w:sz w:val="18"/>
          <w:szCs w:val="18"/>
          <w:color w:val="auto"/>
        </w:rPr>
      </w:pPr>
    </w:p>
    <w:p>
      <w:pPr>
        <w:ind w:left="860" w:right="380" w:hanging="330"/>
        <w:spacing w:after="0" w:line="277" w:lineRule="auto"/>
        <w:tabs>
          <w:tab w:leader="none" w:pos="8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required information necessary for sample processing and sequencing, to include manifest of samples and documentation of DNA quality and concentration.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5.0 TRAVEL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Contractor travel may be required for this contract, not exceeding 2 days to travel to VA Central Office in Washington, DC for kick-off meeting. Travel costs are the responsibility of the contractor.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 of 57</w:t>
      </w:r>
    </w:p>
    <w:p>
      <w:pPr>
        <w:sectPr>
          <w:pgSz w:w="11900" w:h="16838" w:orient="portrait"/>
          <w:cols w:equalWidth="0" w:num="1">
            <w:col w:w="10940"/>
          </w:cols>
          <w:pgMar w:left="460" w:top="274" w:right="49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 PERFORMANCE PERIOD</w:t>
      </w:r>
    </w:p>
    <w:p>
      <w:pPr>
        <w:spacing w:after="0" w:line="121" w:lineRule="exact"/>
        <w:rPr>
          <w:sz w:val="20"/>
          <w:szCs w:val="20"/>
          <w:color w:val="auto"/>
        </w:rPr>
      </w:pPr>
    </w:p>
    <w:p>
      <w:pPr>
        <w:ind w:right="200" w:firstLine="220"/>
        <w:spacing w:after="0" w:line="277" w:lineRule="auto"/>
        <w:rPr>
          <w:sz w:val="20"/>
          <w:szCs w:val="20"/>
          <w:color w:val="auto"/>
        </w:rPr>
      </w:pPr>
      <w:r>
        <w:rPr>
          <w:rFonts w:ascii="Arial" w:cs="Arial" w:eastAsia="Arial" w:hAnsi="Arial"/>
          <w:sz w:val="18"/>
          <w:szCs w:val="18"/>
          <w:color w:val="auto"/>
        </w:rPr>
        <w:t>The performance period for these services shall be for a base period of 1 year, with 3 option periods which may be exercised upon discretion of the VA.</w:t>
      </w:r>
    </w:p>
    <w:p>
      <w:pPr>
        <w:sectPr>
          <w:pgSz w:w="11900" w:h="16838" w:orient="portrait"/>
          <w:cols w:equalWidth="0" w:num="1">
            <w:col w:w="10980"/>
          </w:cols>
          <w:pgMar w:left="460" w:top="270" w:right="4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 period: September 2017 – August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1: FY 18 September 2018 – August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2: FY 19 September 2019 – August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3: FY 20 September 2020– August 2021</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7.0 DELIVERABLES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Deliverable</w:t>
            </w:r>
          </w:p>
        </w:tc>
        <w:tc>
          <w:tcPr>
            <w:tcW w:w="220" w:type="dxa"/>
            <w:vAlign w:val="bottom"/>
          </w:tcPr>
          <w:p>
            <w:pPr>
              <w:spacing w:after="0"/>
              <w:rPr>
                <w:sz w:val="14"/>
                <w:szCs w:val="14"/>
                <w:color w:val="auto"/>
              </w:rPr>
            </w:pPr>
          </w:p>
        </w:tc>
        <w:tc>
          <w:tcPr>
            <w:tcW w:w="20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Reference</w:t>
            </w: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Delivery Date 1</w:t>
            </w:r>
            <w:r>
              <w:rPr>
                <w:rFonts w:ascii="Arial" w:cs="Arial" w:eastAsia="Arial" w:hAnsi="Arial"/>
                <w:sz w:val="12"/>
                <w:szCs w:val="12"/>
                <w:b w:val="1"/>
                <w:bCs w:val="1"/>
                <w:color w:val="auto"/>
                <w:w w:val="93"/>
              </w:rPr>
              <w:t>st</w:t>
            </w:r>
          </w:p>
        </w:tc>
        <w:tc>
          <w:tcPr>
            <w:tcW w:w="0" w:type="dxa"/>
            <w:vAlign w:val="bottom"/>
          </w:tcPr>
          <w:p>
            <w:pPr>
              <w:spacing w:after="0"/>
              <w:rPr>
                <w:sz w:val="1"/>
                <w:szCs w:val="1"/>
                <w:color w:val="auto"/>
              </w:rPr>
            </w:pPr>
          </w:p>
        </w:tc>
      </w:tr>
      <w:tr>
        <w:trPr>
          <w:trHeight w:val="185"/>
        </w:trPr>
        <w:tc>
          <w:tcPr>
            <w:tcW w:w="24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Occurrence</w:t>
            </w:r>
          </w:p>
        </w:tc>
        <w:tc>
          <w:tcPr>
            <w:tcW w:w="0" w:type="dxa"/>
            <w:vAlign w:val="bottom"/>
          </w:tcPr>
          <w:p>
            <w:pPr>
              <w:spacing w:after="0"/>
              <w:rPr>
                <w:sz w:val="1"/>
                <w:szCs w:val="1"/>
                <w:color w:val="auto"/>
              </w:rPr>
            </w:pPr>
          </w:p>
        </w:tc>
      </w:tr>
      <w:tr>
        <w:trPr>
          <w:trHeight w:val="289"/>
        </w:trPr>
        <w:tc>
          <w:tcPr>
            <w:tcW w:w="2480" w:type="dxa"/>
            <w:vAlign w:val="bottom"/>
          </w:tcPr>
          <w:p>
            <w:pPr>
              <w:spacing w:after="0"/>
              <w:rPr>
                <w:sz w:val="20"/>
                <w:szCs w:val="20"/>
                <w:color w:val="auto"/>
              </w:rPr>
            </w:pPr>
            <w:r>
              <w:rPr>
                <w:rFonts w:ascii="Arial" w:cs="Arial" w:eastAsia="Arial" w:hAnsi="Arial"/>
                <w:sz w:val="18"/>
                <w:szCs w:val="18"/>
                <w:b w:val="1"/>
                <w:bCs w:val="1"/>
                <w:color w:val="auto"/>
              </w:rPr>
              <w:t>Project Management Plan</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Tasks</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Submit with response to</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solicitation.</w:t>
            </w:r>
          </w:p>
        </w:tc>
        <w:tc>
          <w:tcPr>
            <w:tcW w:w="0" w:type="dxa"/>
            <w:vAlign w:val="bottom"/>
          </w:tcPr>
          <w:p>
            <w:pPr>
              <w:spacing w:after="0"/>
              <w:rPr>
                <w:sz w:val="1"/>
                <w:szCs w:val="1"/>
                <w:color w:val="auto"/>
              </w:rPr>
            </w:pPr>
          </w:p>
        </w:tc>
      </w:tr>
      <w:tr>
        <w:trPr>
          <w:trHeight w:val="525"/>
        </w:trPr>
        <w:tc>
          <w:tcPr>
            <w:tcW w:w="2480" w:type="dxa"/>
            <w:vAlign w:val="bottom"/>
          </w:tcPr>
          <w:p>
            <w:pPr>
              <w:spacing w:after="0"/>
              <w:rPr>
                <w:sz w:val="20"/>
                <w:szCs w:val="20"/>
                <w:color w:val="auto"/>
              </w:rPr>
            </w:pPr>
            <w:r>
              <w:rPr>
                <w:rFonts w:ascii="Arial" w:cs="Arial" w:eastAsia="Arial" w:hAnsi="Arial"/>
                <w:sz w:val="18"/>
                <w:szCs w:val="18"/>
                <w:b w:val="1"/>
                <w:bCs w:val="1"/>
                <w:color w:val="auto"/>
              </w:rPr>
              <w:t>DNA Sample Security Plan</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Task 1</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Submit with response to</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solicitation</w:t>
            </w:r>
          </w:p>
        </w:tc>
        <w:tc>
          <w:tcPr>
            <w:tcW w:w="0" w:type="dxa"/>
            <w:vAlign w:val="bottom"/>
          </w:tcPr>
          <w:p>
            <w:pPr>
              <w:spacing w:after="0"/>
              <w:rPr>
                <w:sz w:val="1"/>
                <w:szCs w:val="1"/>
                <w:color w:val="auto"/>
              </w:rPr>
            </w:pPr>
          </w:p>
        </w:tc>
      </w:tr>
      <w:tr>
        <w:trPr>
          <w:trHeight w:val="521"/>
        </w:trPr>
        <w:tc>
          <w:tcPr>
            <w:tcW w:w="2480" w:type="dxa"/>
            <w:vAlign w:val="bottom"/>
          </w:tcPr>
          <w:p>
            <w:pPr>
              <w:spacing w:after="0"/>
              <w:rPr>
                <w:sz w:val="20"/>
                <w:szCs w:val="20"/>
                <w:color w:val="auto"/>
              </w:rPr>
            </w:pPr>
            <w:r>
              <w:rPr>
                <w:rFonts w:ascii="Arial" w:cs="Arial" w:eastAsia="Arial" w:hAnsi="Arial"/>
                <w:sz w:val="18"/>
                <w:szCs w:val="18"/>
                <w:b w:val="1"/>
                <w:bCs w:val="1"/>
                <w:color w:val="auto"/>
              </w:rPr>
              <w:t>Good Laboratory Practice</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Qualifications</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Submit with response to</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Certification</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solicitation</w:t>
            </w:r>
          </w:p>
        </w:tc>
        <w:tc>
          <w:tcPr>
            <w:tcW w:w="0" w:type="dxa"/>
            <w:vAlign w:val="bottom"/>
          </w:tcPr>
          <w:p>
            <w:pPr>
              <w:spacing w:after="0"/>
              <w:rPr>
                <w:sz w:val="1"/>
                <w:szCs w:val="1"/>
                <w:color w:val="auto"/>
              </w:rPr>
            </w:pPr>
          </w:p>
        </w:tc>
      </w:tr>
      <w:tr>
        <w:trPr>
          <w:trHeight w:val="525"/>
        </w:trPr>
        <w:tc>
          <w:tcPr>
            <w:tcW w:w="2480" w:type="dxa"/>
            <w:vAlign w:val="bottom"/>
          </w:tcPr>
          <w:p>
            <w:pPr>
              <w:spacing w:after="0"/>
              <w:rPr>
                <w:sz w:val="20"/>
                <w:szCs w:val="20"/>
                <w:color w:val="auto"/>
              </w:rPr>
            </w:pPr>
            <w:r>
              <w:rPr>
                <w:rFonts w:ascii="Arial" w:cs="Arial" w:eastAsia="Arial" w:hAnsi="Arial"/>
                <w:sz w:val="18"/>
                <w:szCs w:val="18"/>
                <w:b w:val="1"/>
                <w:bCs w:val="1"/>
                <w:color w:val="auto"/>
              </w:rPr>
              <w:t>CLIA certification</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Qualifications</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Submit with response to</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solicitation</w:t>
            </w:r>
          </w:p>
        </w:tc>
        <w:tc>
          <w:tcPr>
            <w:tcW w:w="0" w:type="dxa"/>
            <w:vAlign w:val="bottom"/>
          </w:tcPr>
          <w:p>
            <w:pPr>
              <w:spacing w:after="0"/>
              <w:rPr>
                <w:sz w:val="1"/>
                <w:szCs w:val="1"/>
                <w:color w:val="auto"/>
              </w:rPr>
            </w:pPr>
          </w:p>
        </w:tc>
      </w:tr>
      <w:tr>
        <w:trPr>
          <w:trHeight w:val="540"/>
        </w:trPr>
        <w:tc>
          <w:tcPr>
            <w:tcW w:w="2480" w:type="dxa"/>
            <w:vAlign w:val="bottom"/>
          </w:tcPr>
          <w:p>
            <w:pPr>
              <w:spacing w:after="0"/>
              <w:rPr>
                <w:sz w:val="20"/>
                <w:szCs w:val="20"/>
                <w:color w:val="auto"/>
              </w:rPr>
            </w:pPr>
            <w:r>
              <w:rPr>
                <w:rFonts w:ascii="Arial" w:cs="Arial" w:eastAsia="Arial" w:hAnsi="Arial"/>
                <w:sz w:val="18"/>
                <w:szCs w:val="18"/>
                <w:b w:val="1"/>
                <w:bCs w:val="1"/>
                <w:color w:val="auto"/>
              </w:rPr>
              <w:t>Monthly Written Report</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Task 6</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w w:val="95"/>
              </w:rPr>
              <w:t>1</w:t>
            </w:r>
            <w:r>
              <w:rPr>
                <w:rFonts w:ascii="Arial" w:cs="Arial" w:eastAsia="Arial" w:hAnsi="Arial"/>
                <w:sz w:val="15"/>
                <w:szCs w:val="15"/>
                <w:color w:val="auto"/>
                <w:w w:val="95"/>
              </w:rPr>
              <w:t>st</w:t>
            </w:r>
            <w:r>
              <w:rPr>
                <w:rFonts w:ascii="Arial" w:cs="Arial" w:eastAsia="Arial" w:hAnsi="Arial"/>
                <w:sz w:val="18"/>
                <w:szCs w:val="18"/>
                <w:color w:val="auto"/>
                <w:w w:val="95"/>
              </w:rPr>
              <w:t xml:space="preserve"> day of following month.</w:t>
            </w:r>
          </w:p>
        </w:tc>
        <w:tc>
          <w:tcPr>
            <w:tcW w:w="0" w:type="dxa"/>
            <w:vAlign w:val="bottom"/>
          </w:tcPr>
          <w:p>
            <w:pPr>
              <w:spacing w:after="0"/>
              <w:rPr>
                <w:sz w:val="1"/>
                <w:szCs w:val="1"/>
                <w:color w:val="auto"/>
              </w:rPr>
            </w:pPr>
          </w:p>
        </w:tc>
      </w:tr>
      <w:tr>
        <w:trPr>
          <w:trHeight w:val="525"/>
        </w:trPr>
        <w:tc>
          <w:tcPr>
            <w:tcW w:w="2480" w:type="dxa"/>
            <w:vAlign w:val="bottom"/>
          </w:tcPr>
          <w:p>
            <w:pPr>
              <w:spacing w:after="0"/>
              <w:rPr>
                <w:sz w:val="20"/>
                <w:szCs w:val="20"/>
                <w:color w:val="auto"/>
              </w:rPr>
            </w:pPr>
            <w:r>
              <w:rPr>
                <w:rFonts w:ascii="Arial" w:cs="Arial" w:eastAsia="Arial" w:hAnsi="Arial"/>
                <w:sz w:val="18"/>
                <w:szCs w:val="18"/>
                <w:b w:val="1"/>
                <w:bCs w:val="1"/>
                <w:color w:val="auto"/>
                <w:w w:val="92"/>
              </w:rPr>
              <w:t>Whole Genome Sequence Data</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Task 4</w:t>
            </w: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w w:val="97"/>
              </w:rPr>
              <w:t>Delivery shall occur within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30 days of completion of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sequencing for each task</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order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2680" w:val="left"/>
          <w:tab w:leader="none" w:pos="4940" w:val="left"/>
        </w:tabs>
        <w:rPr>
          <w:sz w:val="20"/>
          <w:szCs w:val="20"/>
          <w:color w:val="auto"/>
        </w:rPr>
      </w:pPr>
      <w:r>
        <w:rPr>
          <w:rFonts w:ascii="Arial" w:cs="Arial" w:eastAsia="Arial" w:hAnsi="Arial"/>
          <w:sz w:val="18"/>
          <w:szCs w:val="18"/>
          <w:b w:val="1"/>
          <w:bCs w:val="1"/>
          <w:color w:val="auto"/>
        </w:rPr>
        <w:t>Contractor Security Control</w:t>
      </w:r>
      <w:r>
        <w:rPr>
          <w:sz w:val="20"/>
          <w:szCs w:val="20"/>
          <w:color w:val="auto"/>
        </w:rPr>
        <w:tab/>
      </w:r>
      <w:r>
        <w:rPr>
          <w:rFonts w:ascii="Arial" w:cs="Arial" w:eastAsia="Arial" w:hAnsi="Arial"/>
          <w:sz w:val="18"/>
          <w:szCs w:val="18"/>
          <w:color w:val="auto"/>
        </w:rPr>
        <w:t>Qualifications</w:t>
      </w:r>
      <w:r>
        <w:rPr>
          <w:sz w:val="20"/>
          <w:szCs w:val="20"/>
          <w:color w:val="auto"/>
        </w:rPr>
        <w:tab/>
      </w:r>
      <w:r>
        <w:rPr>
          <w:rFonts w:ascii="Arial" w:cs="Arial" w:eastAsia="Arial" w:hAnsi="Arial"/>
          <w:sz w:val="16"/>
          <w:szCs w:val="16"/>
          <w:color w:val="auto"/>
        </w:rPr>
        <w:t>Within 30 days of contract</w:t>
      </w:r>
    </w:p>
    <w:p>
      <w:pPr>
        <w:spacing w:after="0" w:line="27"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b w:val="1"/>
          <w:bCs w:val="1"/>
          <w:color w:val="auto"/>
        </w:rPr>
        <w:t>Assessment</w:t>
      </w:r>
      <w:r>
        <w:rPr>
          <w:sz w:val="20"/>
          <w:szCs w:val="20"/>
          <w:color w:val="auto"/>
        </w:rPr>
        <w:tab/>
      </w:r>
      <w:r>
        <w:rPr>
          <w:rFonts w:ascii="Arial" w:cs="Arial" w:eastAsia="Arial" w:hAnsi="Arial"/>
          <w:sz w:val="18"/>
          <w:szCs w:val="18"/>
          <w:color w:val="auto"/>
        </w:rPr>
        <w:t>award.</w:t>
      </w:r>
    </w:p>
    <w:p>
      <w:pPr>
        <w:spacing w:after="0" w:line="35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Page 9 of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Frequency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23317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solicitation proposal and updated after contract award.</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solicitation proposal and updated after contract award.</w:t>
      </w:r>
    </w:p>
    <w:p>
      <w:pPr>
        <w:spacing w:after="0" w:line="7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Update and timely redelivery as events require</w:t>
      </w:r>
    </w:p>
    <w:p>
      <w:pPr>
        <w:spacing w:after="0" w:line="7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Update and timely redelivery as events require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 task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Within 30 days of award, and annually on the renewal date of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6522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Contracting Officer (CO)</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48"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Contracting Officer’s Representative (COR)</w:t>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Secure physical shipment to designated VA location or electronic transfer to VA approved secure cloud storage location or federal partner location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COR</w:t>
      </w:r>
    </w:p>
    <w:p>
      <w:pPr>
        <w:sectPr>
          <w:pgSz w:w="11900" w:h="16838" w:orient="portrait"/>
          <w:cols w:equalWidth="0" w:num="3">
            <w:col w:w="7000" w:space="120"/>
            <w:col w:w="1860" w:space="180"/>
            <w:col w:w="1820"/>
          </w:cols>
          <w:pgMar w:left="460" w:top="270" w:right="459" w:bottom="1440" w:gutter="0" w:footer="0" w:header="0"/>
          <w:type w:val="continuous"/>
        </w:sectPr>
      </w:pPr>
    </w:p>
    <w:bookmarkStart w:id="504" w:name="page505"/>
    <w:bookmarkEnd w:id="504"/>
    <w:p>
      <w:pPr>
        <w:ind w:right="140"/>
        <w:spacing w:after="0" w:line="258"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 Schedule for Deliverables</w:t>
      </w:r>
      <w:r>
        <w:rPr>
          <w:rFonts w:ascii="Arial" w:cs="Arial" w:eastAsia="Arial" w:hAnsi="Arial"/>
          <w:sz w:val="18"/>
          <w:szCs w:val="18"/>
          <w:color w:val="auto"/>
        </w:rPr>
        <w:t>: If for any reason, any deliverable cannot be delivered within the time schedule indicated in the approved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the contractor shall provide a written explanation (within 5 business days prior the due date) to the Contracting Officer, with a copy to the COTR. This written transmittal shall include a firm commitment of when the work shall be completed. This notice to the Contracting Officer shall cite the reasons for the delay, and the impact on the overall project. The Contracting Officer shall then review the facts and issue a response in accordance with applicable regulations.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8.0 Confidentiality and Non-Disclosure</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All samples and data provided by the Government and all data first produced or delivered during this contract is the sole property of the VA. The contractor recognizes that in the performance of this contract it may receive or have access to sensitive or confidential information, including personal information of VA employees and information proprietary in nature by system contractors, equipment manufacturers and other private or public entities. The contractor shall restrict access to sensitive or confidential information to the minimum number of employees necessary for contract performance.</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contractor shall indoctrinate its employees and all subcontractor employees working on this contract on the laws, rules and regulations governing access to sensitive and/or confidential information. All persons concerned shall understand that unauthorized access to or use of sensitive or confidential information related to this contract shall result in immediate termination of the individual or individuals from the contract and be subject to legal prosecution to the fullest extent of the law.</w:t>
      </w:r>
    </w:p>
    <w:p>
      <w:pPr>
        <w:spacing w:after="0" w:line="1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contractor shall conduct an appropriate background investigation on all of its employees and subcontractor employees working on this contract and who require access to government computer systems.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9.0 Contract Administration</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Notwithstanding the Contractor’s responsibility for total management during the performance of this contract, the administration of the contract will require maximum coordination between the Government and the Contractor. The following individuals will be the Government’s points of contact during the performance of this contract: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Contracting Officer’s Representative (COR):</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Million Veteran Program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Office of Research and Development, VACO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57</w:t>
      </w:r>
    </w:p>
    <w:p>
      <w:pPr>
        <w:sectPr>
          <w:pgSz w:w="11900" w:h="16838" w:orient="portrait"/>
          <w:cols w:equalWidth="0" w:num="1">
            <w:col w:w="10960"/>
          </w:cols>
          <w:pgMar w:left="460" w:top="270" w:right="479" w:bottom="1440" w:gutter="0" w:footer="0" w:header="0"/>
        </w:sectPr>
      </w:pPr>
    </w:p>
    <w:bookmarkStart w:id="505" w:name="page506"/>
    <w:bookmarkEnd w:id="50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 shall be designated on the authority of the Contracting Officer at the time of contract award to monitor all technical aspects of the contract. In no event is the COR empowered to change any of the terms and conditions of the contract. Changes in any section of this contract shall be made only by the Contracting Officer pursuant to a properly executed modification. The types of actions within the purview of the COR’s authority are to ensure that the Contractor performs the technical requirements of the contract, and to notify both the Contractor and the Contracting Officer of any deficiencies observed. A memorandum of designation shall be issued to the COR and a copy shall be sent to the Contractor at the time of contract award setting forth in full the responsibilities and limitations of the COR.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10.0 Contract Type</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Requirements Contract provides for filling all actual requirements of designated Government activities for services during a specified contract period with time or duration to be scheduled by placing task orders with the contractor. Each task order issued against this contract shall have a separate period of performance. Funds will be obligated for under a separate task order based on actual needs. The information below depicts the government’s realistic estimate for anticipated number of tests over the base and option years. However, these are only estimates and task orders will be awarded based on actual needs.</w:t>
      </w:r>
    </w:p>
    <w:p>
      <w:pPr>
        <w:spacing w:after="0" w:line="174"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380" w:type="dxa"/>
            <w:vAlign w:val="bottom"/>
            <w:gridSpan w:val="3"/>
          </w:tcPr>
          <w:p>
            <w:pPr>
              <w:ind w:left="2160"/>
              <w:spacing w:after="0"/>
              <w:rPr>
                <w:sz w:val="20"/>
                <w:szCs w:val="20"/>
                <w:color w:val="auto"/>
              </w:rPr>
            </w:pPr>
            <w:r>
              <w:rPr>
                <w:rFonts w:ascii="Arial" w:cs="Arial" w:eastAsia="Arial" w:hAnsi="Arial"/>
                <w:sz w:val="18"/>
                <w:szCs w:val="18"/>
                <w:color w:val="auto"/>
                <w:w w:val="97"/>
              </w:rPr>
              <w:t>REALISTIC ESTIMATE IAW FAR 16.503</w:t>
            </w:r>
          </w:p>
        </w:tc>
        <w:tc>
          <w:tcPr>
            <w:tcW w:w="2100" w:type="dxa"/>
            <w:vAlign w:val="bottom"/>
          </w:tcPr>
          <w:p>
            <w:pPr>
              <w:spacing w:after="0"/>
              <w:rPr>
                <w:sz w:val="17"/>
                <w:szCs w:val="17"/>
                <w:color w:val="auto"/>
              </w:rPr>
            </w:pPr>
          </w:p>
        </w:tc>
      </w:tr>
      <w:tr>
        <w:trPr>
          <w:trHeight w:val="393"/>
        </w:trPr>
        <w:tc>
          <w:tcPr>
            <w:tcW w:w="216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Estimated Number of Samples for</w:t>
            </w:r>
          </w:p>
        </w:tc>
      </w:tr>
      <w:tr>
        <w:trPr>
          <w:trHeight w:val="181"/>
        </w:trPr>
        <w:tc>
          <w:tcPr>
            <w:tcW w:w="216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Whole Genome Sequence [***]</w:t>
            </w:r>
          </w:p>
        </w:tc>
      </w:tr>
      <w:tr>
        <w:trPr>
          <w:trHeight w:val="181"/>
        </w:trPr>
        <w:tc>
          <w:tcPr>
            <w:tcW w:w="53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Base Period September 2017 through August 2018</w:t>
            </w:r>
          </w:p>
        </w:tc>
        <w:tc>
          <w:tcPr>
            <w:tcW w:w="2100" w:type="dxa"/>
            <w:vAlign w:val="bottom"/>
            <w:shd w:val="clear" w:color="auto" w:fill="CCEEFF"/>
          </w:tcPr>
          <w:p>
            <w:pPr>
              <w:spacing w:after="0"/>
              <w:rPr>
                <w:sz w:val="15"/>
                <w:szCs w:val="15"/>
                <w:color w:val="auto"/>
              </w:rPr>
            </w:pPr>
          </w:p>
        </w:tc>
      </w:tr>
      <w:tr>
        <w:trPr>
          <w:trHeight w:val="230"/>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(estimated)</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1"/>
        </w:trPr>
        <w:tc>
          <w:tcPr>
            <w:tcW w:w="5380" w:type="dxa"/>
            <w:vAlign w:val="bottom"/>
            <w:gridSpan w:val="3"/>
          </w:tcPr>
          <w:p>
            <w:pPr>
              <w:spacing w:after="0" w:line="201" w:lineRule="exact"/>
              <w:rPr>
                <w:sz w:val="20"/>
                <w:szCs w:val="20"/>
                <w:color w:val="auto"/>
              </w:rPr>
            </w:pPr>
            <w:r>
              <w:rPr>
                <w:rFonts w:ascii="Arial" w:cs="Arial" w:eastAsia="Arial" w:hAnsi="Arial"/>
                <w:sz w:val="18"/>
                <w:szCs w:val="18"/>
                <w:color w:val="auto"/>
              </w:rPr>
              <w:t>Option Year 1 Period September 2018 through August 2019</w:t>
            </w:r>
          </w:p>
        </w:tc>
        <w:tc>
          <w:tcPr>
            <w:tcW w:w="2100" w:type="dxa"/>
            <w:vAlign w:val="bottom"/>
          </w:tcPr>
          <w:p>
            <w:pPr>
              <w:spacing w:after="0"/>
              <w:rPr>
                <w:sz w:val="17"/>
                <w:szCs w:val="17"/>
                <w:color w:val="auto"/>
              </w:rPr>
            </w:pPr>
          </w:p>
        </w:tc>
      </w:tr>
      <w:tr>
        <w:trPr>
          <w:trHeight w:val="230"/>
        </w:trPr>
        <w:tc>
          <w:tcPr>
            <w:tcW w:w="5380" w:type="dxa"/>
            <w:vAlign w:val="bottom"/>
            <w:gridSpan w:val="3"/>
          </w:tcPr>
          <w:p>
            <w:pPr>
              <w:ind w:left="180"/>
              <w:spacing w:after="0"/>
              <w:rPr>
                <w:sz w:val="20"/>
                <w:szCs w:val="20"/>
                <w:color w:val="auto"/>
              </w:rPr>
            </w:pPr>
            <w:r>
              <w:rPr>
                <w:rFonts w:ascii="Arial" w:cs="Arial" w:eastAsia="Arial" w:hAnsi="Arial"/>
                <w:sz w:val="18"/>
                <w:szCs w:val="18"/>
                <w:color w:val="auto"/>
              </w:rPr>
              <w:t>(estimated)</w:t>
            </w:r>
          </w:p>
        </w:tc>
        <w:tc>
          <w:tcPr>
            <w:tcW w:w="2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1"/>
        </w:trPr>
        <w:tc>
          <w:tcPr>
            <w:tcW w:w="5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Option Year 2 Period September 2019 through August 2020</w:t>
            </w:r>
          </w:p>
        </w:tc>
        <w:tc>
          <w:tcPr>
            <w:tcW w:w="2100" w:type="dxa"/>
            <w:vAlign w:val="bottom"/>
            <w:shd w:val="clear" w:color="auto" w:fill="CCEEFF"/>
          </w:tcPr>
          <w:p>
            <w:pPr>
              <w:spacing w:after="0"/>
              <w:rPr>
                <w:sz w:val="17"/>
                <w:szCs w:val="17"/>
                <w:color w:val="auto"/>
              </w:rPr>
            </w:pPr>
          </w:p>
        </w:tc>
      </w:tr>
      <w:tr>
        <w:trPr>
          <w:trHeight w:val="230"/>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(estimated)</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1"/>
        </w:trPr>
        <w:tc>
          <w:tcPr>
            <w:tcW w:w="5380" w:type="dxa"/>
            <w:vAlign w:val="bottom"/>
            <w:gridSpan w:val="3"/>
          </w:tcPr>
          <w:p>
            <w:pPr>
              <w:spacing w:after="0" w:line="201" w:lineRule="exact"/>
              <w:rPr>
                <w:sz w:val="20"/>
                <w:szCs w:val="20"/>
                <w:color w:val="auto"/>
              </w:rPr>
            </w:pPr>
            <w:r>
              <w:rPr>
                <w:rFonts w:ascii="Arial" w:cs="Arial" w:eastAsia="Arial" w:hAnsi="Arial"/>
                <w:sz w:val="18"/>
                <w:szCs w:val="18"/>
                <w:color w:val="auto"/>
              </w:rPr>
              <w:t>Option Year 3 Period September 2020 through August 2021</w:t>
            </w:r>
          </w:p>
        </w:tc>
        <w:tc>
          <w:tcPr>
            <w:tcW w:w="2100" w:type="dxa"/>
            <w:vAlign w:val="bottom"/>
          </w:tcPr>
          <w:p>
            <w:pPr>
              <w:spacing w:after="0"/>
              <w:rPr>
                <w:sz w:val="17"/>
                <w:szCs w:val="17"/>
                <w:color w:val="auto"/>
              </w:rPr>
            </w:pPr>
          </w:p>
        </w:tc>
      </w:tr>
      <w:tr>
        <w:trPr>
          <w:trHeight w:val="230"/>
        </w:trPr>
        <w:tc>
          <w:tcPr>
            <w:tcW w:w="5380" w:type="dxa"/>
            <w:vAlign w:val="bottom"/>
            <w:gridSpan w:val="3"/>
          </w:tcPr>
          <w:p>
            <w:pPr>
              <w:ind w:left="180"/>
              <w:spacing w:after="0"/>
              <w:rPr>
                <w:sz w:val="20"/>
                <w:szCs w:val="20"/>
                <w:color w:val="auto"/>
              </w:rPr>
            </w:pPr>
            <w:r>
              <w:rPr>
                <w:rFonts w:ascii="Arial" w:cs="Arial" w:eastAsia="Arial" w:hAnsi="Arial"/>
                <w:sz w:val="18"/>
                <w:szCs w:val="18"/>
                <w:color w:val="auto"/>
              </w:rPr>
              <w:t>(estimated)</w:t>
            </w:r>
          </w:p>
        </w:tc>
        <w:tc>
          <w:tcPr>
            <w:tcW w:w="2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VA INFORMATION AND INFORMATION SYSTEM SECURITY/PRIVACY LANGUAGE FOR INCLUSION INTO CONTRACTS, AS APPROPRIATE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Contractors, contractor personnel, subcontractors, and subcontractor personnel shall be subject to the same Federal laws, regulations, standards, and VA Directives and Handbooks as VA and VA personnel regarding information and information system security.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57</w:t>
      </w:r>
    </w:p>
    <w:p>
      <w:pPr>
        <w:sectPr>
          <w:pgSz w:w="11900" w:h="16838" w:orient="portrait"/>
          <w:cols w:equalWidth="0" w:num="1">
            <w:col w:w="10980"/>
          </w:cols>
          <w:pgMar w:left="460" w:top="274" w:right="45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ACCESS TO VA INFORMATION AND VA INFORMATION SYSTEMS</w:t>
      </w:r>
    </w:p>
    <w:p>
      <w:pPr>
        <w:spacing w:after="0" w:line="121" w:lineRule="exact"/>
        <w:rPr>
          <w:sz w:val="20"/>
          <w:szCs w:val="20"/>
          <w:color w:val="auto"/>
        </w:rPr>
      </w:pPr>
    </w:p>
    <w:p>
      <w:pPr>
        <w:ind w:right="380"/>
        <w:spacing w:after="0" w:line="341" w:lineRule="auto"/>
        <w:rPr>
          <w:sz w:val="20"/>
          <w:szCs w:val="20"/>
          <w:color w:val="auto"/>
        </w:rPr>
      </w:pPr>
      <w:r>
        <w:rPr>
          <w:rFonts w:ascii="Arial" w:cs="Arial" w:eastAsia="Arial" w:hAnsi="Arial"/>
          <w:sz w:val="16"/>
          <w:szCs w:val="16"/>
          <w:color w:val="auto"/>
        </w:rPr>
        <w:t>a. A contractor/subcontrator shall request logical (technical) or physical access to VA information and VA information systems for their employees, subcontractors, and affiliates only to the extent necessary to perform the services specified in the contract, agreement, or task order.</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 All contractors, subcontractors, and third-party servicers and associates working with VA information are subject to the same investigative requirements as those of VA appointees or employees who have access to the same types of information. The level and process of background security investigations for contractors must be in accordance with VA Directive and Handbook 0710, </w:t>
      </w:r>
      <w:r>
        <w:rPr>
          <w:rFonts w:ascii="Arial" w:cs="Arial" w:eastAsia="Arial" w:hAnsi="Arial"/>
          <w:sz w:val="18"/>
          <w:szCs w:val="18"/>
          <w:i w:val="1"/>
          <w:iCs w:val="1"/>
          <w:color w:val="auto"/>
        </w:rPr>
        <w:t>Personnel Suitability and Security Program</w:t>
      </w:r>
      <w:r>
        <w:rPr>
          <w:rFonts w:ascii="Arial" w:cs="Arial" w:eastAsia="Arial" w:hAnsi="Arial"/>
          <w:sz w:val="18"/>
          <w:szCs w:val="18"/>
          <w:color w:val="auto"/>
        </w:rPr>
        <w:t>. The Office for Operations, Security, and Preparedness is responsible for these policies and procedures.</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 Contract personnel who require access to national security programs must have a valid security clearance. National Industrial Security Program (NISP) was established by Executive Order 12829 to ensure that cleared U.S. defense industry contract personnel safeguard the classified information in their possession while performing work on contracts, programs, bids, or research and development efforts. The Department of Veterans Affairs does not have a Memorandum of Agreement with Defense Security Service (DSS). Verification of a Security Clearance must be processed through the Special Security Officer located in the Planning and National Security Service within the Office of Operations, Security, and Preparedness.</w:t>
      </w:r>
    </w:p>
    <w:p>
      <w:pPr>
        <w:spacing w:after="0" w:line="1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 Custom software development and outsourced operations must be located in the U.S. to the maximum extent practical. If such services are proposed to be performed abroad andare not disallowed by other VA policy or mandates, the contractor/subcontractor must state where all non-U.S. services are provided and detail a security plan, deemed to be acceptable by VA, specifically to address mitigation of the resulting problems of communication, control, data protection, and so forth. Location within the U.S. may be an evaluation factor.</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 The contractor or subcontractor must notify the Contracting Officer immediately when an employee working on a VA system or with access to VA information is reassigned or leaves the contractor or subcontractor’s employ. The Contracting Officer must also be notified immediately by the contractor or subcontractor prior to an unfriendly termination.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 INFORMATION CUSTODIAL LANGUAGE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Information made available to the contractor or subcontractor by VA for the performance or administration of this contract or information developed by the contractor/subcontractor in performance or administration of the contract shall be used only for those purposes and shall not be used in any other way without the prior written agreement of the VA. This clause expressly limits the contractor/subcontractor’s rights to use data as described in Rights in Data - General, FAR 52.227-14(d) (1).</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 VA information should not be co-mingled, if possible, with any other data on the contractors/subcontractor’s information systems or media storage systems in order to ensure VA requirements related to data protection and media sanitization can be met. If co-mingling must be allowed to meet the requirements of the business need, the contractor must ensure that VA’s information is returned to the VA or destroyed in accordance with VA’s sanitization requirements. VA reserves the right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57</w:t>
      </w:r>
    </w:p>
    <w:p>
      <w:pPr>
        <w:sectPr>
          <w:pgSz w:w="11900" w:h="16838" w:orient="portrait"/>
          <w:cols w:equalWidth="0" w:num="1">
            <w:col w:w="10980"/>
          </w:cols>
          <w:pgMar w:left="460" w:top="270" w:right="459" w:bottom="1440" w:gutter="0" w:footer="0" w:header="0"/>
        </w:sectPr>
      </w:pPr>
    </w:p>
    <w:bookmarkStart w:id="507" w:name="page508"/>
    <w:bookmarkEnd w:id="50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conduct on site inspections of contractor and subcontractor IT resources to ensure data security controls, separation of data and job duties, and destruction/media sanitization procedures are in compliance with VA directive requirements.</w:t>
      </w:r>
    </w:p>
    <w:p>
      <w:pPr>
        <w:spacing w:after="0" w:line="1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c. Prior to termination or completion of this contract, contractor/subcontractor must not destroy information received from VA, or gathered/created by the contractor in the course of performing this contract without prior written approval by the VA. Any data destruction done on behalf of VA by a contractor/subcontractor must be done in accordance with National Archives and Records Administration (NARA) requirements as outlined in VA Directive 6300, </w:t>
      </w:r>
      <w:r>
        <w:rPr>
          <w:rFonts w:ascii="Arial" w:cs="Arial" w:eastAsia="Arial" w:hAnsi="Arial"/>
          <w:sz w:val="16"/>
          <w:szCs w:val="16"/>
          <w:i w:val="1"/>
          <w:iCs w:val="1"/>
          <w:color w:val="auto"/>
        </w:rPr>
        <w:t>Records and Information Management</w:t>
      </w:r>
      <w:r>
        <w:rPr>
          <w:rFonts w:ascii="Arial" w:cs="Arial" w:eastAsia="Arial" w:hAnsi="Arial"/>
          <w:sz w:val="16"/>
          <w:szCs w:val="16"/>
          <w:color w:val="auto"/>
        </w:rPr>
        <w:t xml:space="preserve"> and its Handbook 6300.1 </w:t>
      </w:r>
      <w:r>
        <w:rPr>
          <w:rFonts w:ascii="Arial" w:cs="Arial" w:eastAsia="Arial" w:hAnsi="Arial"/>
          <w:sz w:val="16"/>
          <w:szCs w:val="16"/>
          <w:i w:val="1"/>
          <w:iCs w:val="1"/>
          <w:color w:val="auto"/>
        </w:rPr>
        <w:t>Records Management Procedures</w:t>
      </w:r>
      <w:r>
        <w:rPr>
          <w:rFonts w:ascii="Arial" w:cs="Arial" w:eastAsia="Arial" w:hAnsi="Arial"/>
          <w:sz w:val="16"/>
          <w:szCs w:val="16"/>
          <w:color w:val="auto"/>
        </w:rPr>
        <w:t xml:space="preserve">, applicable VA Records Control Schedules, and VA Handbook 6500.1, </w:t>
      </w:r>
      <w:r>
        <w:rPr>
          <w:rFonts w:ascii="Arial" w:cs="Arial" w:eastAsia="Arial" w:hAnsi="Arial"/>
          <w:sz w:val="16"/>
          <w:szCs w:val="16"/>
          <w:i w:val="1"/>
          <w:iCs w:val="1"/>
          <w:color w:val="auto"/>
        </w:rPr>
        <w:t>Electronic Media Sanitization</w:t>
      </w:r>
      <w:r>
        <w:rPr>
          <w:rFonts w:ascii="Arial" w:cs="Arial" w:eastAsia="Arial" w:hAnsi="Arial"/>
          <w:sz w:val="16"/>
          <w:szCs w:val="16"/>
          <w:color w:val="auto"/>
        </w:rPr>
        <w:t>. Self-certification by the contractor that the data destruction requirements above have been met must be sent to the VA Contracting Officer within 30 days of termination of the contract.</w:t>
      </w:r>
    </w:p>
    <w:p>
      <w:pPr>
        <w:spacing w:after="0" w:line="1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 The contractor/subcontractor must receive, gather, store, back up, maintain, use, disclose and dispose of VA information only in compliance with the terms of the contract and applicable Federal and VA information confidentiality and security laws, regulations and policies. If Federal or VA information confidentiality and security laws, regulations and policies become applicable to the VA information or information systems after execution of the contract, or if NIST issues or updates applicable FIPS or Special Publications (SP) after execution of this contract, the parties agree to negotiate in good faith to implement the information confidentiality and security laws, regulations and policies in this contract.</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 The contractor/subcontractor shall not make copies of VA information except as authorized and necessary to perform the terms of the agreement or to preserve electronic information stored on contractor/subcontractor electronic storage media for restoration in case any electronic equipment or data used by the contractor/subcontractor needs to be restored to an operating state. If copies are made for restoration purposes, after the restoration is complete, the copies must be appropriately destroyed.</w:t>
      </w:r>
    </w:p>
    <w:p>
      <w:pPr>
        <w:spacing w:after="0" w:line="18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 If VA determines that the contractor has violated any of the information confidentiality, privacy, and security provisions of the contract, it shall be sufficient grounds for VA to withhold payment to the contractor or third party or terminate the contract for default or terminate for cause under Federal Acquisition Regulation (FAR) part 12.</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g. If a VHA contract is terminated for cause, the associated BAA must also be terminated and appropriate actions taken in accordance with VHA Handbook 1600.01, </w:t>
      </w:r>
      <w:r>
        <w:rPr>
          <w:rFonts w:ascii="Arial" w:cs="Arial" w:eastAsia="Arial" w:hAnsi="Arial"/>
          <w:sz w:val="18"/>
          <w:szCs w:val="18"/>
          <w:i w:val="1"/>
          <w:iCs w:val="1"/>
          <w:color w:val="auto"/>
        </w:rPr>
        <w:t>Business Associate Agreements</w:t>
      </w:r>
      <w:r>
        <w:rPr>
          <w:rFonts w:ascii="Arial" w:cs="Arial" w:eastAsia="Arial" w:hAnsi="Arial"/>
          <w:sz w:val="18"/>
          <w:szCs w:val="18"/>
          <w:color w:val="auto"/>
        </w:rPr>
        <w:t>. Absent an agreement to use or disclose protected health information, there is no business associate relationship.</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 The contractor/subcontractor must store, transport, or transmit VA sensitive information in an encrypted form, using VA-approved encryption tools that are, at a minimum, FIPS 140-2 validated.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 The contractor/subcontractor’s firewall and Web services security controls, if applicable, shall meet or exceed VA’s minimum requirements. VA Configuration Guidelines are available upon request.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57</w:t>
      </w:r>
    </w:p>
    <w:p>
      <w:pPr>
        <w:sectPr>
          <w:pgSz w:w="11900" w:h="16838" w:orient="portrait"/>
          <w:cols w:equalWidth="0" w:num="1">
            <w:col w:w="10980"/>
          </w:cols>
          <w:pgMar w:left="460" w:top="274" w:right="459" w:bottom="1440" w:gutter="0" w:footer="0" w:header="0"/>
        </w:sectPr>
      </w:pPr>
    </w:p>
    <w:bookmarkStart w:id="508" w:name="page509"/>
    <w:bookmarkEnd w:id="50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 Except for uses and disclosures of VA information authorized by this contract for performance of the contract, the contractor/subcontractor may use and disclose VA information only in two other situations: (i) in response to a qualifying order of a court of competent jurisdiction, or (ii) with VA’s prior written approval. The contractor/subcontractor must refer all requests for, demands for production of, or inquiries about, VA information and information systems to the VA contracting officer for response.</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k. Notwithstanding the provision above, the contractor/subcontractor shall not release VA records protected by Title 38 U.S.C. 5705, confidentiality of medical quality assurance records and/or Title 38 U.S.C. 7332, confidentiality of certain health records pertaining to drug addiction, sickle cell anemia, alcoholism or alcohol abuse, or infection with human immunodeficiency virus. If the contractor/subcontractor is in receipt of a court order or other requests for the above mentioned information, that contractor/subcontractor shall immediately refer such court orders or other requests to the VA contracting officer for response.</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 For service that involves the storage, generating, transmitting, or exchanging of VA sensitive information but does not require C&amp;A or an MOU-ISA for system interconnection, the contractor/subcontractor must complete a Contractor Security Control Assessment (CSCA) on a yearly basis and provide it to the COR.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INFORMATION SYSTEM DESIGN AND DEVELOPMENT</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a. Information systems that are designed or developed for or on behalf of VA at non-VA facilities shall comply with all VA directives developed in accordance with FISMA, HIPAA, NIST, and related VA security and privacy control requirements for Federal information systems. This includes standards for the protection of electronic PHI, outlined in 45 C.F.R. Part 164, Subpart C, information and system security categorization level designations in accordance with FIPS 199 and FIPS 200 with implementation of all baseline security controls commensurate with the FIPS 199 system security categorization (reference Appendix D of VA Handbook 6500, </w:t>
      </w:r>
      <w:r>
        <w:rPr>
          <w:rFonts w:ascii="Arial" w:cs="Arial" w:eastAsia="Arial" w:hAnsi="Arial"/>
          <w:sz w:val="18"/>
          <w:szCs w:val="18"/>
          <w:i w:val="1"/>
          <w:iCs w:val="1"/>
          <w:color w:val="auto"/>
        </w:rPr>
        <w:t>VA Information Security Program</w:t>
      </w:r>
      <w:r>
        <w:rPr>
          <w:rFonts w:ascii="Arial" w:cs="Arial" w:eastAsia="Arial" w:hAnsi="Arial"/>
          <w:sz w:val="18"/>
          <w:szCs w:val="18"/>
          <w:color w:val="auto"/>
        </w:rPr>
        <w:t xml:space="preserve">). During the development cycle a Privacy Impact Assessment (PIA) must be completed, provided to the COR, and approved by the VA Privacy Service in accordance with Directive 6507, </w:t>
      </w:r>
      <w:r>
        <w:rPr>
          <w:rFonts w:ascii="Arial" w:cs="Arial" w:eastAsia="Arial" w:hAnsi="Arial"/>
          <w:sz w:val="18"/>
          <w:szCs w:val="18"/>
          <w:i w:val="1"/>
          <w:iCs w:val="1"/>
          <w:color w:val="auto"/>
        </w:rPr>
        <w:t>VA</w:t>
      </w:r>
      <w:r>
        <w:rPr>
          <w:rFonts w:ascii="Arial" w:cs="Arial" w:eastAsia="Arial" w:hAnsi="Arial"/>
          <w:sz w:val="18"/>
          <w:szCs w:val="18"/>
          <w:color w:val="auto"/>
        </w:rPr>
        <w:t xml:space="preserve"> </w:t>
      </w:r>
      <w:r>
        <w:rPr>
          <w:rFonts w:ascii="Arial" w:cs="Arial" w:eastAsia="Arial" w:hAnsi="Arial"/>
          <w:sz w:val="18"/>
          <w:szCs w:val="18"/>
          <w:i w:val="1"/>
          <w:iCs w:val="1"/>
          <w:color w:val="auto"/>
        </w:rPr>
        <w:t>Privacy Impact Assessment</w:t>
      </w:r>
      <w:r>
        <w:rPr>
          <w:rFonts w:ascii="Arial" w:cs="Arial" w:eastAsia="Arial" w:hAnsi="Arial"/>
          <w:sz w:val="18"/>
          <w:szCs w:val="18"/>
          <w:color w:val="auto"/>
        </w:rPr>
        <w:t>.</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 The contractor/subcontractor shall certify to the COR that applications are fully functional and operate correctly as intended on systems using the VA Federal Desktop Core Configuration (FDCC), and the common security configuration guidelines provided by NIST or the VA. This includes Internet Explorer 7 configured to operate on Windows XP and Vista (in Protected Mode on Vista) and future versions, as required.</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 The standard installation, operation, maintenance, updating, and patching of software shall not alter the configuration settings from the VA approved and FDCC configuration. Information technology staff must also use the Windows Installer Service for installation to the default “program files” directory and silently install and uninstall.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57</w:t>
      </w:r>
    </w:p>
    <w:p>
      <w:pPr>
        <w:sectPr>
          <w:pgSz w:w="11900" w:h="16838" w:orient="portrait"/>
          <w:cols w:equalWidth="0" w:num="1">
            <w:col w:w="10960"/>
          </w:cols>
          <w:pgMar w:left="460" w:top="274" w:right="479" w:bottom="1440" w:gutter="0" w:footer="0" w:header="0"/>
        </w:sectPr>
      </w:pPr>
    </w:p>
    <w:bookmarkStart w:id="509" w:name="page510"/>
    <w:bookmarkEnd w:id="509"/>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Applications designed for normal end users shall run in the standard user context without elevated system administration privileges.</w:t>
      </w:r>
    </w:p>
    <w:p>
      <w:pPr>
        <w:spacing w:after="0" w:line="225" w:lineRule="exact"/>
        <w:rPr>
          <w:sz w:val="20"/>
          <w:szCs w:val="20"/>
          <w:color w:val="auto"/>
        </w:rPr>
      </w:pPr>
    </w:p>
    <w:p>
      <w:pPr>
        <w:ind w:left="10" w:right="220"/>
        <w:spacing w:after="0" w:line="259" w:lineRule="auto"/>
        <w:rPr>
          <w:sz w:val="20"/>
          <w:szCs w:val="20"/>
          <w:color w:val="auto"/>
        </w:rPr>
      </w:pPr>
      <w:r>
        <w:rPr>
          <w:rFonts w:ascii="Arial" w:cs="Arial" w:eastAsia="Arial" w:hAnsi="Arial"/>
          <w:sz w:val="18"/>
          <w:szCs w:val="18"/>
          <w:color w:val="auto"/>
        </w:rPr>
        <w:t xml:space="preserve">e. The security controls must be designed, developed, approved by VA, and implemented in accordance with the provisions of VA security system development life cycle as outlined in NIST Special Publication 800-37, </w:t>
      </w:r>
      <w:r>
        <w:rPr>
          <w:rFonts w:ascii="Arial" w:cs="Arial" w:eastAsia="Arial" w:hAnsi="Arial"/>
          <w:sz w:val="18"/>
          <w:szCs w:val="18"/>
          <w:i w:val="1"/>
          <w:iCs w:val="1"/>
          <w:color w:val="auto"/>
        </w:rPr>
        <w:t>Guide for Applying the Risk Management Framework to Federal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Systems</w:t>
      </w:r>
      <w:r>
        <w:rPr>
          <w:rFonts w:ascii="Arial" w:cs="Arial" w:eastAsia="Arial" w:hAnsi="Arial"/>
          <w:sz w:val="18"/>
          <w:szCs w:val="18"/>
          <w:color w:val="auto"/>
        </w:rPr>
        <w:t>, VA Handbook 6500,</w:t>
      </w:r>
      <w:r>
        <w:rPr>
          <w:rFonts w:ascii="Arial" w:cs="Arial" w:eastAsia="Arial" w:hAnsi="Arial"/>
          <w:sz w:val="18"/>
          <w:szCs w:val="18"/>
          <w:i w:val="1"/>
          <w:iCs w:val="1"/>
          <w:color w:val="auto"/>
        </w:rPr>
        <w:t xml:space="preserve"> Information Security Program </w:t>
      </w:r>
      <w:r>
        <w:rPr>
          <w:rFonts w:ascii="Arial" w:cs="Arial" w:eastAsia="Arial" w:hAnsi="Arial"/>
          <w:sz w:val="18"/>
          <w:szCs w:val="18"/>
          <w:color w:val="auto"/>
        </w:rPr>
        <w:t>and VA Handbook 6500.5,</w:t>
      </w:r>
      <w:r>
        <w:rPr>
          <w:rFonts w:ascii="Arial" w:cs="Arial" w:eastAsia="Arial" w:hAnsi="Arial"/>
          <w:sz w:val="18"/>
          <w:szCs w:val="18"/>
          <w:i w:val="1"/>
          <w:iCs w:val="1"/>
          <w:color w:val="auto"/>
        </w:rPr>
        <w:t xml:space="preserve"> Incorporating Security and Privacy in System Development Lifecycle</w:t>
      </w:r>
      <w:r>
        <w:rPr>
          <w:rFonts w:ascii="Arial" w:cs="Arial" w:eastAsia="Arial" w:hAnsi="Arial"/>
          <w:sz w:val="18"/>
          <w:szCs w:val="18"/>
          <w:color w:val="auto"/>
        </w:rPr>
        <w:t>.</w:t>
      </w:r>
    </w:p>
    <w:p>
      <w:pPr>
        <w:spacing w:after="0" w:line="186" w:lineRule="exact"/>
        <w:rPr>
          <w:sz w:val="20"/>
          <w:szCs w:val="20"/>
          <w:color w:val="auto"/>
        </w:rPr>
      </w:pPr>
    </w:p>
    <w:p>
      <w:pPr>
        <w:ind w:left="10" w:right="140"/>
        <w:spacing w:after="0" w:line="263" w:lineRule="auto"/>
        <w:rPr>
          <w:sz w:val="20"/>
          <w:szCs w:val="20"/>
          <w:color w:val="auto"/>
        </w:rPr>
      </w:pPr>
      <w:r>
        <w:rPr>
          <w:rFonts w:ascii="Arial" w:cs="Arial" w:eastAsia="Arial" w:hAnsi="Arial"/>
          <w:sz w:val="18"/>
          <w:szCs w:val="18"/>
          <w:color w:val="auto"/>
        </w:rPr>
        <w:t>f. The contractor/subcontractor is required to design, develop, or operate a System of Records Notice (SOR) on individuals to accomplish an agency function subject to the Privacy Act of 1974, (as amended), Public Law 93-579, December 31, 1974 (5 U.S.C. 552a) and applicable agency regulations. Violation of the Privacy Act may involve the imposition of criminal and civil penalties.</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8"/>
          <w:szCs w:val="18"/>
          <w:color w:val="auto"/>
        </w:rPr>
        <w:t>g. The contractor/subcontractor agrees to:</w:t>
      </w:r>
    </w:p>
    <w:p>
      <w:pPr>
        <w:spacing w:after="0" w:line="225" w:lineRule="exact"/>
        <w:rPr>
          <w:sz w:val="20"/>
          <w:szCs w:val="20"/>
          <w:color w:val="auto"/>
        </w:rPr>
      </w:pPr>
    </w:p>
    <w:p>
      <w:pPr>
        <w:ind w:left="10" w:hanging="10"/>
        <w:spacing w:after="0" w:line="277" w:lineRule="auto"/>
        <w:tabs>
          <w:tab w:leader="none" w:pos="2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Comply with the Privacy Act of 1974 (the Act) and the agency rules and regulations issued under the Act in the design, development, or operation of any system of records on individuals to accomplish an agency function when the contract specifically identifies:</w:t>
      </w:r>
    </w:p>
    <w:p>
      <w:pPr>
        <w:spacing w:after="0" w:line="170" w:lineRule="exact"/>
        <w:rPr>
          <w:sz w:val="20"/>
          <w:szCs w:val="20"/>
          <w:color w:val="auto"/>
        </w:rPr>
      </w:pPr>
    </w:p>
    <w:p>
      <w:pPr>
        <w:ind w:left="250" w:hanging="250"/>
        <w:spacing w:after="0"/>
        <w:tabs>
          <w:tab w:leader="none" w:pos="25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Systems of Records (SOR); and</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design, development, or operation work that the contractor/subcontractor is to perform;</w:t>
      </w:r>
    </w:p>
    <w:p>
      <w:pPr>
        <w:spacing w:after="0" w:line="225" w:lineRule="exact"/>
        <w:rPr>
          <w:sz w:val="20"/>
          <w:szCs w:val="20"/>
          <w:color w:val="auto"/>
        </w:rPr>
      </w:pPr>
    </w:p>
    <w:p>
      <w:pPr>
        <w:ind w:left="10" w:right="80" w:hanging="10"/>
        <w:spacing w:after="0" w:line="275" w:lineRule="auto"/>
        <w:tabs>
          <w:tab w:leader="none" w:pos="264" w:val="left"/>
        </w:tabs>
        <w:numPr>
          <w:ilvl w:val="0"/>
          <w:numId w:val="426"/>
        </w:numPr>
        <w:rPr>
          <w:rFonts w:ascii="Arial" w:cs="Arial" w:eastAsia="Arial" w:hAnsi="Arial"/>
          <w:sz w:val="17"/>
          <w:szCs w:val="17"/>
          <w:color w:val="auto"/>
        </w:rPr>
      </w:pPr>
      <w:r>
        <w:rPr>
          <w:rFonts w:ascii="Arial" w:cs="Arial" w:eastAsia="Arial" w:hAnsi="Arial"/>
          <w:sz w:val="17"/>
          <w:szCs w:val="17"/>
          <w:color w:val="auto"/>
        </w:rPr>
        <w:t>Include the Privacy Act notification contained in this contract in every solicitation and resulting subcontract and in every subcontract awarded without a solicitation, when the work statement in the proposed subcontract requires the redesign, development, or operation of a SOR on individuals that is subject to the Privacy Act; and l. All other vulnerabilities shall be remediated as specified in this paragraph in a timely manner based on risk, but within 60 days of discovery or disclosure. Exceptions to this paragraph (e.g. for the convenience of VA) shall only be granted with approval of the contracting officer and the VA Assistant Secretary for Office of Information and Technology.</w:t>
      </w:r>
    </w:p>
    <w:p>
      <w:pPr>
        <w:spacing w:after="0" w:line="27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 INFORMATION SYSTEM HOSTING, OPERATION, MAINTENANCE, OR USE</w:t>
      </w:r>
    </w:p>
    <w:p>
      <w:pPr>
        <w:spacing w:after="0" w:line="121" w:lineRule="exact"/>
        <w:rPr>
          <w:sz w:val="20"/>
          <w:szCs w:val="20"/>
          <w:color w:val="auto"/>
        </w:rPr>
      </w:pPr>
    </w:p>
    <w:p>
      <w:pPr>
        <w:ind w:left="10" w:right="120"/>
        <w:spacing w:after="0" w:line="254" w:lineRule="auto"/>
        <w:rPr>
          <w:sz w:val="20"/>
          <w:szCs w:val="20"/>
          <w:color w:val="auto"/>
        </w:rPr>
      </w:pPr>
      <w:r>
        <w:rPr>
          <w:rFonts w:ascii="Arial" w:cs="Arial" w:eastAsia="Arial" w:hAnsi="Arial"/>
          <w:sz w:val="18"/>
          <w:szCs w:val="18"/>
          <w:color w:val="auto"/>
        </w:rPr>
        <w:t>a. For information systems that are hosted, operated, maintained, or used on behalf of VA at non-VA facilities, contractors/subcontractors are fully responsible and accountable for ensuring compliance with all HIPAA, Privacy Act, FISMA, NIST, FIPS, and VA security and privacy directives and handbooks. This includes conducting compliant risk assessments, routine vulnerablity scanning, system patching and change management procedures, and the completion of an acceptable contingency plan for each system. The contractor’s security control procedures must be equivalent, to those procedures used to secure VA systems. A Privacy Impact Assessment (PIA) must also be provided to the COR and approved by VA Privacy Service prior to operational approval. All external Internet connections to VA’s network involving VA information must be reviewed and approved by VA prior to implementation.</w:t>
      </w:r>
    </w:p>
    <w:p>
      <w:pPr>
        <w:spacing w:after="0" w:line="12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Page 15 of 57</w:t>
      </w:r>
    </w:p>
    <w:p>
      <w:pPr>
        <w:sectPr>
          <w:pgSz w:w="11900" w:h="16838" w:orient="portrait"/>
          <w:cols w:equalWidth="0" w:num="1">
            <w:col w:w="10970"/>
          </w:cols>
          <w:pgMar w:left="450" w:top="274" w:right="479" w:bottom="1440" w:gutter="0" w:footer="0" w:header="0"/>
        </w:sectPr>
      </w:pPr>
    </w:p>
    <w:bookmarkStart w:id="510" w:name="page511"/>
    <w:bookmarkEnd w:id="510"/>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Adequate security controls for collecting, processing, transmitting, and storing of Personally Identifiable Information (PII), as determined by the VA Privacy Service, must be in place, tested, and approved by VA prior to hosting, operation, maintenance, or use of the information system, or systems by or on behalf of VA. These security controls are to be assessed and stated within the PIA and if these controls are determined not to be in place, or inadequate, a Plan of Action and Milestones (POA&amp;M) must be submitted and approved prior to the collection of PII.</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c. Outsourcing (contractor facility, contractor equipment or contractor staff) of systems or network operations, telecommunications services, or other managed services requires certification and accreditation (authorization) (C&amp;A) of the contractor’s systems in accordance with VA Handbook 6500.3, </w:t>
      </w:r>
      <w:r>
        <w:rPr>
          <w:rFonts w:ascii="Arial" w:cs="Arial" w:eastAsia="Arial" w:hAnsi="Arial"/>
          <w:sz w:val="18"/>
          <w:szCs w:val="18"/>
          <w:i w:val="1"/>
          <w:iCs w:val="1"/>
          <w:color w:val="auto"/>
        </w:rPr>
        <w:t xml:space="preserve">Certification and Accreditation </w:t>
      </w:r>
      <w:r>
        <w:rPr>
          <w:rFonts w:ascii="Arial" w:cs="Arial" w:eastAsia="Arial" w:hAnsi="Arial"/>
          <w:sz w:val="18"/>
          <w:szCs w:val="18"/>
          <w:color w:val="auto"/>
        </w:rPr>
        <w:t>and/or the VA OCS Certification Program Office. Government-owned (government facility or government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contractor-operated systems, third party or business partner networks require memorandums of understanding and interconnection agreements (MOU-ISA) which detail what data types are shared, who has access, and the appropriate level of security controls for all systems connected to VA networks.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 The contractor/subcontractor’s system must adhere to all FISMA, FIPS, and NIST standards related to the annual FISMA security controls assessment and review and update the PIA. Any deficiencies noted during this assessment must be provided to the VA contracting officer and the ISO for entry into VA’s POA&amp;M management process. The contractor/subcontractor must use VA’s POA&amp;M process to document planned remedial actions to address any deficiencies in information security policies, procedures, and practices, and the completion of those activities. Security deficiencies must be corrected within the timeframes approved by the government. Contractor/subcontractor procedures are subject to periodic, unannounced assessments by VA officials, including the VA Office of Inspector General. The physical security aspects associated with contractor/subcontractor activities must also be subject to such assessments. If major changes to the system occur that may affect the privacy or security of the data or the system, the C&amp;A of the system may need to be reviewed, retested and re-authorized per VA Handbook 6500.3. This may require reviewing and updating all of the documentation (PIA, System Security Plan, Contingency Plan). The Certification Program Office can provide guidance on whether a new C&amp;A would be necessary.</w:t>
      </w:r>
    </w:p>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 The contractor/subcontractor must conduct an annual self assessment on all systems and outsourced services as required. Both hard copy and electronic copies of the assessment must be provided to the COR. The government reserves the right to conduct such an assessment using government personnel or another contractor/subcontractor. The contractor/subcontractor must take appropriate and timely action (this can be specified in the contract) to correct or mitigate any weaknesses discovered during such testing, generally at no additional cost.</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 VA prohibits the installation and use of personally-owned or contractor/subcontractor owned equipment or software on VA’s network. If non-VA owned equipment must be used to fulfill the requirements of a contract, it must be stated in the service agreement, SOW or contract. All of the security controls required for government furnished equipment (GFE) must be utilized in approved other equipment (OE) and must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57</w:t>
      </w:r>
    </w:p>
    <w:p>
      <w:pPr>
        <w:sectPr>
          <w:pgSz w:w="11900" w:h="16838" w:orient="portrait"/>
          <w:cols w:equalWidth="0" w:num="1">
            <w:col w:w="11000"/>
          </w:cols>
          <w:pgMar w:left="460" w:top="273" w:right="439" w:bottom="1440" w:gutter="0" w:footer="0" w:header="0"/>
        </w:sectPr>
      </w:pPr>
    </w:p>
    <w:bookmarkStart w:id="511" w:name="page512"/>
    <w:bookmarkEnd w:id="511"/>
    <w:p>
      <w:pPr>
        <w:ind w:left="10"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funded by the owner of the equipment. All remote systems must be equipped with, and use, a VA-approved antivirus (AV) software and a personal (host-based or enclave based) firewall that is configured with a VA approved configuration. Software must be kept current, including all critical updates and patches. Owners of approved OE are responsible for providing and maintaining the anti-viral software and the firewall on the non-VA owned OE.</w:t>
      </w:r>
    </w:p>
    <w:p>
      <w:pPr>
        <w:spacing w:after="0" w:line="148" w:lineRule="exact"/>
        <w:rPr>
          <w:sz w:val="20"/>
          <w:szCs w:val="20"/>
          <w:color w:val="auto"/>
        </w:rPr>
      </w:pPr>
    </w:p>
    <w:p>
      <w:pPr>
        <w:ind w:left="10" w:right="120"/>
        <w:spacing w:after="0" w:line="273" w:lineRule="auto"/>
        <w:rPr>
          <w:sz w:val="20"/>
          <w:szCs w:val="20"/>
          <w:color w:val="auto"/>
        </w:rPr>
      </w:pPr>
      <w:r>
        <w:rPr>
          <w:rFonts w:ascii="Arial" w:cs="Arial" w:eastAsia="Arial" w:hAnsi="Arial"/>
          <w:sz w:val="17"/>
          <w:szCs w:val="17"/>
          <w:color w:val="auto"/>
        </w:rPr>
        <w:t xml:space="preserve">g. All electronic storage media used on non-VA leased or non-VA owned IT equipment that is used to store, process, or access VA information must be handled in adherence with VA Handbook 6500.1, </w:t>
      </w:r>
      <w:r>
        <w:rPr>
          <w:rFonts w:ascii="Arial" w:cs="Arial" w:eastAsia="Arial" w:hAnsi="Arial"/>
          <w:sz w:val="17"/>
          <w:szCs w:val="17"/>
          <w:i w:val="1"/>
          <w:iCs w:val="1"/>
          <w:color w:val="auto"/>
        </w:rPr>
        <w:t>Electronic Media Sanitization</w:t>
      </w:r>
      <w:r>
        <w:rPr>
          <w:rFonts w:ascii="Arial" w:cs="Arial" w:eastAsia="Arial" w:hAnsi="Arial"/>
          <w:sz w:val="17"/>
          <w:szCs w:val="17"/>
          <w:color w:val="auto"/>
        </w:rPr>
        <w:t xml:space="preserve"> upon: (i) completion or termination of the contract or (ii) disposal or return of the IT equipment by the contractor/subcontractor or any person acting on behalf of the contractor/subcontractor, whichever is earlier. Media (hard drives, optical disks, CDs, back-up tapes, etc.) used by the contractors/subcontractors that contain VA information must be returned to the VA for sanitization or destruction or the contractor/subcontractor must self-certify that the media has been disposed of per 6500.1 requirements. This must be completed within 30 days of termination of the contract.</w:t>
      </w:r>
    </w:p>
    <w:p>
      <w:pPr>
        <w:spacing w:after="0" w:line="177" w:lineRule="exact"/>
        <w:rPr>
          <w:sz w:val="20"/>
          <w:szCs w:val="20"/>
          <w:color w:val="auto"/>
        </w:rPr>
      </w:pPr>
    </w:p>
    <w:p>
      <w:pPr>
        <w:ind w:left="10" w:right="300"/>
        <w:spacing w:after="0" w:line="277" w:lineRule="auto"/>
        <w:rPr>
          <w:sz w:val="20"/>
          <w:szCs w:val="20"/>
          <w:color w:val="auto"/>
        </w:rPr>
      </w:pPr>
      <w:r>
        <w:rPr>
          <w:rFonts w:ascii="Arial" w:cs="Arial" w:eastAsia="Arial" w:hAnsi="Arial"/>
          <w:sz w:val="18"/>
          <w:szCs w:val="18"/>
          <w:color w:val="auto"/>
        </w:rPr>
        <w:t>h. Bio-Medical devices and other equipment or systems containing media (hard drives, optical disks, etc.) with VA sensitive information must not be returned to the vendor at the end of lease, for trade-in, or other purposes. The options are:</w:t>
      </w:r>
    </w:p>
    <w:p>
      <w:pPr>
        <w:spacing w:after="0" w:line="170" w:lineRule="exact"/>
        <w:rPr>
          <w:sz w:val="20"/>
          <w:szCs w:val="20"/>
          <w:color w:val="auto"/>
        </w:rPr>
      </w:pPr>
    </w:p>
    <w:p>
      <w:pPr>
        <w:ind w:left="250" w:hanging="250"/>
        <w:spacing w:after="0"/>
        <w:tabs>
          <w:tab w:leader="none" w:pos="2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Vendor must accept the system without the drive;</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VA’s initial medical device purchase includes a spare drive which must be installed in place of the original drive at time of turn-in; or</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VA must reimburse the company for media at a reasonable open market replacement cost at time of purchase.</w:t>
      </w:r>
    </w:p>
    <w:p>
      <w:pPr>
        <w:spacing w:after="0" w:line="224" w:lineRule="exact"/>
        <w:rPr>
          <w:rFonts w:ascii="Arial" w:cs="Arial" w:eastAsia="Arial" w:hAnsi="Arial"/>
          <w:sz w:val="18"/>
          <w:szCs w:val="18"/>
          <w:color w:val="auto"/>
        </w:rPr>
      </w:pPr>
    </w:p>
    <w:p>
      <w:pPr>
        <w:ind w:left="10" w:right="140" w:hanging="10"/>
        <w:spacing w:after="0" w:line="277" w:lineRule="auto"/>
        <w:tabs>
          <w:tab w:leader="none" w:pos="26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Due to the highly specialized and sometimes proprietary hardware and software associated with medical equipment/systems, if it is not possible for the VA to retain the hard drive, then;</w:t>
      </w:r>
    </w:p>
    <w:p>
      <w:pPr>
        <w:spacing w:after="0" w:line="170" w:lineRule="exact"/>
        <w:rPr>
          <w:sz w:val="20"/>
          <w:szCs w:val="20"/>
          <w:color w:val="auto"/>
        </w:rPr>
      </w:pPr>
    </w:p>
    <w:p>
      <w:pPr>
        <w:ind w:left="10" w:right="380" w:hanging="10"/>
        <w:spacing w:after="0" w:line="277" w:lineRule="auto"/>
        <w:tabs>
          <w:tab w:leader="none" w:pos="25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equipment vendor must have an existing BAA if the device being traded in has sensitive information stored on it and hard drive(s) from the system are being returned physically intact; and</w:t>
      </w:r>
    </w:p>
    <w:p>
      <w:pPr>
        <w:spacing w:after="0" w:line="169" w:lineRule="exact"/>
        <w:rPr>
          <w:rFonts w:ascii="Arial" w:cs="Arial" w:eastAsia="Arial" w:hAnsi="Arial"/>
          <w:sz w:val="18"/>
          <w:szCs w:val="18"/>
          <w:color w:val="auto"/>
        </w:rPr>
      </w:pPr>
    </w:p>
    <w:p>
      <w:pPr>
        <w:ind w:left="10" w:hanging="10"/>
        <w:spacing w:after="0" w:line="286" w:lineRule="auto"/>
        <w:tabs>
          <w:tab w:leader="none" w:pos="264" w:val="left"/>
        </w:tabs>
        <w:numPr>
          <w:ilvl w:val="0"/>
          <w:numId w:val="428"/>
        </w:numPr>
        <w:rPr>
          <w:rFonts w:ascii="Arial" w:cs="Arial" w:eastAsia="Arial" w:hAnsi="Arial"/>
          <w:sz w:val="17"/>
          <w:szCs w:val="17"/>
          <w:color w:val="auto"/>
        </w:rPr>
      </w:pPr>
      <w:r>
        <w:rPr>
          <w:rFonts w:ascii="Arial" w:cs="Arial" w:eastAsia="Arial" w:hAnsi="Arial"/>
          <w:sz w:val="17"/>
          <w:szCs w:val="17"/>
          <w:color w:val="auto"/>
        </w:rPr>
        <w:t>Any fixed hard drive on the device must be non-destructively sanitized to the greatest extent possible without negatively impacting system operation. Selective clearing down to patient data folder level is recommended using VA approved and validated overwriting technologies/methods/tools. Applicable media sanitization specifications need to be preapproved and described in the purchase order or contract.</w:t>
      </w:r>
    </w:p>
    <w:p>
      <w:pPr>
        <w:spacing w:after="0" w:line="164" w:lineRule="exact"/>
        <w:rPr>
          <w:rFonts w:ascii="Arial" w:cs="Arial" w:eastAsia="Arial" w:hAnsi="Arial"/>
          <w:sz w:val="17"/>
          <w:szCs w:val="17"/>
          <w:color w:val="auto"/>
        </w:rPr>
      </w:pPr>
    </w:p>
    <w:p>
      <w:pPr>
        <w:ind w:left="10" w:hanging="10"/>
        <w:spacing w:after="0" w:line="277" w:lineRule="auto"/>
        <w:tabs>
          <w:tab w:leader="none" w:pos="25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statement needs to be signed by the Director (System Owner) that states that the drive could not be removed and that (a) and (b) controls above are in place and completed. The ISO needs to maintain the documentation.</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17 of 57</w:t>
      </w:r>
    </w:p>
    <w:p>
      <w:pPr>
        <w:sectPr>
          <w:pgSz w:w="11900" w:h="16838" w:orient="portrait"/>
          <w:cols w:equalWidth="0" w:num="1">
            <w:col w:w="10990"/>
          </w:cols>
          <w:pgMar w:left="450" w:top="274" w:right="45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SECURITY INCIDENT INVESTIGATION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 The term “security incident” means an event that has, or could have, resulted in unauthorized access to, loss or damage to VA assets, or sensitive information, or an action that breaches VA security procedures. The contractor/subcontractor shall immediately notify the COR and simultaneously, the designated ISO and Privacy Officer for the contract of any known or suspected security/privacy incidents, or any unauthorized disclosure of sensitive information, including that contained in system(s) to which the contractor/subcontractor has access.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 To the extent known by the contractor/subcontractor, the contractor/subcontractor’s notice to VA shall identify the information involved, the circumstances surrounding the incident (including to whom, how, when, and where the VA information or assets were placed at risk or compromised), and any other information that the contractor/subcontractor considers relevant.</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 With respect to unsecured protected health information, the business associate is deemed to have discovered a data breach when the business associate knew or should have known of a breach of such information. Upon discovery, the business associate must notify the covered entity of the breach. Notifications need to be made in accordance with the executed business associate agreement.</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 In instances of theft or break-in or other criminal activity, the contractor/subcontractor must concurrently report the incident to the appropriate law enforcement entity (or entities) of jurisdiction, including the VA OIG and Security and Law Enforcement. The contractor, its employees, and its subcontractors and their employees shall cooperate with VA and any law enforcement authority responsible for the investigation and prosecution of any possible criminal law violation(s) associated with any incident. The contractor/subcontractor shall cooperate with VA in any civil litigation to recover VA information, obtain monetary or other compensation from a third party for damages arising from any incident, or obtain injunctive relief against any third party arising from, or related to, the incident.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LIQUIDATED DAMAGES FOR DATA BREACH</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 Consistent with the requirements of 38 U.S.C. §5725, a contract may require access to sensitive personal information. If so, the contractor is liable to VA for liquidated damages in the event of a data breach or privacy incident involving any SPI the contractor/subcontractor processes or maintains under this contract.</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 The contractor/subcontractor shall provide notice to VA of a “security incident” as set forth in the Security Incident Investigation section above. Upon such notification, VA must secure from a non-Department entity or the VA Office of Inspector General an independent risk analysis of the data breach to determine the level of risk associated with the data breach for the potential misuse of any sensitive personal information involved in the data breach. The term ‘data breach’ means the loss, theft, or other unauthorized access, or any access other than that incidental to the scope of employment, to data containing sensitive personal information, in electronic or printed form, that results in the potential compromise of the confidentiality or integrity of the data. Contractor shall fully cooperate with the entity performing the risk analysis. Failure to cooperate may be deemed a material breach and grounds for contract termination.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57</w:t>
      </w:r>
    </w:p>
    <w:p>
      <w:pPr>
        <w:sectPr>
          <w:pgSz w:w="11900" w:h="16838" w:orient="portrait"/>
          <w:cols w:equalWidth="0" w:num="1">
            <w:col w:w="10980"/>
          </w:cols>
          <w:pgMar w:left="460" w:top="270" w:right="459" w:bottom="1440" w:gutter="0" w:footer="0" w:header="0"/>
        </w:sectPr>
      </w:pPr>
    </w:p>
    <w:bookmarkStart w:id="513" w:name="page514"/>
    <w:bookmarkEnd w:id="51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Each risk analysis shall address all relevant information concerning the data breach, including the following:</w:t>
      </w:r>
    </w:p>
    <w:p>
      <w:pPr>
        <w:spacing w:after="0" w:line="225" w:lineRule="exact"/>
        <w:rPr>
          <w:sz w:val="20"/>
          <w:szCs w:val="20"/>
          <w:color w:val="auto"/>
        </w:rPr>
      </w:pPr>
    </w:p>
    <w:p>
      <w:pPr>
        <w:ind w:left="250" w:hanging="250"/>
        <w:spacing w:after="0"/>
        <w:tabs>
          <w:tab w:leader="none" w:pos="25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Nature of the event (loss, theft, unauthorized access);</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Description of the event, including:</w:t>
      </w:r>
    </w:p>
    <w:p>
      <w:pPr>
        <w:spacing w:after="0" w:line="225" w:lineRule="exact"/>
        <w:rPr>
          <w:sz w:val="20"/>
          <w:szCs w:val="20"/>
          <w:color w:val="auto"/>
        </w:rPr>
      </w:pPr>
    </w:p>
    <w:p>
      <w:pPr>
        <w:ind w:left="250" w:hanging="250"/>
        <w:spacing w:after="0"/>
        <w:tabs>
          <w:tab w:leader="none" w:pos="25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date of occurrence;</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data elements involved, including any PII, such as full name, social security number, date of birth, home address, account number, disability code;</w:t>
      </w:r>
    </w:p>
    <w:p>
      <w:pPr>
        <w:spacing w:after="0" w:line="248" w:lineRule="exact"/>
        <w:rPr>
          <w:sz w:val="20"/>
          <w:szCs w:val="20"/>
          <w:color w:val="auto"/>
        </w:rPr>
      </w:pPr>
    </w:p>
    <w:p>
      <w:pPr>
        <w:ind w:left="250" w:hanging="250"/>
        <w:spacing w:after="0"/>
        <w:tabs>
          <w:tab w:leader="none" w:pos="2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Number of individuals affected or potentially affected;</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Names of individuals or groups affected or potentially affected;</w:t>
      </w:r>
    </w:p>
    <w:p>
      <w:pPr>
        <w:spacing w:after="0" w:line="224" w:lineRule="exact"/>
        <w:rPr>
          <w:rFonts w:ascii="Arial" w:cs="Arial" w:eastAsia="Arial" w:hAnsi="Arial"/>
          <w:sz w:val="18"/>
          <w:szCs w:val="18"/>
          <w:color w:val="auto"/>
        </w:rPr>
      </w:pPr>
    </w:p>
    <w:p>
      <w:pPr>
        <w:ind w:left="10" w:right="200" w:hanging="10"/>
        <w:spacing w:after="0" w:line="277" w:lineRule="auto"/>
        <w:tabs>
          <w:tab w:leader="none" w:pos="26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Ease of logical data access to the lost, stolen or improperly accessed data in light of the degree of protection for the data, e.g., unencrypted, plain text;</w:t>
      </w:r>
    </w:p>
    <w:p>
      <w:pPr>
        <w:spacing w:after="0" w:line="169" w:lineRule="exact"/>
        <w:rPr>
          <w:rFonts w:ascii="Arial" w:cs="Arial" w:eastAsia="Arial" w:hAnsi="Arial"/>
          <w:sz w:val="18"/>
          <w:szCs w:val="18"/>
          <w:color w:val="auto"/>
        </w:rPr>
      </w:pPr>
    </w:p>
    <w:p>
      <w:pPr>
        <w:ind w:left="250" w:hanging="250"/>
        <w:spacing w:after="0"/>
        <w:tabs>
          <w:tab w:leader="none" w:pos="2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Amount of time the data has been out of VA control;</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likelihood that the sensitive personal information will or has been compromised (made accessible to and usable by unauthorized persons);</w:t>
      </w:r>
    </w:p>
    <w:p>
      <w:pPr>
        <w:spacing w:after="0" w:line="247" w:lineRule="exact"/>
        <w:rPr>
          <w:rFonts w:ascii="Arial" w:cs="Arial" w:eastAsia="Arial" w:hAnsi="Arial"/>
          <w:sz w:val="16"/>
          <w:szCs w:val="16"/>
          <w:color w:val="auto"/>
        </w:rPr>
      </w:pPr>
    </w:p>
    <w:p>
      <w:pPr>
        <w:ind w:left="250" w:hanging="250"/>
        <w:spacing w:after="0"/>
        <w:tabs>
          <w:tab w:leader="none" w:pos="2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Known misuses of data containing sensitive personal information, if any;</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Assessment of the potential harm to the affected individuals;</w:t>
      </w:r>
    </w:p>
    <w:p>
      <w:pPr>
        <w:spacing w:after="0" w:line="224" w:lineRule="exact"/>
        <w:rPr>
          <w:rFonts w:ascii="Arial" w:cs="Arial" w:eastAsia="Arial" w:hAnsi="Arial"/>
          <w:sz w:val="18"/>
          <w:szCs w:val="18"/>
          <w:color w:val="auto"/>
        </w:rPr>
      </w:pPr>
    </w:p>
    <w:p>
      <w:pPr>
        <w:ind w:left="350" w:hanging="350"/>
        <w:spacing w:after="0"/>
        <w:tabs>
          <w:tab w:leader="none" w:pos="3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Data breach analysis as outlined in 6500.2 Handbook, </w:t>
      </w:r>
      <w:r>
        <w:rPr>
          <w:rFonts w:ascii="Arial" w:cs="Arial" w:eastAsia="Arial" w:hAnsi="Arial"/>
          <w:sz w:val="18"/>
          <w:szCs w:val="18"/>
          <w:i w:val="1"/>
          <w:iCs w:val="1"/>
          <w:color w:val="auto"/>
        </w:rPr>
        <w:t>Management of Security and Privacy Incidents</w:t>
      </w:r>
      <w:r>
        <w:rPr>
          <w:rFonts w:ascii="Arial" w:cs="Arial" w:eastAsia="Arial" w:hAnsi="Arial"/>
          <w:sz w:val="18"/>
          <w:szCs w:val="18"/>
          <w:color w:val="auto"/>
        </w:rPr>
        <w:t>, as appropriate; and</w:t>
      </w:r>
    </w:p>
    <w:p>
      <w:pPr>
        <w:spacing w:after="0" w:line="224" w:lineRule="exact"/>
        <w:rPr>
          <w:rFonts w:ascii="Arial" w:cs="Arial" w:eastAsia="Arial" w:hAnsi="Arial"/>
          <w:sz w:val="18"/>
          <w:szCs w:val="18"/>
          <w:color w:val="auto"/>
        </w:rPr>
      </w:pPr>
    </w:p>
    <w:p>
      <w:pPr>
        <w:ind w:left="10" w:right="80" w:hanging="10"/>
        <w:spacing w:after="0" w:line="277" w:lineRule="auto"/>
        <w:tabs>
          <w:tab w:leader="none" w:pos="34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Whether credit protection services may assist record subjects in avoiding or mitigating the results of identity theft based on the sensitive personal information that may have been compromised.</w:t>
      </w:r>
    </w:p>
    <w:p>
      <w:pPr>
        <w:spacing w:after="0" w:line="170" w:lineRule="exact"/>
        <w:rPr>
          <w:sz w:val="20"/>
          <w:szCs w:val="20"/>
          <w:color w:val="auto"/>
        </w:rPr>
      </w:pPr>
    </w:p>
    <w:p>
      <w:pPr>
        <w:ind w:left="10" w:right="220"/>
        <w:spacing w:after="0" w:line="341" w:lineRule="auto"/>
        <w:rPr>
          <w:sz w:val="20"/>
          <w:szCs w:val="20"/>
          <w:color w:val="auto"/>
        </w:rPr>
      </w:pPr>
      <w:r>
        <w:rPr>
          <w:rFonts w:ascii="Arial" w:cs="Arial" w:eastAsia="Arial" w:hAnsi="Arial"/>
          <w:sz w:val="16"/>
          <w:szCs w:val="16"/>
          <w:color w:val="auto"/>
        </w:rPr>
        <w:t>d. Based on the determinations of the independent risk analysis, the contractor shall be responsible for paying to the VA liquidated damages in the amount of $37.50 per affected individual to cover the cost of providing credit protection services to affected individuals consisting of the following:</w:t>
      </w:r>
    </w:p>
    <w:p>
      <w:pPr>
        <w:spacing w:after="0" w:line="125" w:lineRule="exact"/>
        <w:rPr>
          <w:sz w:val="20"/>
          <w:szCs w:val="20"/>
          <w:color w:val="auto"/>
        </w:rPr>
      </w:pPr>
    </w:p>
    <w:p>
      <w:pPr>
        <w:ind w:left="250" w:hanging="250"/>
        <w:spacing w:after="0"/>
        <w:tabs>
          <w:tab w:leader="none" w:pos="25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Notification;</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One year of credit monitoring services consisting of automatic daily monitoring of at least 3 relevant credit bureau reports;</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Data breach analysis;</w:t>
      </w:r>
    </w:p>
    <w:p>
      <w:pPr>
        <w:spacing w:after="0" w:line="224" w:lineRule="exact"/>
        <w:rPr>
          <w:rFonts w:ascii="Arial" w:cs="Arial" w:eastAsia="Arial" w:hAnsi="Arial"/>
          <w:sz w:val="18"/>
          <w:szCs w:val="18"/>
          <w:color w:val="auto"/>
        </w:rPr>
      </w:pPr>
    </w:p>
    <w:p>
      <w:pPr>
        <w:ind w:left="10" w:hanging="10"/>
        <w:spacing w:after="0" w:line="277" w:lineRule="auto"/>
        <w:tabs>
          <w:tab w:leader="none" w:pos="26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Fraud resolution services, including writing dispute letters, initiating fraud alerts and credit freezes, to assist affected individuals to bring matters to resolution;</w:t>
      </w:r>
    </w:p>
    <w:p>
      <w:pPr>
        <w:spacing w:after="0" w:line="102" w:lineRule="exact"/>
        <w:rPr>
          <w:sz w:val="20"/>
          <w:szCs w:val="20"/>
          <w:color w:val="auto"/>
        </w:rPr>
      </w:pPr>
    </w:p>
    <w:p>
      <w:pPr>
        <w:jc w:val="center"/>
        <w:ind w:right="-149"/>
        <w:spacing w:after="0"/>
        <w:rPr>
          <w:sz w:val="20"/>
          <w:szCs w:val="20"/>
          <w:color w:val="auto"/>
        </w:rPr>
      </w:pPr>
      <w:r>
        <w:rPr>
          <w:rFonts w:ascii="Arial" w:cs="Arial" w:eastAsia="Arial" w:hAnsi="Arial"/>
          <w:sz w:val="18"/>
          <w:szCs w:val="18"/>
          <w:color w:val="auto"/>
        </w:rPr>
        <w:t>Page 19 of 57</w:t>
      </w:r>
    </w:p>
    <w:p>
      <w:pPr>
        <w:sectPr>
          <w:pgSz w:w="11900" w:h="16838" w:orient="portrait"/>
          <w:cols w:equalWidth="0" w:num="1">
            <w:col w:w="10850"/>
          </w:cols>
          <w:pgMar w:left="450" w:top="274" w:right="599" w:bottom="1440" w:gutter="0" w:footer="0" w:header="0"/>
        </w:sectPr>
      </w:pPr>
    </w:p>
    <w:bookmarkStart w:id="514" w:name="page515"/>
    <w:bookmarkEnd w:id="514"/>
    <w:p>
      <w:pPr>
        <w:ind w:left="250" w:hanging="250"/>
        <w:spacing w:after="0"/>
        <w:tabs>
          <w:tab w:leader="none" w:pos="25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year of identity theft insurance with $20,000.00 coverage at $0 deductible; and</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Necessary legal expenses the subjects may incur to repair falsified or damaged credit records, histories, or financial affairs.</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8. SECURITY CONTROLS COMPLIANCE TESTING</w:t>
      </w:r>
    </w:p>
    <w:p>
      <w:pPr>
        <w:spacing w:after="0" w:line="121" w:lineRule="exact"/>
        <w:rPr>
          <w:sz w:val="20"/>
          <w:szCs w:val="20"/>
          <w:color w:val="auto"/>
        </w:rPr>
      </w:pPr>
    </w:p>
    <w:p>
      <w:pPr>
        <w:ind w:left="10"/>
        <w:spacing w:after="0" w:line="255" w:lineRule="auto"/>
        <w:rPr>
          <w:sz w:val="20"/>
          <w:szCs w:val="20"/>
          <w:color w:val="auto"/>
        </w:rPr>
      </w:pPr>
      <w:r>
        <w:rPr>
          <w:rFonts w:ascii="Arial" w:cs="Arial" w:eastAsia="Arial" w:hAnsi="Arial"/>
          <w:sz w:val="18"/>
          <w:szCs w:val="18"/>
          <w:color w:val="auto"/>
        </w:rPr>
        <w:t>On a periodic basis, VA, including the Office of Inspector General, reserves the right to evaluate any or all of the security controls and privacy practices implemented by the contractor under the clauses contained within the contract. With 10 working-day’s notice, at the request of the government, the contractor must fully cooperate and assist in a government-sponsored security controls assessment at each location wherein VA information is processed or stored, or information systems are developed, operated, maintained, or used on behalf of VA, including those initiated by the Office of Inspector General. The government may conduct a security control assessment on shorter notice (to include unannounced assessments) as determined by VA in the event of a security incident or at any other time.</w:t>
      </w:r>
    </w:p>
    <w:p>
      <w:pPr>
        <w:spacing w:after="0" w:line="29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9. TRAINING</w:t>
      </w:r>
    </w:p>
    <w:p>
      <w:pPr>
        <w:spacing w:after="0" w:line="121" w:lineRule="exact"/>
        <w:rPr>
          <w:sz w:val="20"/>
          <w:szCs w:val="20"/>
          <w:color w:val="auto"/>
        </w:rPr>
      </w:pPr>
    </w:p>
    <w:p>
      <w:pPr>
        <w:ind w:left="10" w:right="120"/>
        <w:spacing w:after="0" w:line="277" w:lineRule="auto"/>
        <w:rPr>
          <w:sz w:val="20"/>
          <w:szCs w:val="20"/>
          <w:color w:val="auto"/>
        </w:rPr>
      </w:pPr>
      <w:r>
        <w:rPr>
          <w:rFonts w:ascii="Arial" w:cs="Arial" w:eastAsia="Arial" w:hAnsi="Arial"/>
          <w:sz w:val="18"/>
          <w:szCs w:val="18"/>
          <w:color w:val="auto"/>
        </w:rPr>
        <w:t>a. All contractor employees and subcontractor employees requiring access to VA information and VA information systems shall complete the following before being granted access to VA information and its systems:</w:t>
      </w:r>
    </w:p>
    <w:p>
      <w:pPr>
        <w:spacing w:after="0" w:line="170" w:lineRule="exact"/>
        <w:rPr>
          <w:sz w:val="20"/>
          <w:szCs w:val="20"/>
          <w:color w:val="auto"/>
        </w:rPr>
      </w:pPr>
    </w:p>
    <w:p>
      <w:pPr>
        <w:ind w:left="10" w:right="700" w:hanging="10"/>
        <w:spacing w:after="0" w:line="277" w:lineRule="auto"/>
        <w:tabs>
          <w:tab w:leader="none" w:pos="26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Sign and acknowledge (either manually or electronically) understanding of and responsibilities for compliance with the </w:t>
      </w:r>
      <w:r>
        <w:rPr>
          <w:rFonts w:ascii="Arial" w:cs="Arial" w:eastAsia="Arial" w:hAnsi="Arial"/>
          <w:sz w:val="18"/>
          <w:szCs w:val="18"/>
          <w:i w:val="1"/>
          <w:iCs w:val="1"/>
          <w:color w:val="auto"/>
        </w:rPr>
        <w:t>Contractor Rules of</w:t>
      </w:r>
      <w:r>
        <w:rPr>
          <w:rFonts w:ascii="Arial" w:cs="Arial" w:eastAsia="Arial" w:hAnsi="Arial"/>
          <w:sz w:val="18"/>
          <w:szCs w:val="18"/>
          <w:color w:val="auto"/>
        </w:rPr>
        <w:t xml:space="preserve"> </w:t>
      </w:r>
      <w:r>
        <w:rPr>
          <w:rFonts w:ascii="Arial" w:cs="Arial" w:eastAsia="Arial" w:hAnsi="Arial"/>
          <w:sz w:val="18"/>
          <w:szCs w:val="18"/>
          <w:i w:val="1"/>
          <w:iCs w:val="1"/>
          <w:color w:val="auto"/>
        </w:rPr>
        <w:t>Behavior</w:t>
      </w:r>
      <w:r>
        <w:rPr>
          <w:rFonts w:ascii="Arial" w:cs="Arial" w:eastAsia="Arial" w:hAnsi="Arial"/>
          <w:sz w:val="18"/>
          <w:szCs w:val="18"/>
          <w:color w:val="auto"/>
        </w:rPr>
        <w:t>, Appendix E relating to access to VA information and information systems;</w:t>
      </w:r>
    </w:p>
    <w:p>
      <w:pPr>
        <w:spacing w:after="0" w:line="169" w:lineRule="exact"/>
        <w:rPr>
          <w:rFonts w:ascii="Arial" w:cs="Arial" w:eastAsia="Arial" w:hAnsi="Arial"/>
          <w:sz w:val="18"/>
          <w:szCs w:val="18"/>
          <w:color w:val="auto"/>
        </w:rPr>
      </w:pPr>
    </w:p>
    <w:p>
      <w:pPr>
        <w:ind w:left="250" w:hanging="250"/>
        <w:spacing w:after="0"/>
        <w:tabs>
          <w:tab w:leader="none" w:pos="25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Successfully complete the </w:t>
      </w:r>
      <w:r>
        <w:rPr>
          <w:rFonts w:ascii="Arial" w:cs="Arial" w:eastAsia="Arial" w:hAnsi="Arial"/>
          <w:sz w:val="17"/>
          <w:szCs w:val="17"/>
          <w:i w:val="1"/>
          <w:iCs w:val="1"/>
          <w:color w:val="auto"/>
        </w:rPr>
        <w:t>VA Cyber Security Awareness and Rules of Behavior</w:t>
      </w:r>
      <w:r>
        <w:rPr>
          <w:rFonts w:ascii="Arial" w:cs="Arial" w:eastAsia="Arial" w:hAnsi="Arial"/>
          <w:sz w:val="17"/>
          <w:szCs w:val="17"/>
          <w:color w:val="auto"/>
        </w:rPr>
        <w:t xml:space="preserve"> training and annually complete required security training;</w:t>
      </w:r>
    </w:p>
    <w:p>
      <w:pPr>
        <w:spacing w:after="0" w:line="236" w:lineRule="exact"/>
        <w:rPr>
          <w:rFonts w:ascii="Arial" w:cs="Arial" w:eastAsia="Arial" w:hAnsi="Arial"/>
          <w:sz w:val="17"/>
          <w:szCs w:val="17"/>
          <w:color w:val="auto"/>
        </w:rPr>
      </w:pPr>
    </w:p>
    <w:p>
      <w:pPr>
        <w:ind w:left="250" w:hanging="250"/>
        <w:spacing w:after="0"/>
        <w:tabs>
          <w:tab w:leader="none" w:pos="25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Successfully complete the appropriate VA privacy training and annually complete required privacy training; and</w:t>
      </w:r>
    </w:p>
    <w:p>
      <w:pPr>
        <w:spacing w:after="0" w:line="224" w:lineRule="exact"/>
        <w:rPr>
          <w:rFonts w:ascii="Arial" w:cs="Arial" w:eastAsia="Arial" w:hAnsi="Arial"/>
          <w:sz w:val="18"/>
          <w:szCs w:val="18"/>
          <w:color w:val="auto"/>
        </w:rPr>
      </w:pPr>
    </w:p>
    <w:p>
      <w:pPr>
        <w:ind w:left="10" w:right="120" w:hanging="10"/>
        <w:spacing w:after="0" w:line="311" w:lineRule="auto"/>
        <w:tabs>
          <w:tab w:leader="none" w:pos="264"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Successfully complete any additional cyber security or privacy training, as required for VA personnel with equivalent information system access </w:t>
      </w:r>
      <w:r>
        <w:rPr>
          <w:rFonts w:ascii="Arial" w:cs="Arial" w:eastAsia="Arial" w:hAnsi="Arial"/>
          <w:sz w:val="16"/>
          <w:szCs w:val="16"/>
          <w:i w:val="1"/>
          <w:iCs w:val="1"/>
          <w:color w:val="auto"/>
        </w:rPr>
        <w:t>[to</w:t>
      </w:r>
      <w:r>
        <w:rPr>
          <w:rFonts w:ascii="Arial" w:cs="Arial" w:eastAsia="Arial" w:hAnsi="Arial"/>
          <w:sz w:val="16"/>
          <w:szCs w:val="16"/>
          <w:color w:val="auto"/>
        </w:rPr>
        <w:t xml:space="preserve"> </w:t>
      </w:r>
      <w:r>
        <w:rPr>
          <w:rFonts w:ascii="Arial" w:cs="Arial" w:eastAsia="Arial" w:hAnsi="Arial"/>
          <w:sz w:val="16"/>
          <w:szCs w:val="16"/>
          <w:i w:val="1"/>
          <w:iCs w:val="1"/>
          <w:color w:val="auto"/>
        </w:rPr>
        <w:t>be defined by the VA program official and provided to the contracting officer for inclusion in the solicitation document – e.g., any role-based information security training required in accordance with NIST Special Publication 800-16, Information Technology Security Training Requirements.]</w:t>
      </w:r>
    </w:p>
    <w:p>
      <w:pPr>
        <w:spacing w:after="0" w:line="148" w:lineRule="exact"/>
        <w:rPr>
          <w:sz w:val="20"/>
          <w:szCs w:val="20"/>
          <w:color w:val="auto"/>
        </w:rPr>
      </w:pPr>
    </w:p>
    <w:p>
      <w:pPr>
        <w:ind w:left="10" w:right="300"/>
        <w:spacing w:after="0" w:line="307" w:lineRule="auto"/>
        <w:rPr>
          <w:sz w:val="20"/>
          <w:szCs w:val="20"/>
          <w:color w:val="auto"/>
        </w:rPr>
      </w:pPr>
      <w:r>
        <w:rPr>
          <w:rFonts w:ascii="Arial" w:cs="Arial" w:eastAsia="Arial" w:hAnsi="Arial"/>
          <w:sz w:val="17"/>
          <w:szCs w:val="17"/>
          <w:color w:val="auto"/>
        </w:rPr>
        <w:t>b. The contractor shall provide to the contracting officer and/or the COR a copy of the training certificates and certification of signing the Contractor Rules of Behavior for each applicable employee within 1 week of the initiation of the contract and annually thereafter, as required.</w:t>
      </w:r>
    </w:p>
    <w:p>
      <w:pPr>
        <w:spacing w:after="0" w:line="8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20 of 57</w:t>
      </w:r>
    </w:p>
    <w:p>
      <w:pPr>
        <w:sectPr>
          <w:pgSz w:w="11900" w:h="16838" w:orient="portrait"/>
          <w:cols w:equalWidth="0" w:num="1">
            <w:col w:w="11010"/>
          </w:cols>
          <w:pgMar w:left="450" w:top="274" w:right="439" w:bottom="1440" w:gutter="0" w:footer="0" w:header="0"/>
        </w:sectPr>
      </w:pPr>
    </w:p>
    <w:bookmarkStart w:id="515" w:name="page516"/>
    <w:bookmarkEnd w:id="515"/>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Failure to complete the mandatory annual training and sign the Rules of Behavior annually, within the timeframe required, is grounds for suspension or termination of all physical or electronic access privileges and removal from work on the contract until such time as the training and documents are complete.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 RULES OF BEHAVIOR</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User Agreement contains rights and authorizations regarding my access to and use of any information assets or resources associated with my performance of services under the contract terms with the Department of Veterans Affairs (VA). This User Agreement covers my access to all VA data whether electronic or hard copy (“Data”), VA information systems and resources (“Systems”), and VA sites (“Sites”). This User Agreement incorporates Rules of Behavior for using VA, and other information systems and resources under the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TERMS AND CONDITIONS FOR ALL ACTIONS AND ACTIVITIES UNDER THE CONTRACT: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I understand and agree that I have no reasonable expectation of privacy in accessing or using any VA, or other Federal Government information systems.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b. I consent to reviews and actions by the Office of Information &amp; Technology (OI&amp;T) staff designated and authorized by the VA Chief Information Officer (CIO) and to the VA OIG regarding my access to and use of any information assets or resources associated with my performance of services under the contract terms with the VA. These actions may include monitoring, recording, copying, inspecting, restricting access, blocking, tracking, and disclosing to all authorized OI&amp;T, VA, and law enforcement personnel as directed by the VA CIO without my prior consent or notification.</w:t>
      </w:r>
    </w:p>
    <w:p>
      <w:pPr>
        <w:spacing w:after="0" w:line="1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 I consent to reviews and actions by authorized VA systems administrators and Information Security Officers solely for protection of the VA infrastructure, including, but not limited to monitoring, recording, auditing, inspecting, investigating, restricting access, blocking, tracking, disclosing to authorized personnel, or any other authorized actions by all authorized OI&amp;T, VA, and law enforcement personnel.</w:t>
      </w:r>
    </w:p>
    <w:p>
      <w:pPr>
        <w:spacing w:after="0" w:line="18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 I understand and accept that unauthorized attempts or acts to access, upload, change, or delete information on Federal Government systems; modify Federal government systems; deny access to Federal government systems; accrue resources for unauthorized use on Federal government systems; or otherwise misuse Federal government systems or resources are prohibited.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 of 57</w:t>
      </w:r>
    </w:p>
    <w:p>
      <w:pPr>
        <w:sectPr>
          <w:pgSz w:w="11900" w:h="16838" w:orient="portrait"/>
          <w:cols w:equalWidth="0" w:num="1">
            <w:col w:w="10960"/>
          </w:cols>
          <w:pgMar w:left="460" w:top="273" w:right="479" w:bottom="1440" w:gutter="0" w:footer="0" w:header="0"/>
        </w:sectPr>
      </w:pPr>
    </w:p>
    <w:bookmarkStart w:id="516" w:name="page517"/>
    <w:bookmarkEnd w:id="516"/>
    <w:p>
      <w:pPr>
        <w:jc w:val="both"/>
        <w:ind w:left="1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I understand that such unauthorized attempts or acts are subject to action that may result in criminal, civil, or administrative penalties. This includes penalties for violations of Federal laws including, but not limited to, 18 U.S.C. §1030 (fraud and related activity in connection with computers) and 18 U.S.C. §2701 (unlawful access to stored communications).</w:t>
      </w:r>
    </w:p>
    <w:p>
      <w:pPr>
        <w:spacing w:after="0" w:line="183" w:lineRule="exact"/>
        <w:rPr>
          <w:sz w:val="20"/>
          <w:szCs w:val="20"/>
          <w:color w:val="auto"/>
        </w:rPr>
      </w:pPr>
    </w:p>
    <w:p>
      <w:pPr>
        <w:ind w:left="10" w:right="240"/>
        <w:spacing w:after="0" w:line="259" w:lineRule="auto"/>
        <w:rPr>
          <w:sz w:val="20"/>
          <w:szCs w:val="20"/>
          <w:color w:val="auto"/>
        </w:rPr>
      </w:pPr>
      <w:r>
        <w:rPr>
          <w:rFonts w:ascii="Arial" w:cs="Arial" w:eastAsia="Arial" w:hAnsi="Arial"/>
          <w:sz w:val="18"/>
          <w:szCs w:val="18"/>
          <w:color w:val="auto"/>
        </w:rPr>
        <w:t>f. I agree that OI&amp;T staff, in the course of obtaining access to information or systems on my behalf for performance under the contract, may provide information about me including, but not limited to, appropriate unique personal identifiers such as date of birth and social security number to other system administrators, Information Security Officers (ISOs), or other authorized staff without further notifying me or obtaining additional written or verbal permission from me.</w:t>
      </w:r>
    </w:p>
    <w:p>
      <w:pPr>
        <w:spacing w:after="0" w:line="186" w:lineRule="exact"/>
        <w:rPr>
          <w:sz w:val="20"/>
          <w:szCs w:val="20"/>
          <w:color w:val="auto"/>
        </w:rPr>
      </w:pPr>
    </w:p>
    <w:p>
      <w:pPr>
        <w:ind w:left="10"/>
        <w:spacing w:after="0" w:line="311" w:lineRule="auto"/>
        <w:rPr>
          <w:sz w:val="20"/>
          <w:szCs w:val="20"/>
          <w:color w:val="auto"/>
        </w:rPr>
      </w:pPr>
      <w:r>
        <w:rPr>
          <w:rFonts w:ascii="Arial" w:cs="Arial" w:eastAsia="Arial" w:hAnsi="Arial"/>
          <w:sz w:val="16"/>
          <w:szCs w:val="16"/>
          <w:color w:val="auto"/>
        </w:rPr>
        <w:t>g. I understand I must comply with VA’s security and data privacy directives and handbooks. I understand that copies of those directives and handbooks can be obtained from the Contracting Officer’s Technical Representative (COR). If the contractor believes the policies and guidance provided by the COR is a material unilateral change to the contract, the contractor must elevate such concerns to the Contracting Officer for resolution.</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17"/>
          <w:szCs w:val="17"/>
          <w:color w:val="auto"/>
        </w:rPr>
        <w:t>h. I will report suspected or identified information security/privacy incidents to the COR and to the local ISO or Privacy Officer as appropriate.</w:t>
      </w:r>
    </w:p>
    <w:p>
      <w:pPr>
        <w:spacing w:after="0" w:line="34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 GENERAL RULES OF BEHAVIOR</w:t>
      </w:r>
    </w:p>
    <w:p>
      <w:pPr>
        <w:spacing w:after="0" w:line="121" w:lineRule="exact"/>
        <w:rPr>
          <w:sz w:val="20"/>
          <w:szCs w:val="20"/>
          <w:color w:val="auto"/>
        </w:rPr>
      </w:pPr>
    </w:p>
    <w:p>
      <w:pPr>
        <w:ind w:left="10" w:right="400"/>
        <w:spacing w:after="0" w:line="286" w:lineRule="auto"/>
        <w:rPr>
          <w:sz w:val="20"/>
          <w:szCs w:val="20"/>
          <w:color w:val="auto"/>
        </w:rPr>
      </w:pPr>
      <w:r>
        <w:rPr>
          <w:rFonts w:ascii="Arial" w:cs="Arial" w:eastAsia="Arial" w:hAnsi="Arial"/>
          <w:sz w:val="17"/>
          <w:szCs w:val="17"/>
          <w:color w:val="auto"/>
        </w:rPr>
        <w:t>a. Rules of Behavior are part of a comprehensive program to provide complete information security. These rules establish standards of behavior in recognition of the fact that knowledgeable users are the foundation of a successful security program. Users must understand that taking personal responsibility for the security of their computer and the information it contains is an essential part of their job.</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The following rules apply to all VA contractors</w:t>
      </w:r>
      <w:r>
        <w:rPr>
          <w:rFonts w:ascii="Arial" w:cs="Arial" w:eastAsia="Arial" w:hAnsi="Arial"/>
          <w:sz w:val="18"/>
          <w:szCs w:val="18"/>
          <w:color w:val="auto"/>
        </w:rPr>
        <w:t>. I agree to:</w:t>
      </w:r>
    </w:p>
    <w:p>
      <w:pPr>
        <w:spacing w:after="0" w:line="229" w:lineRule="exact"/>
        <w:rPr>
          <w:sz w:val="20"/>
          <w:szCs w:val="20"/>
          <w:color w:val="auto"/>
        </w:rPr>
      </w:pPr>
    </w:p>
    <w:p>
      <w:pPr>
        <w:ind w:left="10" w:right="260" w:hanging="10"/>
        <w:spacing w:after="0" w:line="277" w:lineRule="auto"/>
        <w:tabs>
          <w:tab w:leader="none" w:pos="26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Follow established procedures for requesting, accessing, and closing user accounts and access. I will not request or obtain access beyond what is normally granted to users or by what is outlined in the contract.</w:t>
      </w:r>
    </w:p>
    <w:p>
      <w:pPr>
        <w:spacing w:after="0" w:line="169" w:lineRule="exact"/>
        <w:rPr>
          <w:rFonts w:ascii="Arial" w:cs="Arial" w:eastAsia="Arial" w:hAnsi="Arial"/>
          <w:sz w:val="18"/>
          <w:szCs w:val="18"/>
          <w:color w:val="auto"/>
        </w:rPr>
      </w:pPr>
    </w:p>
    <w:p>
      <w:pPr>
        <w:ind w:left="250" w:hanging="250"/>
        <w:spacing w:after="0"/>
        <w:tabs>
          <w:tab w:leader="none" w:pos="25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Use only systems, software, databases, and data which I am authorized to use, including any copyright restrictions.</w:t>
      </w:r>
    </w:p>
    <w:p>
      <w:pPr>
        <w:spacing w:after="0" w:line="157"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Page 22 of 57</w:t>
      </w:r>
    </w:p>
    <w:p>
      <w:pPr>
        <w:sectPr>
          <w:pgSz w:w="11900" w:h="16838" w:orient="portrait"/>
          <w:cols w:equalWidth="0" w:num="1">
            <w:col w:w="10910"/>
          </w:cols>
          <w:pgMar w:left="450" w:top="274" w:right="539" w:bottom="1440" w:gutter="0" w:footer="0" w:header="0"/>
        </w:sectPr>
      </w:pPr>
    </w:p>
    <w:bookmarkStart w:id="517" w:name="page518"/>
    <w:bookmarkEnd w:id="517"/>
    <w:p>
      <w:pPr>
        <w:ind w:left="250" w:hanging="250"/>
        <w:spacing w:after="0"/>
        <w:tabs>
          <w:tab w:leader="none" w:pos="250" w:val="left"/>
        </w:tabs>
        <w:numPr>
          <w:ilvl w:val="0"/>
          <w:numId w:val="4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will not use other equipment (OE) (non-contractor owned) for the storage, transfer, or processing of VA sensitive information without a VA CIO</w:t>
      </w:r>
    </w:p>
    <w:p>
      <w:pPr>
        <w:spacing w:after="0" w:line="46" w:lineRule="exact"/>
        <w:rPr>
          <w:rFonts w:ascii="Arial" w:cs="Arial" w:eastAsia="Arial" w:hAnsi="Arial"/>
          <w:sz w:val="16"/>
          <w:szCs w:val="16"/>
          <w:color w:val="auto"/>
        </w:rPr>
      </w:pPr>
    </w:p>
    <w:p>
      <w:pPr>
        <w:ind w:left="10"/>
        <w:spacing w:after="0" w:line="260" w:lineRule="auto"/>
        <w:rPr>
          <w:rFonts w:ascii="Arial" w:cs="Arial" w:eastAsia="Arial" w:hAnsi="Arial"/>
          <w:sz w:val="16"/>
          <w:szCs w:val="16"/>
          <w:color w:val="auto"/>
        </w:rPr>
      </w:pPr>
      <w:r>
        <w:rPr>
          <w:rFonts w:ascii="Arial" w:cs="Arial" w:eastAsia="Arial" w:hAnsi="Arial"/>
          <w:sz w:val="18"/>
          <w:szCs w:val="18"/>
          <w:color w:val="auto"/>
        </w:rPr>
        <w:t>approved waiver, unless it has been reviewed and approved by local management and is included in the language of the contract. If authorized to use OE IT equipment, I must ensure that the system meets all applicable 6500 Handbook requirements for OE.</w:t>
      </w:r>
    </w:p>
    <w:p>
      <w:pPr>
        <w:spacing w:after="0" w:line="184" w:lineRule="exact"/>
        <w:rPr>
          <w:rFonts w:ascii="Arial" w:cs="Arial" w:eastAsia="Arial" w:hAnsi="Arial"/>
          <w:sz w:val="16"/>
          <w:szCs w:val="16"/>
          <w:color w:val="auto"/>
        </w:rPr>
      </w:pPr>
    </w:p>
    <w:p>
      <w:pPr>
        <w:ind w:left="10" w:right="260" w:hanging="10"/>
        <w:spacing w:after="0" w:line="277" w:lineRule="auto"/>
        <w:tabs>
          <w:tab w:leader="none" w:pos="2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Not use my position of trust and access rights to exploit system controls or access information for any reason other than in the performance of the contract.</w:t>
      </w:r>
    </w:p>
    <w:p>
      <w:pPr>
        <w:spacing w:after="0" w:line="169" w:lineRule="exact"/>
        <w:rPr>
          <w:rFonts w:ascii="Arial" w:cs="Arial" w:eastAsia="Arial" w:hAnsi="Arial"/>
          <w:sz w:val="18"/>
          <w:szCs w:val="18"/>
          <w:color w:val="auto"/>
        </w:rPr>
      </w:pPr>
    </w:p>
    <w:p>
      <w:pPr>
        <w:ind w:left="10" w:right="60" w:hanging="10"/>
        <w:spacing w:after="0" w:line="259" w:lineRule="auto"/>
        <w:tabs>
          <w:tab w:leader="none" w:pos="2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Not attempt to override or disable security, technical, or management controls unless expressly permitted to do so as an explicit requirement under the contract or at the direction of the COR or ISO. If I am allowed or required to have a local administrator account on a government-owned computer, that local administrative account does not confer me unrestricted access or use, nor the authority to bypass security or other controls except as expressly permitted by the VA CIO or CIO’s designee.</w:t>
      </w:r>
    </w:p>
    <w:p>
      <w:pPr>
        <w:spacing w:after="0" w:line="185" w:lineRule="exact"/>
        <w:rPr>
          <w:rFonts w:ascii="Arial" w:cs="Arial" w:eastAsia="Arial" w:hAnsi="Arial"/>
          <w:sz w:val="18"/>
          <w:szCs w:val="18"/>
          <w:color w:val="auto"/>
        </w:rPr>
      </w:pPr>
    </w:p>
    <w:p>
      <w:pPr>
        <w:jc w:val="both"/>
        <w:ind w:left="10" w:right="220" w:hanging="10"/>
        <w:spacing w:after="0" w:line="263" w:lineRule="auto"/>
        <w:tabs>
          <w:tab w:leader="none" w:pos="2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Contractors’ use of systems, information, or sites is strictly limited to fulfill the terms of the contract. I understand no personal use is authorized. I will only use other Federal government information systems as expressly authorized by the terms of those systems. I accept that the restrictions under ethics regulations and criminal law still apply.</w:t>
      </w:r>
    </w:p>
    <w:p>
      <w:pPr>
        <w:spacing w:after="0" w:line="182" w:lineRule="exact"/>
        <w:rPr>
          <w:rFonts w:ascii="Arial" w:cs="Arial" w:eastAsia="Arial" w:hAnsi="Arial"/>
          <w:sz w:val="18"/>
          <w:szCs w:val="18"/>
          <w:color w:val="auto"/>
        </w:rPr>
      </w:pPr>
    </w:p>
    <w:p>
      <w:pPr>
        <w:ind w:left="250" w:hanging="250"/>
        <w:spacing w:after="0"/>
        <w:tabs>
          <w:tab w:leader="none" w:pos="25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Grant access to systems and information only to those who have an official need to know.</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Protect passwords from access by other individuals.</w:t>
      </w:r>
    </w:p>
    <w:p>
      <w:pPr>
        <w:spacing w:after="0" w:line="224" w:lineRule="exact"/>
        <w:rPr>
          <w:rFonts w:ascii="Arial" w:cs="Arial" w:eastAsia="Arial" w:hAnsi="Arial"/>
          <w:sz w:val="18"/>
          <w:szCs w:val="18"/>
          <w:color w:val="auto"/>
        </w:rPr>
      </w:pPr>
    </w:p>
    <w:p>
      <w:pPr>
        <w:ind w:left="10" w:right="160" w:hanging="10"/>
        <w:spacing w:after="0" w:line="277" w:lineRule="auto"/>
        <w:tabs>
          <w:tab w:leader="none" w:pos="2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Create and change passwords in accordance with VA Handbook 6500 on systems and any devices protecting VA information as well as the rules of behavior and security settings for the particular system in question.</w:t>
      </w:r>
    </w:p>
    <w:p>
      <w:pPr>
        <w:spacing w:after="0" w:line="169" w:lineRule="exact"/>
        <w:rPr>
          <w:rFonts w:ascii="Arial" w:cs="Arial" w:eastAsia="Arial" w:hAnsi="Arial"/>
          <w:sz w:val="18"/>
          <w:szCs w:val="18"/>
          <w:color w:val="auto"/>
        </w:rPr>
      </w:pPr>
    </w:p>
    <w:p>
      <w:pPr>
        <w:ind w:left="350" w:hanging="350"/>
        <w:spacing w:after="0"/>
        <w:tabs>
          <w:tab w:leader="none" w:pos="35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Protect information and systems from unauthorized disclosure, use, modification, or destruction. I will only use encryption that is FIPS 140-2</w:t>
      </w:r>
    </w:p>
    <w:p>
      <w:pPr>
        <w:spacing w:after="0" w:line="34" w:lineRule="exact"/>
        <w:rPr>
          <w:rFonts w:ascii="Arial" w:cs="Arial" w:eastAsia="Arial" w:hAnsi="Arial"/>
          <w:sz w:val="17"/>
          <w:szCs w:val="17"/>
          <w:color w:val="auto"/>
        </w:rPr>
      </w:pPr>
    </w:p>
    <w:p>
      <w:pPr>
        <w:ind w:left="10" w:right="100"/>
        <w:spacing w:after="0" w:line="289" w:lineRule="auto"/>
        <w:rPr>
          <w:rFonts w:ascii="Arial" w:cs="Arial" w:eastAsia="Arial" w:hAnsi="Arial"/>
          <w:sz w:val="17"/>
          <w:szCs w:val="17"/>
          <w:color w:val="auto"/>
        </w:rPr>
      </w:pPr>
      <w:r>
        <w:rPr>
          <w:rFonts w:ascii="Arial" w:cs="Arial" w:eastAsia="Arial" w:hAnsi="Arial"/>
          <w:sz w:val="17"/>
          <w:szCs w:val="17"/>
          <w:color w:val="auto"/>
        </w:rPr>
        <w:t>validated to safeguard VA sensitive information, both safeguarding VA sensitive information in storage and in transit regarding my access to and use of any information assets or resources associated with my performance of services under the contract terms with the VA.</w:t>
      </w:r>
    </w:p>
    <w:p>
      <w:pPr>
        <w:spacing w:after="0" w:line="162" w:lineRule="exact"/>
        <w:rPr>
          <w:rFonts w:ascii="Arial" w:cs="Arial" w:eastAsia="Arial" w:hAnsi="Arial"/>
          <w:sz w:val="17"/>
          <w:szCs w:val="17"/>
          <w:color w:val="auto"/>
        </w:rPr>
      </w:pPr>
    </w:p>
    <w:p>
      <w:pPr>
        <w:ind w:left="10" w:right="600" w:hanging="10"/>
        <w:spacing w:after="0" w:line="277" w:lineRule="auto"/>
        <w:tabs>
          <w:tab w:leader="none" w:pos="3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Follow VA Handbook 6500.1, </w:t>
      </w:r>
      <w:r>
        <w:rPr>
          <w:rFonts w:ascii="Arial" w:cs="Arial" w:eastAsia="Arial" w:hAnsi="Arial"/>
          <w:sz w:val="18"/>
          <w:szCs w:val="18"/>
          <w:i w:val="1"/>
          <w:iCs w:val="1"/>
          <w:color w:val="auto"/>
        </w:rPr>
        <w:t>Electronic Media Sanitization</w:t>
      </w:r>
      <w:r>
        <w:rPr>
          <w:rFonts w:ascii="Arial" w:cs="Arial" w:eastAsia="Arial" w:hAnsi="Arial"/>
          <w:sz w:val="18"/>
          <w:szCs w:val="18"/>
          <w:color w:val="auto"/>
        </w:rPr>
        <w:t xml:space="preserve"> to protect VA information. I will contact the COR for policies and guidance on complying with this requirement and will follow the COR’s orders.</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Page 23 of 57</w:t>
      </w:r>
    </w:p>
    <w:p>
      <w:pPr>
        <w:sectPr>
          <w:pgSz w:w="11900" w:h="16838" w:orient="portrait"/>
          <w:cols w:equalWidth="0" w:num="1">
            <w:col w:w="10990"/>
          </w:cols>
          <w:pgMar w:left="450" w:top="274" w:right="459" w:bottom="1440" w:gutter="0" w:footer="0" w:header="0"/>
        </w:sectPr>
      </w:pPr>
    </w:p>
    <w:bookmarkStart w:id="518" w:name="page519"/>
    <w:bookmarkEnd w:id="518"/>
    <w:p>
      <w:pPr>
        <w:ind w:left="10" w:hanging="10"/>
        <w:spacing w:after="0" w:line="263" w:lineRule="auto"/>
        <w:tabs>
          <w:tab w:leader="none" w:pos="354"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Ensure that the COR has previously approved VA information for public dissemination, including e-mail communications outside of the VA as appropriate. I will not make any unauthorized disclosure of any VA sensitive information through the use of any means of communication including but not limited to e-mail, instant messaging, online chat, and web bulletin boards or logs.</w:t>
      </w:r>
    </w:p>
    <w:p>
      <w:pPr>
        <w:spacing w:after="0" w:line="182" w:lineRule="exact"/>
        <w:rPr>
          <w:rFonts w:ascii="Arial" w:cs="Arial" w:eastAsia="Arial" w:hAnsi="Arial"/>
          <w:sz w:val="18"/>
          <w:szCs w:val="18"/>
          <w:color w:val="auto"/>
        </w:rPr>
      </w:pPr>
    </w:p>
    <w:p>
      <w:pPr>
        <w:ind w:left="10" w:right="320" w:hanging="10"/>
        <w:spacing w:after="0" w:line="341" w:lineRule="auto"/>
        <w:tabs>
          <w:tab w:leader="none" w:pos="354" w:val="left"/>
        </w:tabs>
        <w:numPr>
          <w:ilvl w:val="0"/>
          <w:numId w:val="437"/>
        </w:numPr>
        <w:rPr>
          <w:rFonts w:ascii="Arial" w:cs="Arial" w:eastAsia="Arial" w:hAnsi="Arial"/>
          <w:sz w:val="16"/>
          <w:szCs w:val="16"/>
          <w:color w:val="auto"/>
        </w:rPr>
      </w:pPr>
      <w:r>
        <w:rPr>
          <w:rFonts w:ascii="Arial" w:cs="Arial" w:eastAsia="Arial" w:hAnsi="Arial"/>
          <w:sz w:val="16"/>
          <w:szCs w:val="16"/>
          <w:color w:val="auto"/>
        </w:rPr>
        <w:t>Not host, set up, administer, or run an Internet server related to my access to and use of any information assets or resources associated with my performance of services under the contract terms with the VA unless explicitly authorized under the contract or in writing by the COR.</w:t>
      </w:r>
    </w:p>
    <w:p>
      <w:pPr>
        <w:spacing w:after="0" w:line="124" w:lineRule="exact"/>
        <w:rPr>
          <w:rFonts w:ascii="Arial" w:cs="Arial" w:eastAsia="Arial" w:hAnsi="Arial"/>
          <w:sz w:val="16"/>
          <w:szCs w:val="16"/>
          <w:color w:val="auto"/>
        </w:rPr>
      </w:pPr>
    </w:p>
    <w:p>
      <w:pPr>
        <w:ind w:left="10" w:right="340" w:hanging="10"/>
        <w:spacing w:after="0" w:line="341" w:lineRule="auto"/>
        <w:tabs>
          <w:tab w:leader="none" w:pos="354" w:val="left"/>
        </w:tabs>
        <w:numPr>
          <w:ilvl w:val="0"/>
          <w:numId w:val="437"/>
        </w:numPr>
        <w:rPr>
          <w:rFonts w:ascii="Arial" w:cs="Arial" w:eastAsia="Arial" w:hAnsi="Arial"/>
          <w:sz w:val="16"/>
          <w:szCs w:val="16"/>
          <w:color w:val="auto"/>
        </w:rPr>
      </w:pPr>
      <w:r>
        <w:rPr>
          <w:rFonts w:ascii="Arial" w:cs="Arial" w:eastAsia="Arial" w:hAnsi="Arial"/>
          <w:sz w:val="16"/>
          <w:szCs w:val="16"/>
          <w:color w:val="auto"/>
        </w:rPr>
        <w:t>Protect government property from theft, destruction, or misuse. I will follow VA directives and handbooks on handling Federal government IT equipment, information, and systems. I will not take VA sensitive information from the workplace without authorization from the COR.</w:t>
      </w:r>
    </w:p>
    <w:p>
      <w:pPr>
        <w:spacing w:after="0" w:line="124" w:lineRule="exact"/>
        <w:rPr>
          <w:rFonts w:ascii="Arial" w:cs="Arial" w:eastAsia="Arial" w:hAnsi="Arial"/>
          <w:sz w:val="16"/>
          <w:szCs w:val="16"/>
          <w:color w:val="auto"/>
        </w:rPr>
      </w:pPr>
    </w:p>
    <w:p>
      <w:pPr>
        <w:ind w:left="10" w:right="160" w:hanging="10"/>
        <w:spacing w:after="0" w:line="263" w:lineRule="auto"/>
        <w:tabs>
          <w:tab w:leader="none" w:pos="35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Only use anti-virus software, antispyware, and firewall/intrusion detection software authorized by VA. I will contact the COR for policies and guidance on complying with this requirement and will follow the COR’s orders regarding my access to and use of any information assets or resources associated with my performance of services under the contract terms with VA.</w:t>
      </w:r>
    </w:p>
    <w:p>
      <w:pPr>
        <w:spacing w:after="0" w:line="182" w:lineRule="exact"/>
        <w:rPr>
          <w:rFonts w:ascii="Arial" w:cs="Arial" w:eastAsia="Arial" w:hAnsi="Arial"/>
          <w:sz w:val="18"/>
          <w:szCs w:val="18"/>
          <w:color w:val="auto"/>
        </w:rPr>
      </w:pPr>
    </w:p>
    <w:p>
      <w:pPr>
        <w:ind w:left="10" w:right="180" w:hanging="10"/>
        <w:spacing w:after="0" w:line="263" w:lineRule="auto"/>
        <w:tabs>
          <w:tab w:leader="none" w:pos="35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Not disable or degrade the standard anti-virus software, antispyware, and/or firewall/intrusion detection software on the computer I use to access and use information assets or resources associated with my performance of services under the contract terms with VA. I will report anti-virus, antispyware, firewall or intrusion detection software errors, or significant alert messages to the COR.</w:t>
      </w:r>
    </w:p>
    <w:p>
      <w:pPr>
        <w:spacing w:after="0" w:line="182" w:lineRule="exact"/>
        <w:rPr>
          <w:rFonts w:ascii="Arial" w:cs="Arial" w:eastAsia="Arial" w:hAnsi="Arial"/>
          <w:sz w:val="18"/>
          <w:szCs w:val="18"/>
          <w:color w:val="auto"/>
        </w:rPr>
      </w:pPr>
    </w:p>
    <w:p>
      <w:pPr>
        <w:ind w:left="350" w:hanging="350"/>
        <w:spacing w:after="0"/>
        <w:tabs>
          <w:tab w:leader="none" w:pos="3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Understand that restoration of service of any VA system is a concern of all users of the system.</w:t>
      </w:r>
    </w:p>
    <w:p>
      <w:pPr>
        <w:spacing w:after="0" w:line="224" w:lineRule="exact"/>
        <w:rPr>
          <w:rFonts w:ascii="Arial" w:cs="Arial" w:eastAsia="Arial" w:hAnsi="Arial"/>
          <w:sz w:val="18"/>
          <w:szCs w:val="18"/>
          <w:color w:val="auto"/>
        </w:rPr>
      </w:pPr>
    </w:p>
    <w:p>
      <w:pPr>
        <w:ind w:left="350" w:hanging="350"/>
        <w:spacing w:after="0"/>
        <w:tabs>
          <w:tab w:leader="none" w:pos="35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Complete required information security and privacy training, and complete required training for the particular systems to which I require access.</w:t>
      </w:r>
    </w:p>
    <w:p>
      <w:pPr>
        <w:spacing w:after="0" w:line="35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3. ADDITIONAL CONDITIONS FOR USE OF NON- VA INFORMATION TECHNOLOGY RESOURCES</w:t>
      </w:r>
    </w:p>
    <w:p>
      <w:pPr>
        <w:spacing w:after="0" w:line="121"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color w:val="auto"/>
        </w:rPr>
        <w:t>a. When required to complete work under the contract, I will directly connect to the VA network whenever possible. If a direct connection to the VA network is not possible, then I will use VA approved remote access software and services.</w:t>
      </w:r>
    </w:p>
    <w:p>
      <w:pPr>
        <w:spacing w:after="0" w:line="102"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Page 24 of 57</w:t>
      </w:r>
    </w:p>
    <w:p>
      <w:pPr>
        <w:sectPr>
          <w:pgSz w:w="11900" w:h="16838" w:orient="portrait"/>
          <w:cols w:equalWidth="0" w:num="1">
            <w:col w:w="10930"/>
          </w:cols>
          <w:pgMar w:left="450" w:top="274" w:right="519" w:bottom="1440" w:gutter="0" w:footer="0" w:header="0"/>
        </w:sectPr>
      </w:pPr>
    </w:p>
    <w:bookmarkStart w:id="519" w:name="page520"/>
    <w:bookmarkEnd w:id="51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Remote access to non-public VA information technology resources is prohibited from publicly-available IT computers, such as remotely connecting to the internal VA network from computers in a public library.</w:t>
      </w:r>
    </w:p>
    <w:p>
      <w:pPr>
        <w:spacing w:after="0" w:line="170" w:lineRule="exact"/>
        <w:rPr>
          <w:sz w:val="20"/>
          <w:szCs w:val="20"/>
          <w:color w:val="auto"/>
        </w:rPr>
      </w:pPr>
    </w:p>
    <w:p>
      <w:pPr>
        <w:ind w:right="440"/>
        <w:spacing w:after="0" w:line="307" w:lineRule="auto"/>
        <w:rPr>
          <w:sz w:val="20"/>
          <w:szCs w:val="20"/>
          <w:color w:val="auto"/>
        </w:rPr>
      </w:pPr>
      <w:r>
        <w:rPr>
          <w:rFonts w:ascii="Arial" w:cs="Arial" w:eastAsia="Arial" w:hAnsi="Arial"/>
          <w:sz w:val="17"/>
          <w:szCs w:val="17"/>
          <w:color w:val="auto"/>
        </w:rPr>
        <w:t>c. I will not have both a VA network line and any kind of non-VA network line including a wireless network card, modem with phone line, or other network device physically connected to my computer at the same time, unless the dual connection is explicitly authorized by the COR.</w:t>
      </w:r>
    </w:p>
    <w:p>
      <w:pPr>
        <w:spacing w:after="0" w:line="14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 I understand that I may not obviate or evade my responsibility to adhere to VA security requirements by subcontracting any work under any given contract or agreement with VA, and that any subcontractor(s) I engage shall likewise be bound by the same security requirements and penalties for violating the same.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ON LITIGATION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User Agreement does not and should not be relied upon to create any other right or benefit, substantive or procedural, enforceable by law, by a party to litigation with the United States Government.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ACKNOWLEDGEMENT AND ACCEPTANCE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acknowledge receipt of this User Agreement. I understand and accept all terms and conditions of this User Agreement, and I will comply with the terms and conditions of this agreement and any additional VA warning banners, directives, handbooks, notices, or directions regarding access to or use of information systems or information. The terms and conditions of this document do not supersede the terms and conditions of the signatory’s employer and VA.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your full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 4 digits of SSN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Phone Position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57</w:t>
      </w:r>
    </w:p>
    <w:p>
      <w:pPr>
        <w:sectPr>
          <w:pgSz w:w="11900" w:h="16838" w:orient="portrait"/>
          <w:cols w:equalWidth="0" w:num="1">
            <w:col w:w="11000"/>
          </w:cols>
          <w:pgMar w:left="460" w:top="274" w:right="439" w:bottom="1440" w:gutter="0" w:footer="0" w:header="0"/>
        </w:sectPr>
      </w:pPr>
    </w:p>
    <w:bookmarkStart w:id="520" w:name="page521"/>
    <w:bookmarkEnd w:id="520"/>
    <w:p>
      <w:pPr>
        <w:ind w:left="1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complete and return the original signed document to the COR within the timeframe stated in the terms of the contract.</w:t>
      </w:r>
    </w:p>
    <w:p>
      <w:pPr>
        <w:spacing w:after="0" w:line="275" w:lineRule="exact"/>
        <w:rPr>
          <w:sz w:val="20"/>
          <w:szCs w:val="20"/>
          <w:color w:val="auto"/>
        </w:rPr>
      </w:pPr>
    </w:p>
    <w:p>
      <w:pPr>
        <w:ind w:left="4630"/>
        <w:spacing w:after="0"/>
        <w:rPr>
          <w:sz w:val="20"/>
          <w:szCs w:val="20"/>
          <w:color w:val="auto"/>
        </w:rPr>
      </w:pPr>
      <w:r>
        <w:rPr>
          <w:rFonts w:ascii="Arial" w:cs="Arial" w:eastAsia="Arial" w:hAnsi="Arial"/>
          <w:sz w:val="18"/>
          <w:szCs w:val="18"/>
          <w:b w:val="1"/>
          <w:bCs w:val="1"/>
          <w:color w:val="auto"/>
        </w:rPr>
        <w:t>Description of Services</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Base Period September 2017 through August 2018</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Average [***] over all genomes in a single batch including all high quality reads</w:t>
      </w:r>
    </w:p>
    <w:p>
      <w:pPr>
        <w:spacing w:after="0" w:line="117" w:lineRule="exact"/>
        <w:rPr>
          <w:sz w:val="20"/>
          <w:szCs w:val="20"/>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SAMPLES = [***]</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Average [***] over all genomes in a single batch including all high quality reads</w:t>
      </w:r>
    </w:p>
    <w:p>
      <w:pPr>
        <w:spacing w:after="0" w:line="225" w:lineRule="exact"/>
        <w:rPr>
          <w:sz w:val="20"/>
          <w:szCs w:val="20"/>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210" w:lineRule="exact"/>
        <w:rPr>
          <w:rFonts w:ascii="Arial" w:cs="Arial" w:eastAsia="Arial" w:hAnsi="Arial"/>
          <w:sz w:val="18"/>
          <w:szCs w:val="18"/>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SAMPLES = [***]</w:t>
      </w:r>
    </w:p>
    <w:p>
      <w:pPr>
        <w:spacing w:after="0" w:line="143" w:lineRule="exact"/>
        <w:rPr>
          <w:sz w:val="20"/>
          <w:szCs w:val="20"/>
          <w:color w:val="auto"/>
        </w:rPr>
      </w:pPr>
    </w:p>
    <w:p>
      <w:pPr>
        <w:ind w:left="5010"/>
        <w:spacing w:after="0"/>
        <w:rPr>
          <w:sz w:val="20"/>
          <w:szCs w:val="20"/>
          <w:color w:val="auto"/>
        </w:rPr>
      </w:pPr>
      <w:r>
        <w:rPr>
          <w:rFonts w:ascii="Arial" w:cs="Arial" w:eastAsia="Arial" w:hAnsi="Arial"/>
          <w:sz w:val="18"/>
          <w:szCs w:val="18"/>
          <w:color w:val="auto"/>
        </w:rPr>
        <w:t>Page 26 of 57</w:t>
      </w:r>
    </w:p>
    <w:p>
      <w:pPr>
        <w:sectPr>
          <w:pgSz w:w="11900" w:h="16838" w:orient="portrait"/>
          <w:cols w:equalWidth="0" w:num="1">
            <w:col w:w="10009"/>
          </w:cols>
          <w:pgMar w:left="450" w:top="269" w:right="1440" w:bottom="1440" w:gutter="0" w:footer="0" w:header="0"/>
        </w:sectPr>
      </w:pPr>
    </w:p>
    <w:bookmarkStart w:id="521" w:name="page522"/>
    <w:bookmarkEnd w:id="521"/>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Year 1 Period September 2018 through August 2019</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22" w:lineRule="exact"/>
        <w:rPr>
          <w:sz w:val="20"/>
          <w:szCs w:val="20"/>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SAMPLES = [***]</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36" w:lineRule="exact"/>
        <w:rPr>
          <w:sz w:val="20"/>
          <w:szCs w:val="20"/>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102" w:lineRule="exact"/>
        <w:rPr>
          <w:rFonts w:ascii="Arial" w:cs="Arial" w:eastAsia="Arial" w:hAnsi="Arial"/>
          <w:sz w:val="18"/>
          <w:szCs w:val="18"/>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SAMPLES = [***]</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Option Year 2 Period September 2019 through August 2020</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22" w:lineRule="exact"/>
        <w:rPr>
          <w:sz w:val="20"/>
          <w:szCs w:val="20"/>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SAMPLES = [***]</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36" w:lineRule="exact"/>
        <w:rPr>
          <w:sz w:val="20"/>
          <w:szCs w:val="20"/>
          <w:color w:val="auto"/>
        </w:rPr>
      </w:pPr>
    </w:p>
    <w:p>
      <w:pPr>
        <w:ind w:left="430" w:hanging="430"/>
        <w:spacing w:after="0"/>
        <w:tabs>
          <w:tab w:leader="none" w:pos="43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SAMPLES = [***]</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27 of 57</w:t>
      </w:r>
    </w:p>
    <w:p>
      <w:pPr>
        <w:sectPr>
          <w:pgSz w:w="11900" w:h="16838" w:orient="portrait"/>
          <w:cols w:equalWidth="0" w:num="1">
            <w:col w:w="10009"/>
          </w:cols>
          <w:pgMar w:left="450" w:top="270" w:right="1440" w:bottom="1440" w:gutter="0" w:footer="0" w:header="0"/>
        </w:sectPr>
      </w:pPr>
    </w:p>
    <w:bookmarkStart w:id="522" w:name="page523"/>
    <w:bookmarkEnd w:id="522"/>
    <w:p>
      <w:pPr>
        <w:ind w:left="430" w:hanging="430"/>
        <w:spacing w:after="0"/>
        <w:tabs>
          <w:tab w:leader="none" w:pos="430"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SAMPLES = [***]</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Option Year 3 Period September 2020 through August 2021</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22" w:lineRule="exact"/>
        <w:rPr>
          <w:sz w:val="20"/>
          <w:szCs w:val="20"/>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SAMPLES = [***]</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color w:val="auto"/>
        </w:rPr>
        <w:t>Average [***] over all genomes in a single batch including all high quality reads</w:t>
      </w:r>
    </w:p>
    <w:p>
      <w:pPr>
        <w:spacing w:after="0" w:line="236" w:lineRule="exact"/>
        <w:rPr>
          <w:sz w:val="20"/>
          <w:szCs w:val="20"/>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224" w:lineRule="exact"/>
        <w:rPr>
          <w:rFonts w:ascii="Arial" w:cs="Arial" w:eastAsia="Arial" w:hAnsi="Arial"/>
          <w:sz w:val="18"/>
          <w:szCs w:val="18"/>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23" w:lineRule="exact"/>
        <w:rPr>
          <w:rFonts w:ascii="Arial" w:cs="Arial" w:eastAsia="Arial" w:hAnsi="Arial"/>
          <w:sz w:val="18"/>
          <w:szCs w:val="18"/>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8" w:lineRule="exact"/>
        <w:rPr>
          <w:rFonts w:ascii="Arial" w:cs="Arial" w:eastAsia="Arial" w:hAnsi="Arial"/>
          <w:sz w:val="18"/>
          <w:szCs w:val="18"/>
          <w:color w:val="auto"/>
        </w:rPr>
      </w:pPr>
    </w:p>
    <w:p>
      <w:pPr>
        <w:ind w:left="430" w:hanging="430"/>
        <w:spacing w:after="0"/>
        <w:tabs>
          <w:tab w:leader="none" w:pos="43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SAMPLES = [***]</w:t>
      </w:r>
    </w:p>
    <w:p>
      <w:pPr>
        <w:spacing w:after="0" w:line="143"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28 of 57</w:t>
      </w:r>
    </w:p>
    <w:p>
      <w:pPr>
        <w:sectPr>
          <w:pgSz w:w="11900" w:h="16838" w:orient="portrait"/>
          <w:cols w:equalWidth="0" w:num="1">
            <w:col w:w="10009"/>
          </w:cols>
          <w:pgMar w:left="450" w:top="274" w:right="1440"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C - CONTRACT CLAUSES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 52.212-4 CONTRACT TERMS AND CONDITIONS—COMMERCIAL ITEMS (JAN 2017)</w:t>
      </w:r>
    </w:p>
    <w:p>
      <w:pPr>
        <w:spacing w:after="0" w:line="121" w:lineRule="exact"/>
        <w:rPr>
          <w:sz w:val="20"/>
          <w:szCs w:val="20"/>
          <w:color w:val="auto"/>
        </w:rPr>
      </w:pPr>
    </w:p>
    <w:p>
      <w:pPr>
        <w:ind w:right="80" w:firstLine="210"/>
        <w:spacing w:after="0" w:line="275" w:lineRule="auto"/>
        <w:tabs>
          <w:tab w:leader="none" w:pos="464" w:val="left"/>
        </w:tabs>
        <w:numPr>
          <w:ilvl w:val="0"/>
          <w:numId w:val="447"/>
        </w:numPr>
        <w:rPr>
          <w:rFonts w:ascii="Arial" w:cs="Arial" w:eastAsia="Arial" w:hAnsi="Arial"/>
          <w:sz w:val="17"/>
          <w:szCs w:val="17"/>
          <w:color w:val="auto"/>
        </w:rPr>
      </w:pPr>
      <w:r>
        <w:rPr>
          <w:rFonts w:ascii="Arial" w:cs="Arial" w:eastAsia="Arial" w:hAnsi="Arial"/>
          <w:sz w:val="17"/>
          <w:szCs w:val="17"/>
          <w:i w:val="1"/>
          <w:iCs w:val="1"/>
          <w:color w:val="auto"/>
        </w:rPr>
        <w:t>Inspection/Acceptance</w:t>
      </w:r>
      <w:r>
        <w:rPr>
          <w:rFonts w:ascii="Arial" w:cs="Arial" w:eastAsia="Arial" w:hAnsi="Arial"/>
          <w:sz w:val="17"/>
          <w:szCs w:val="17"/>
          <w:color w:val="auto"/>
        </w:rPr>
        <w:t>. The Contractor shall only tender for acceptance those items that conform to the requirements of this contract. The</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post-acceptance rights—</w:t>
      </w:r>
    </w:p>
    <w:p>
      <w:pPr>
        <w:spacing w:after="0" w:line="175" w:lineRule="exact"/>
        <w:rPr>
          <w:rFonts w:ascii="Arial" w:cs="Arial" w:eastAsia="Arial" w:hAnsi="Arial"/>
          <w:sz w:val="17"/>
          <w:szCs w:val="17"/>
          <w:color w:val="auto"/>
        </w:rPr>
      </w:pPr>
    </w:p>
    <w:p>
      <w:pPr>
        <w:ind w:left="680" w:hanging="250"/>
        <w:spacing w:after="0"/>
        <w:tabs>
          <w:tab w:leader="none" w:pos="68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Within a reasonable time after the defect was discovered or should have been discovered; and</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Before any substantial change occurs in the condition of the item, unless the change is due to the defect in the item.</w:t>
      </w:r>
    </w:p>
    <w:p>
      <w:pPr>
        <w:spacing w:after="0" w:line="224" w:lineRule="exact"/>
        <w:rPr>
          <w:rFonts w:ascii="Arial" w:cs="Arial" w:eastAsia="Arial" w:hAnsi="Arial"/>
          <w:sz w:val="18"/>
          <w:szCs w:val="18"/>
          <w:color w:val="auto"/>
        </w:rPr>
      </w:pPr>
    </w:p>
    <w:p>
      <w:pPr>
        <w:ind w:right="40" w:firstLine="210"/>
        <w:spacing w:after="0" w:line="259" w:lineRule="auto"/>
        <w:tabs>
          <w:tab w:leader="none" w:pos="475"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Assignment</w:t>
      </w:r>
      <w:r>
        <w:rPr>
          <w:rFonts w:ascii="Arial" w:cs="Arial" w:eastAsia="Arial" w:hAnsi="Arial"/>
          <w:sz w:val="18"/>
          <w:szCs w:val="18"/>
          <w:color w:val="auto"/>
        </w:rPr>
        <w:t>. The Contractor or its assignee may assign its rights to receive payment due as a result of performance of this contract to a bank,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other financing institution, including any Federal lending agency in accordance with the Assignment of Claims Act (31 U.S.C. 3727). However, when a third party makes payment (e.g., use of the Governmentwide commercial purchase card), the Contractor may not assign its rights to receive payment under this contract.</w:t>
      </w:r>
    </w:p>
    <w:p>
      <w:pPr>
        <w:spacing w:after="0" w:line="185" w:lineRule="exact"/>
        <w:rPr>
          <w:rFonts w:ascii="Arial" w:cs="Arial" w:eastAsia="Arial" w:hAnsi="Arial"/>
          <w:sz w:val="18"/>
          <w:szCs w:val="18"/>
          <w:color w:val="auto"/>
        </w:rPr>
      </w:pPr>
    </w:p>
    <w:p>
      <w:pPr>
        <w:ind w:left="460" w:hanging="250"/>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Changes</w:t>
      </w:r>
      <w:r>
        <w:rPr>
          <w:rFonts w:ascii="Arial" w:cs="Arial" w:eastAsia="Arial" w:hAnsi="Arial"/>
          <w:sz w:val="18"/>
          <w:szCs w:val="18"/>
          <w:color w:val="auto"/>
        </w:rPr>
        <w:t>. Changes in the terms and conditions of this contract may be made only by written agreement of the parties.</w:t>
      </w:r>
    </w:p>
    <w:p>
      <w:pPr>
        <w:spacing w:after="0" w:line="224" w:lineRule="exact"/>
        <w:rPr>
          <w:rFonts w:ascii="Arial" w:cs="Arial" w:eastAsia="Arial" w:hAnsi="Arial"/>
          <w:sz w:val="18"/>
          <w:szCs w:val="18"/>
          <w:color w:val="auto"/>
        </w:rPr>
      </w:pPr>
    </w:p>
    <w:p>
      <w:pPr>
        <w:ind w:right="40" w:firstLine="210"/>
        <w:spacing w:after="0" w:line="259" w:lineRule="auto"/>
        <w:tabs>
          <w:tab w:leader="none" w:pos="475"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Disputes</w:t>
      </w:r>
      <w:r>
        <w:rPr>
          <w:rFonts w:ascii="Arial" w:cs="Arial" w:eastAsia="Arial" w:hAnsi="Arial"/>
          <w:sz w:val="18"/>
          <w:szCs w:val="18"/>
          <w:color w:val="auto"/>
        </w:rPr>
        <w:t>. This contract is subject to 41 U.S.C. chapter 71, Contract Disputes. Failure of the parties to this contract to reach agreement on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for equitable adjustment, claim, appeal or action arising under or relating to this contract shall be a dispute to be resolved in accordance with the clause at FAR 52.233-1, Disputes, which is incorporated herein by reference. The Contractor shall proceed diligently with performance of this contract, pending final resolution of any dispute arising under the contract.</w:t>
      </w:r>
    </w:p>
    <w:p>
      <w:pPr>
        <w:spacing w:after="0" w:line="185" w:lineRule="exact"/>
        <w:rPr>
          <w:rFonts w:ascii="Arial" w:cs="Arial" w:eastAsia="Arial" w:hAnsi="Arial"/>
          <w:sz w:val="18"/>
          <w:szCs w:val="18"/>
          <w:color w:val="auto"/>
        </w:rPr>
      </w:pPr>
    </w:p>
    <w:p>
      <w:pPr>
        <w:ind w:left="460" w:hanging="250"/>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clause at FAR 52.202-1, Definitions, is incorporated herein by reference.</w:t>
      </w:r>
    </w:p>
    <w:p>
      <w:pPr>
        <w:spacing w:after="0" w:line="224" w:lineRule="exact"/>
        <w:rPr>
          <w:rFonts w:ascii="Arial" w:cs="Arial" w:eastAsia="Arial" w:hAnsi="Arial"/>
          <w:sz w:val="18"/>
          <w:szCs w:val="18"/>
          <w:color w:val="auto"/>
        </w:rPr>
      </w:pPr>
    </w:p>
    <w:p>
      <w:pPr>
        <w:ind w:firstLine="210"/>
        <w:spacing w:after="0" w:line="255" w:lineRule="auto"/>
        <w:tabs>
          <w:tab w:leader="none" w:pos="445"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Excusable delays</w:t>
      </w:r>
      <w:r>
        <w:rPr>
          <w:rFonts w:ascii="Arial" w:cs="Arial" w:eastAsia="Arial" w:hAnsi="Arial"/>
          <w:sz w:val="18"/>
          <w:szCs w:val="18"/>
          <w:color w:val="auto"/>
        </w:rPr>
        <w:t>. The Contractor shall be liable for default unless nonperformance is caused by an occurrence beyond the reasonable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Contractor and without its fault 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 any excusable delay, setting forth the full particulars in connection therewith, shall remedy such occurrence with all reasonable dispatch, and shall promptly give written notice to the Contracting Officer of the cessation of such occurrence.</w:t>
      </w:r>
    </w:p>
    <w:p>
      <w:pPr>
        <w:spacing w:after="0" w:line="299" w:lineRule="exact"/>
        <w:rPr>
          <w:rFonts w:ascii="Arial" w:cs="Arial" w:eastAsia="Arial" w:hAnsi="Arial"/>
          <w:sz w:val="18"/>
          <w:szCs w:val="18"/>
          <w:color w:val="auto"/>
        </w:rPr>
      </w:pPr>
    </w:p>
    <w:p>
      <w:pPr>
        <w:ind w:left="460" w:hanging="250"/>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Invoice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100" w:firstLine="430"/>
        <w:spacing w:after="0" w:line="277" w:lineRule="auto"/>
        <w:tabs>
          <w:tab w:leader="none" w:pos="695"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Contractor shall submit an original invoice and three copies (or electronic invoice, if authorized) to the address designated in the contract to receive invoices. An invoice must include—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 of 57</w:t>
      </w:r>
    </w:p>
    <w:p>
      <w:pPr>
        <w:sectPr>
          <w:pgSz w:w="11900" w:h="16838" w:orient="portrait"/>
          <w:cols w:equalWidth="0" w:num="1">
            <w:col w:w="10960"/>
          </w:cols>
          <w:pgMar w:left="460" w:top="270" w:right="479" w:bottom="1440" w:gutter="0" w:footer="0" w:header="0"/>
        </w:sectPr>
      </w:pPr>
    </w:p>
    <w:bookmarkStart w:id="524" w:name="page525"/>
    <w:bookmarkEnd w:id="524"/>
    <w:p>
      <w:pPr>
        <w:ind w:left="650" w:hanging="210"/>
        <w:spacing w:after="0"/>
        <w:tabs>
          <w:tab w:leader="none" w:pos="650" w:val="left"/>
        </w:tabs>
        <w:numPr>
          <w:ilvl w:val="0"/>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and address of the Contractor;</w:t>
      </w:r>
    </w:p>
    <w:p>
      <w:pPr>
        <w:spacing w:after="0" w:line="224" w:lineRule="exact"/>
        <w:rPr>
          <w:rFonts w:ascii="Arial" w:cs="Arial" w:eastAsia="Arial" w:hAnsi="Arial"/>
          <w:sz w:val="18"/>
          <w:szCs w:val="18"/>
          <w:color w:val="auto"/>
        </w:rPr>
      </w:pPr>
    </w:p>
    <w:p>
      <w:pPr>
        <w:ind w:left="710" w:hanging="270"/>
        <w:spacing w:after="0"/>
        <w:tabs>
          <w:tab w:leader="none" w:pos="71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Invoice date and number;</w:t>
      </w:r>
    </w:p>
    <w:p>
      <w:pPr>
        <w:spacing w:after="0" w:line="224" w:lineRule="exact"/>
        <w:rPr>
          <w:rFonts w:ascii="Arial" w:cs="Arial" w:eastAsia="Arial" w:hAnsi="Arial"/>
          <w:sz w:val="18"/>
          <w:szCs w:val="18"/>
          <w:color w:val="auto"/>
        </w:rPr>
      </w:pPr>
    </w:p>
    <w:p>
      <w:pPr>
        <w:ind w:left="750" w:hanging="310"/>
        <w:spacing w:after="0"/>
        <w:tabs>
          <w:tab w:leader="none" w:pos="75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Contract number, line item number and, if applicable, the order number;</w:t>
      </w:r>
    </w:p>
    <w:p>
      <w:pPr>
        <w:spacing w:after="0" w:line="224" w:lineRule="exact"/>
        <w:rPr>
          <w:rFonts w:ascii="Arial" w:cs="Arial" w:eastAsia="Arial" w:hAnsi="Arial"/>
          <w:sz w:val="18"/>
          <w:szCs w:val="18"/>
          <w:color w:val="auto"/>
        </w:rPr>
      </w:pPr>
    </w:p>
    <w:p>
      <w:pPr>
        <w:ind w:left="750" w:hanging="310"/>
        <w:spacing w:after="0"/>
        <w:tabs>
          <w:tab w:leader="none" w:pos="75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Description, quantity, unit of measure, unit price and extended price of the items delivered;</w:t>
      </w:r>
    </w:p>
    <w:p>
      <w:pPr>
        <w:spacing w:after="0" w:line="224" w:lineRule="exact"/>
        <w:rPr>
          <w:rFonts w:ascii="Arial" w:cs="Arial" w:eastAsia="Arial" w:hAnsi="Arial"/>
          <w:sz w:val="18"/>
          <w:szCs w:val="18"/>
          <w:color w:val="auto"/>
        </w:rPr>
      </w:pPr>
    </w:p>
    <w:p>
      <w:pPr>
        <w:ind w:left="690" w:hanging="250"/>
        <w:spacing w:after="0"/>
        <w:tabs>
          <w:tab w:leader="none" w:pos="69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Shipping number and date of shipment, including the bill of lading number and weight of shipment if shipped on Government bill of lading;</w:t>
      </w:r>
    </w:p>
    <w:p>
      <w:pPr>
        <w:spacing w:after="0" w:line="247" w:lineRule="exact"/>
        <w:rPr>
          <w:rFonts w:ascii="Arial" w:cs="Arial" w:eastAsia="Arial" w:hAnsi="Arial"/>
          <w:sz w:val="16"/>
          <w:szCs w:val="16"/>
          <w:color w:val="auto"/>
        </w:rPr>
      </w:pPr>
    </w:p>
    <w:p>
      <w:pPr>
        <w:ind w:left="750" w:hanging="310"/>
        <w:spacing w:after="0"/>
        <w:tabs>
          <w:tab w:leader="none" w:pos="75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Terms of any discount for prompt payment offered;</w:t>
      </w:r>
    </w:p>
    <w:p>
      <w:pPr>
        <w:spacing w:after="0" w:line="224" w:lineRule="exact"/>
        <w:rPr>
          <w:rFonts w:ascii="Arial" w:cs="Arial" w:eastAsia="Arial" w:hAnsi="Arial"/>
          <w:sz w:val="18"/>
          <w:szCs w:val="18"/>
          <w:color w:val="auto"/>
        </w:rPr>
      </w:pPr>
    </w:p>
    <w:p>
      <w:pPr>
        <w:ind w:left="790" w:hanging="350"/>
        <w:spacing w:after="0"/>
        <w:tabs>
          <w:tab w:leader="none" w:pos="79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Name and address of official to whom payment is to be sent;</w:t>
      </w:r>
    </w:p>
    <w:p>
      <w:pPr>
        <w:spacing w:after="0" w:line="224" w:lineRule="exact"/>
        <w:rPr>
          <w:rFonts w:ascii="Arial" w:cs="Arial" w:eastAsia="Arial" w:hAnsi="Arial"/>
          <w:sz w:val="18"/>
          <w:szCs w:val="18"/>
          <w:color w:val="auto"/>
        </w:rPr>
      </w:pPr>
    </w:p>
    <w:p>
      <w:pPr>
        <w:ind w:left="850" w:hanging="410"/>
        <w:spacing w:after="0"/>
        <w:tabs>
          <w:tab w:leader="none" w:pos="85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Name, title, and phone number of person to notify in event of defective invoice; and</w:t>
      </w:r>
    </w:p>
    <w:p>
      <w:pPr>
        <w:spacing w:after="0" w:line="224" w:lineRule="exact"/>
        <w:rPr>
          <w:rFonts w:ascii="Arial" w:cs="Arial" w:eastAsia="Arial" w:hAnsi="Arial"/>
          <w:sz w:val="18"/>
          <w:szCs w:val="18"/>
          <w:color w:val="auto"/>
        </w:rPr>
      </w:pPr>
    </w:p>
    <w:p>
      <w:pPr>
        <w:ind w:left="750" w:hanging="310"/>
        <w:spacing w:after="0"/>
        <w:tabs>
          <w:tab w:leader="none" w:pos="75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Taxpayer Identification Number (TIN). The Contractor shall include its TIN on the invoice only if required elsewhere in this contract.</w:t>
      </w:r>
    </w:p>
    <w:p>
      <w:pPr>
        <w:spacing w:after="0" w:line="236" w:lineRule="exact"/>
        <w:rPr>
          <w:rFonts w:ascii="Arial" w:cs="Arial" w:eastAsia="Arial" w:hAnsi="Arial"/>
          <w:sz w:val="17"/>
          <w:szCs w:val="17"/>
          <w:color w:val="auto"/>
        </w:rPr>
      </w:pPr>
    </w:p>
    <w:p>
      <w:pPr>
        <w:ind w:left="690" w:hanging="250"/>
        <w:spacing w:after="0"/>
        <w:tabs>
          <w:tab w:leader="none" w:pos="69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Electronic funds transfer (EFT) banking information.</w:t>
      </w:r>
    </w:p>
    <w:p>
      <w:pPr>
        <w:spacing w:after="0" w:line="224" w:lineRule="exact"/>
        <w:rPr>
          <w:rFonts w:ascii="Arial" w:cs="Arial" w:eastAsia="Arial" w:hAnsi="Arial"/>
          <w:sz w:val="18"/>
          <w:szCs w:val="18"/>
          <w:color w:val="auto"/>
        </w:rPr>
      </w:pPr>
    </w:p>
    <w:p>
      <w:pPr>
        <w:ind w:left="950" w:hanging="289"/>
        <w:spacing w:after="0"/>
        <w:tabs>
          <w:tab w:leader="none" w:pos="95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Contractor shall include EFT banking information on the invoice only if required elsewhere in this contract.</w:t>
      </w:r>
    </w:p>
    <w:p>
      <w:pPr>
        <w:spacing w:after="0" w:line="224" w:lineRule="exact"/>
        <w:rPr>
          <w:rFonts w:ascii="Arial" w:cs="Arial" w:eastAsia="Arial" w:hAnsi="Arial"/>
          <w:sz w:val="18"/>
          <w:szCs w:val="18"/>
          <w:color w:val="auto"/>
        </w:rPr>
      </w:pPr>
    </w:p>
    <w:p>
      <w:pPr>
        <w:ind w:left="10" w:right="200" w:firstLine="651"/>
        <w:spacing w:after="0" w:line="259" w:lineRule="auto"/>
        <w:tabs>
          <w:tab w:leader="none" w:pos="955"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If EFT banking information is not required to be on the invoice, in order for the invoice to be a proper invoice, the Contractor shall have submitted correct EFT banking information in accordance with the applicable solicitation provision, contract clause (e.g., 52.232-33, Payment by Electronic Funds Transfer—System for Award Management, or 52.232-34, Payment by Electronic Funds Transfer—Other Than System for Award Management), or applicable agency procedures.</w:t>
      </w:r>
    </w:p>
    <w:p>
      <w:pPr>
        <w:spacing w:after="0" w:line="185" w:lineRule="exact"/>
        <w:rPr>
          <w:rFonts w:ascii="Arial" w:cs="Arial" w:eastAsia="Arial" w:hAnsi="Arial"/>
          <w:sz w:val="18"/>
          <w:szCs w:val="18"/>
          <w:color w:val="auto"/>
        </w:rPr>
      </w:pPr>
    </w:p>
    <w:p>
      <w:pPr>
        <w:ind w:left="950" w:hanging="289"/>
        <w:spacing w:after="0"/>
        <w:tabs>
          <w:tab w:leader="none" w:pos="95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EFT banking information is not required if the Government waived the requirement to pay by EFT.</w:t>
      </w:r>
    </w:p>
    <w:p>
      <w:pPr>
        <w:spacing w:after="0" w:line="225" w:lineRule="exact"/>
        <w:rPr>
          <w:sz w:val="20"/>
          <w:szCs w:val="20"/>
          <w:color w:val="auto"/>
        </w:rPr>
      </w:pPr>
    </w:p>
    <w:p>
      <w:pPr>
        <w:ind w:left="10" w:firstLine="430"/>
        <w:spacing w:after="0" w:line="277" w:lineRule="auto"/>
        <w:tabs>
          <w:tab w:leader="none" w:pos="705" w:val="left"/>
        </w:tabs>
        <w:numPr>
          <w:ilvl w:val="2"/>
          <w:numId w:val="449"/>
        </w:numPr>
        <w:rPr>
          <w:rFonts w:ascii="Arial" w:cs="Arial" w:eastAsia="Arial" w:hAnsi="Arial"/>
          <w:sz w:val="18"/>
          <w:szCs w:val="18"/>
          <w:color w:val="auto"/>
        </w:rPr>
      </w:pPr>
      <w:r>
        <w:rPr>
          <w:rFonts w:ascii="Arial" w:cs="Arial" w:eastAsia="Arial" w:hAnsi="Arial"/>
          <w:sz w:val="18"/>
          <w:szCs w:val="18"/>
          <w:color w:val="auto"/>
        </w:rPr>
        <w:t>Invoices will be handled in accordance with the Prompt Payment Act (31 U.S.C. 3903) and Office of Management and Budget (OMB) prompt payment regulations at 5 CFR part 1315.</w:t>
      </w:r>
    </w:p>
    <w:p>
      <w:pPr>
        <w:spacing w:after="0" w:line="169" w:lineRule="exact"/>
        <w:rPr>
          <w:rFonts w:ascii="Arial" w:cs="Arial" w:eastAsia="Arial" w:hAnsi="Arial"/>
          <w:sz w:val="18"/>
          <w:szCs w:val="18"/>
          <w:color w:val="auto"/>
        </w:rPr>
      </w:pPr>
    </w:p>
    <w:p>
      <w:pPr>
        <w:ind w:left="10" w:right="40" w:hanging="10"/>
        <w:spacing w:after="0" w:line="286" w:lineRule="auto"/>
        <w:tabs>
          <w:tab w:leader="none" w:pos="264" w:val="left"/>
        </w:tabs>
        <w:numPr>
          <w:ilvl w:val="0"/>
          <w:numId w:val="450"/>
        </w:numPr>
        <w:rPr>
          <w:rFonts w:ascii="Arial" w:cs="Arial" w:eastAsia="Arial" w:hAnsi="Arial"/>
          <w:sz w:val="17"/>
          <w:szCs w:val="17"/>
          <w:color w:val="auto"/>
        </w:rPr>
      </w:pPr>
      <w:r>
        <w:rPr>
          <w:rFonts w:ascii="Arial" w:cs="Arial" w:eastAsia="Arial" w:hAnsi="Arial"/>
          <w:sz w:val="17"/>
          <w:szCs w:val="17"/>
          <w:i w:val="1"/>
          <w:iCs w:val="1"/>
          <w:color w:val="auto"/>
        </w:rPr>
        <w:t>Patent indemnity</w:t>
      </w:r>
      <w:r>
        <w:rPr>
          <w:rFonts w:ascii="Arial" w:cs="Arial" w:eastAsia="Arial" w:hAnsi="Arial"/>
          <w:sz w:val="17"/>
          <w:szCs w:val="17"/>
          <w:color w:val="auto"/>
        </w:rPr>
        <w:t>. The Contractor shall indemnify the Government and its officers, employees and agents against liability, including costs, for actual</w:t>
      </w:r>
      <w:r>
        <w:rPr>
          <w:rFonts w:ascii="Arial" w:cs="Arial" w:eastAsia="Arial" w:hAnsi="Arial"/>
          <w:sz w:val="17"/>
          <w:szCs w:val="17"/>
          <w:i w:val="1"/>
          <w:iCs w:val="1"/>
          <w:color w:val="auto"/>
        </w:rPr>
        <w:t xml:space="preserve"> </w:t>
      </w:r>
      <w:r>
        <w:rPr>
          <w:rFonts w:ascii="Arial" w:cs="Arial" w:eastAsia="Arial" w:hAnsi="Arial"/>
          <w:sz w:val="17"/>
          <w:szCs w:val="17"/>
          <w:color w:val="auto"/>
        </w:rPr>
        <w:t>or alleged direct or contributory infringement of, or inducement to infringe, any United States or foreign patent, trademark or copyright, arising out of the performance of this contract, provided the Contractor is reasonably notified of such claims and proceedings.</w:t>
      </w:r>
    </w:p>
    <w:p>
      <w:pPr>
        <w:spacing w:after="0" w:line="272" w:lineRule="exact"/>
        <w:rPr>
          <w:rFonts w:ascii="Arial" w:cs="Arial" w:eastAsia="Arial" w:hAnsi="Arial"/>
          <w:sz w:val="17"/>
          <w:szCs w:val="17"/>
          <w:color w:val="auto"/>
        </w:rPr>
      </w:pPr>
    </w:p>
    <w:p>
      <w:pPr>
        <w:ind w:left="210" w:hanging="210"/>
        <w:spacing w:after="0"/>
        <w:tabs>
          <w:tab w:leader="none" w:pos="21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Payment.—</w:t>
      </w:r>
    </w:p>
    <w:p>
      <w:pPr>
        <w:spacing w:after="0" w:line="116" w:lineRule="exact"/>
        <w:rPr>
          <w:rFonts w:ascii="Arial" w:cs="Arial" w:eastAsia="Arial" w:hAnsi="Arial"/>
          <w:sz w:val="18"/>
          <w:szCs w:val="18"/>
          <w:color w:val="auto"/>
        </w:rPr>
      </w:pPr>
    </w:p>
    <w:p>
      <w:pPr>
        <w:ind w:left="10" w:right="240" w:firstLine="210"/>
        <w:spacing w:after="0" w:line="277" w:lineRule="auto"/>
        <w:tabs>
          <w:tab w:leader="none" w:pos="48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Items accepted</w:t>
      </w:r>
      <w:r>
        <w:rPr>
          <w:rFonts w:ascii="Arial" w:cs="Arial" w:eastAsia="Arial" w:hAnsi="Arial"/>
          <w:sz w:val="18"/>
          <w:szCs w:val="18"/>
          <w:color w:val="auto"/>
        </w:rPr>
        <w:t>. Payment shall be made for items accepted by the Government that have been delivered to the delivery destinations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contract.</w:t>
      </w:r>
    </w:p>
    <w:p>
      <w:pPr>
        <w:spacing w:after="0" w:line="169" w:lineRule="exact"/>
        <w:rPr>
          <w:rFonts w:ascii="Arial" w:cs="Arial" w:eastAsia="Arial" w:hAnsi="Arial"/>
          <w:sz w:val="18"/>
          <w:szCs w:val="18"/>
          <w:color w:val="auto"/>
        </w:rPr>
      </w:pPr>
    </w:p>
    <w:p>
      <w:pPr>
        <w:ind w:left="10" w:right="520" w:firstLine="210"/>
        <w:spacing w:after="0" w:line="277" w:lineRule="auto"/>
        <w:tabs>
          <w:tab w:leader="none" w:pos="48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Prompt payment</w:t>
      </w:r>
      <w:r>
        <w:rPr>
          <w:rFonts w:ascii="Arial" w:cs="Arial" w:eastAsia="Arial" w:hAnsi="Arial"/>
          <w:sz w:val="18"/>
          <w:szCs w:val="18"/>
          <w:color w:val="auto"/>
        </w:rPr>
        <w:t>. The Government will make payment in accordance with the Prompt Payment Act (31 U.S.C. 3903) and prompt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at 5 CFR part 1315.</w:t>
      </w:r>
    </w:p>
    <w:p>
      <w:pPr>
        <w:spacing w:after="0" w:line="102"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Page 30 of 57</w:t>
      </w:r>
    </w:p>
    <w:p>
      <w:pPr>
        <w:sectPr>
          <w:pgSz w:w="11900" w:h="16838" w:orient="portrait"/>
          <w:cols w:equalWidth="0" w:num="1">
            <w:col w:w="10950"/>
          </w:cols>
          <w:pgMar w:left="450" w:top="273" w:right="499" w:bottom="1440" w:gutter="0" w:footer="0" w:header="0"/>
        </w:sectPr>
      </w:pPr>
    </w:p>
    <w:bookmarkStart w:id="525" w:name="page526"/>
    <w:bookmarkEnd w:id="525"/>
    <w:p>
      <w:pPr>
        <w:ind w:left="460" w:hanging="250"/>
        <w:spacing w:after="0"/>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Funds Transfer (EFT)</w:t>
      </w:r>
      <w:r>
        <w:rPr>
          <w:rFonts w:ascii="Arial" w:cs="Arial" w:eastAsia="Arial" w:hAnsi="Arial"/>
          <w:sz w:val="18"/>
          <w:szCs w:val="18"/>
          <w:color w:val="auto"/>
        </w:rPr>
        <w:t>. If the Government makes payment by EFT, see 52.212-5(b) for the appropriate EFT clause.</w:t>
      </w:r>
    </w:p>
    <w:p>
      <w:pPr>
        <w:spacing w:after="0" w:line="224" w:lineRule="exact"/>
        <w:rPr>
          <w:rFonts w:ascii="Arial" w:cs="Arial" w:eastAsia="Arial" w:hAnsi="Arial"/>
          <w:sz w:val="18"/>
          <w:szCs w:val="18"/>
          <w:color w:val="auto"/>
        </w:rPr>
      </w:pPr>
    </w:p>
    <w:p>
      <w:pPr>
        <w:ind w:right="400" w:firstLine="210"/>
        <w:spacing w:after="0" w:line="263" w:lineRule="auto"/>
        <w:tabs>
          <w:tab w:leader="none" w:pos="475"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Discount</w:t>
      </w:r>
      <w:r>
        <w:rPr>
          <w:rFonts w:ascii="Arial" w:cs="Arial" w:eastAsia="Arial" w:hAnsi="Arial"/>
          <w:sz w:val="18"/>
          <w:szCs w:val="18"/>
          <w:color w:val="auto"/>
        </w:rPr>
        <w:t>. In connection with any discount offered for early payment, time shall be computed from the date of the invoice.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the discount earned, payment shall be considered to have been made on the date which appears on the payment check or the specified payment date if an electronic funds transfer payment is made.</w:t>
      </w:r>
    </w:p>
    <w:p>
      <w:pPr>
        <w:spacing w:after="0" w:line="182" w:lineRule="exact"/>
        <w:rPr>
          <w:rFonts w:ascii="Arial" w:cs="Arial" w:eastAsia="Arial" w:hAnsi="Arial"/>
          <w:sz w:val="18"/>
          <w:szCs w:val="18"/>
          <w:color w:val="auto"/>
        </w:rPr>
      </w:pPr>
    </w:p>
    <w:p>
      <w:pPr>
        <w:ind w:right="520" w:firstLine="210"/>
        <w:spacing w:after="0" w:line="277" w:lineRule="auto"/>
        <w:tabs>
          <w:tab w:leader="none" w:pos="475"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Overpayments</w:t>
      </w:r>
      <w:r>
        <w:rPr>
          <w:rFonts w:ascii="Arial" w:cs="Arial" w:eastAsia="Arial" w:hAnsi="Arial"/>
          <w:sz w:val="18"/>
          <w:szCs w:val="18"/>
          <w:color w:val="auto"/>
        </w:rPr>
        <w:t>. If the Contractor becomes aware of a duplicate contract financing or invoice payment or that the Government has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overpaid on a contract financing or invoice payment, the Contractor shall—</w:t>
      </w:r>
    </w:p>
    <w:p>
      <w:pPr>
        <w:spacing w:after="0" w:line="169" w:lineRule="exact"/>
        <w:rPr>
          <w:rFonts w:ascii="Arial" w:cs="Arial" w:eastAsia="Arial" w:hAnsi="Arial"/>
          <w:sz w:val="18"/>
          <w:szCs w:val="18"/>
          <w:color w:val="auto"/>
        </w:rPr>
      </w:pPr>
    </w:p>
    <w:p>
      <w:pPr>
        <w:ind w:left="640" w:hanging="210"/>
        <w:spacing w:after="0"/>
        <w:tabs>
          <w:tab w:leader="none" w:pos="64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Remit the overpayment amount to the payment office cited in the contract along with a description of the overpayment including the—</w:t>
      </w:r>
    </w:p>
    <w:p>
      <w:pPr>
        <w:spacing w:after="0" w:line="236" w:lineRule="exact"/>
        <w:rPr>
          <w:rFonts w:ascii="Arial" w:cs="Arial" w:eastAsia="Arial" w:hAnsi="Arial"/>
          <w:sz w:val="17"/>
          <w:szCs w:val="17"/>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Circumstances of the overpayment (e.g., duplicate payment, erroneous payment, liquidation errors, date(s) of overpayment);</w:t>
      </w:r>
    </w:p>
    <w:p>
      <w:pPr>
        <w:spacing w:after="0" w:line="224" w:lineRule="exact"/>
        <w:rPr>
          <w:rFonts w:ascii="Arial" w:cs="Arial" w:eastAsia="Arial" w:hAnsi="Arial"/>
          <w:sz w:val="18"/>
          <w:szCs w:val="18"/>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Affected contract number and delivery order number, if applicable;</w:t>
      </w:r>
    </w:p>
    <w:p>
      <w:pPr>
        <w:spacing w:after="0" w:line="224" w:lineRule="exact"/>
        <w:rPr>
          <w:rFonts w:ascii="Arial" w:cs="Arial" w:eastAsia="Arial" w:hAnsi="Arial"/>
          <w:sz w:val="18"/>
          <w:szCs w:val="18"/>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Affected line item or subline item, if applicable; and</w:t>
      </w:r>
    </w:p>
    <w:p>
      <w:pPr>
        <w:spacing w:after="0" w:line="224" w:lineRule="exact"/>
        <w:rPr>
          <w:rFonts w:ascii="Arial" w:cs="Arial" w:eastAsia="Arial" w:hAnsi="Arial"/>
          <w:sz w:val="18"/>
          <w:szCs w:val="18"/>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Contractor point of contact.</w:t>
      </w:r>
    </w:p>
    <w:p>
      <w:pPr>
        <w:spacing w:after="0" w:line="224" w:lineRule="exact"/>
        <w:rPr>
          <w:rFonts w:ascii="Arial" w:cs="Arial" w:eastAsia="Arial" w:hAnsi="Arial"/>
          <w:sz w:val="18"/>
          <w:szCs w:val="18"/>
          <w:color w:val="auto"/>
        </w:rPr>
      </w:pPr>
    </w:p>
    <w:p>
      <w:pPr>
        <w:ind w:left="700" w:hanging="270"/>
        <w:spacing w:after="0"/>
        <w:tabs>
          <w:tab w:leader="none" w:pos="7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Provide a copy of the remittance and supporting documentation to the Contracting Officer.</w:t>
      </w:r>
    </w:p>
    <w:p>
      <w:pPr>
        <w:spacing w:after="0" w:line="332" w:lineRule="exact"/>
        <w:rPr>
          <w:rFonts w:ascii="Arial" w:cs="Arial" w:eastAsia="Arial" w:hAnsi="Arial"/>
          <w:sz w:val="18"/>
          <w:szCs w:val="18"/>
          <w:color w:val="auto"/>
        </w:rPr>
      </w:pPr>
    </w:p>
    <w:p>
      <w:pPr>
        <w:ind w:left="460" w:hanging="250"/>
        <w:spacing w:after="0"/>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430"/>
        <w:spacing w:after="0" w:line="259" w:lineRule="auto"/>
        <w:tabs>
          <w:tab w:leader="none" w:pos="65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41 U.S.C. 7109, which is applicable to the period in which the amount becomes due, as provided in (i)(6)(v) of this clause, and then at the rate applicable for each six-month period as fixed by the Secretary until the amount is paid.</w:t>
      </w:r>
    </w:p>
    <w:p>
      <w:pPr>
        <w:spacing w:after="0" w:line="185" w:lineRule="exact"/>
        <w:rPr>
          <w:rFonts w:ascii="Arial" w:cs="Arial" w:eastAsia="Arial" w:hAnsi="Arial"/>
          <w:sz w:val="18"/>
          <w:szCs w:val="18"/>
          <w:color w:val="auto"/>
        </w:rPr>
      </w:pPr>
    </w:p>
    <w:p>
      <w:pPr>
        <w:ind w:left="700" w:hanging="270"/>
        <w:spacing w:after="0"/>
        <w:tabs>
          <w:tab w:leader="none" w:pos="7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Government may issue a demand for payment to the Contractor upon finding a debt is due under the contract.</w:t>
      </w:r>
    </w:p>
    <w:p>
      <w:pPr>
        <w:spacing w:after="0" w:line="224" w:lineRule="exact"/>
        <w:rPr>
          <w:rFonts w:ascii="Arial" w:cs="Arial" w:eastAsia="Arial" w:hAnsi="Arial"/>
          <w:sz w:val="18"/>
          <w:szCs w:val="18"/>
          <w:color w:val="auto"/>
        </w:rPr>
      </w:pPr>
    </w:p>
    <w:p>
      <w:pPr>
        <w:ind w:left="740" w:hanging="310"/>
        <w:spacing w:after="0"/>
        <w:tabs>
          <w:tab w:leader="none" w:pos="740" w:val="left"/>
        </w:tabs>
        <w:numPr>
          <w:ilvl w:val="1"/>
          <w:numId w:val="451"/>
        </w:numPr>
        <w:rPr>
          <w:rFonts w:ascii="Arial" w:cs="Arial" w:eastAsia="Arial" w:hAnsi="Arial"/>
          <w:sz w:val="18"/>
          <w:szCs w:val="18"/>
          <w:color w:val="auto"/>
        </w:rPr>
      </w:pPr>
      <w:r>
        <w:rPr>
          <w:rFonts w:ascii="Arial" w:cs="Arial" w:eastAsia="Arial" w:hAnsi="Arial"/>
          <w:sz w:val="18"/>
          <w:szCs w:val="18"/>
          <w:i w:val="1"/>
          <w:iCs w:val="1"/>
          <w:color w:val="auto"/>
        </w:rPr>
        <w:t>Final decisions</w:t>
      </w:r>
      <w:r>
        <w:rPr>
          <w:rFonts w:ascii="Arial" w:cs="Arial" w:eastAsia="Arial" w:hAnsi="Arial"/>
          <w:sz w:val="18"/>
          <w:szCs w:val="18"/>
          <w:color w:val="auto"/>
        </w:rPr>
        <w:t>. The Contracting Officer will issue a final decision as required by 33.211 if—</w:t>
      </w:r>
    </w:p>
    <w:p>
      <w:pPr>
        <w:spacing w:after="0" w:line="224" w:lineRule="exact"/>
        <w:rPr>
          <w:rFonts w:ascii="Arial" w:cs="Arial" w:eastAsia="Arial" w:hAnsi="Arial"/>
          <w:sz w:val="18"/>
          <w:szCs w:val="18"/>
          <w:color w:val="auto"/>
        </w:rPr>
      </w:pPr>
    </w:p>
    <w:p>
      <w:pPr>
        <w:ind w:left="940" w:hanging="289"/>
        <w:spacing w:after="0"/>
        <w:tabs>
          <w:tab w:leader="none" w:pos="940" w:val="left"/>
        </w:tabs>
        <w:numPr>
          <w:ilvl w:val="2"/>
          <w:numId w:val="451"/>
        </w:numPr>
        <w:rPr>
          <w:rFonts w:ascii="Arial" w:cs="Arial" w:eastAsia="Arial" w:hAnsi="Arial"/>
          <w:sz w:val="17"/>
          <w:szCs w:val="17"/>
          <w:color w:val="auto"/>
        </w:rPr>
      </w:pPr>
      <w:r>
        <w:rPr>
          <w:rFonts w:ascii="Arial" w:cs="Arial" w:eastAsia="Arial" w:hAnsi="Arial"/>
          <w:sz w:val="17"/>
          <w:szCs w:val="17"/>
          <w:color w:val="auto"/>
        </w:rPr>
        <w:t>The Contracting Officer and the Contractor are unable to reach agreement on the existence or amount of a debt within 30 days;</w:t>
      </w:r>
    </w:p>
    <w:p>
      <w:pPr>
        <w:spacing w:after="0" w:line="236" w:lineRule="exact"/>
        <w:rPr>
          <w:rFonts w:ascii="Arial" w:cs="Arial" w:eastAsia="Arial" w:hAnsi="Arial"/>
          <w:sz w:val="17"/>
          <w:szCs w:val="17"/>
          <w:color w:val="auto"/>
        </w:rPr>
      </w:pPr>
    </w:p>
    <w:p>
      <w:pPr>
        <w:ind w:right="340" w:firstLine="651"/>
        <w:spacing w:after="0" w:line="307" w:lineRule="auto"/>
        <w:tabs>
          <w:tab w:leader="none" w:pos="945" w:val="left"/>
        </w:tabs>
        <w:numPr>
          <w:ilvl w:val="2"/>
          <w:numId w:val="451"/>
        </w:numPr>
        <w:rPr>
          <w:rFonts w:ascii="Arial" w:cs="Arial" w:eastAsia="Arial" w:hAnsi="Arial"/>
          <w:sz w:val="17"/>
          <w:szCs w:val="17"/>
          <w:color w:val="auto"/>
        </w:rPr>
      </w:pPr>
      <w:r>
        <w:rPr>
          <w:rFonts w:ascii="Arial" w:cs="Arial" w:eastAsia="Arial" w:hAnsi="Arial"/>
          <w:sz w:val="17"/>
          <w:szCs w:val="17"/>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147" w:lineRule="exact"/>
        <w:rPr>
          <w:rFonts w:ascii="Arial" w:cs="Arial" w:eastAsia="Arial" w:hAnsi="Arial"/>
          <w:sz w:val="17"/>
          <w:szCs w:val="17"/>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Contractor requests a deferment of collection on a debt previously demanded by the Contracting Officer (see 32.607-2).</w:t>
      </w:r>
    </w:p>
    <w:p>
      <w:pPr>
        <w:spacing w:after="0" w:line="224" w:lineRule="exact"/>
        <w:rPr>
          <w:rFonts w:ascii="Arial" w:cs="Arial" w:eastAsia="Arial" w:hAnsi="Arial"/>
          <w:sz w:val="18"/>
          <w:szCs w:val="18"/>
          <w:color w:val="auto"/>
        </w:rPr>
      </w:pPr>
    </w:p>
    <w:p>
      <w:pPr>
        <w:ind w:right="40" w:firstLine="430"/>
        <w:spacing w:after="0" w:line="277" w:lineRule="auto"/>
        <w:tabs>
          <w:tab w:leader="none" w:pos="74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If a demand for payment was previously issued for the debt, the demand for payment included in the final decision shall identify the same due date as the original demand for payment.</w:t>
      </w:r>
    </w:p>
    <w:p>
      <w:pPr>
        <w:spacing w:after="0" w:line="169" w:lineRule="exact"/>
        <w:rPr>
          <w:rFonts w:ascii="Arial" w:cs="Arial" w:eastAsia="Arial" w:hAnsi="Arial"/>
          <w:sz w:val="18"/>
          <w:szCs w:val="18"/>
          <w:color w:val="auto"/>
        </w:rPr>
      </w:pPr>
    </w:p>
    <w:p>
      <w:pPr>
        <w:ind w:left="680" w:hanging="250"/>
        <w:spacing w:after="0"/>
        <w:tabs>
          <w:tab w:leader="none" w:pos="68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Amounts shall be due at the earliest of the following dates:</w:t>
      </w:r>
    </w:p>
    <w:p>
      <w:pPr>
        <w:spacing w:after="0" w:line="224" w:lineRule="exact"/>
        <w:rPr>
          <w:rFonts w:ascii="Arial" w:cs="Arial" w:eastAsia="Arial" w:hAnsi="Arial"/>
          <w:sz w:val="18"/>
          <w:szCs w:val="18"/>
          <w:color w:val="auto"/>
        </w:rPr>
      </w:pPr>
    </w:p>
    <w:p>
      <w:pPr>
        <w:ind w:left="940" w:hanging="289"/>
        <w:spacing w:after="0"/>
        <w:tabs>
          <w:tab w:leader="none" w:pos="9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date fixed under this contract.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57</w:t>
      </w:r>
    </w:p>
    <w:p>
      <w:pPr>
        <w:sectPr>
          <w:pgSz w:w="11900" w:h="16838" w:orient="portrait"/>
          <w:cols w:equalWidth="0" w:num="1">
            <w:col w:w="11000"/>
          </w:cols>
          <w:pgMar w:left="460" w:top="274" w:right="439" w:bottom="1440" w:gutter="0" w:footer="0" w:header="0"/>
        </w:sectPr>
      </w:pPr>
    </w:p>
    <w:bookmarkStart w:id="526" w:name="page527"/>
    <w:bookmarkEnd w:id="526"/>
    <w:p>
      <w:pPr>
        <w:ind w:left="950" w:hanging="289"/>
        <w:spacing w:after="0"/>
        <w:tabs>
          <w:tab w:leader="none" w:pos="950" w:val="left"/>
        </w:tabs>
        <w:numPr>
          <w:ilvl w:val="3"/>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the first written demand for payment, including any demand for payment resulting from a default termination.</w:t>
      </w:r>
    </w:p>
    <w:p>
      <w:pPr>
        <w:spacing w:after="0" w:line="224" w:lineRule="exact"/>
        <w:rPr>
          <w:rFonts w:ascii="Arial" w:cs="Arial" w:eastAsia="Arial" w:hAnsi="Arial"/>
          <w:sz w:val="18"/>
          <w:szCs w:val="18"/>
          <w:color w:val="auto"/>
        </w:rPr>
      </w:pPr>
    </w:p>
    <w:p>
      <w:pPr>
        <w:ind w:left="750" w:hanging="310"/>
        <w:spacing w:after="0"/>
        <w:tabs>
          <w:tab w:leader="none" w:pos="750" w:val="left"/>
        </w:tabs>
        <w:numPr>
          <w:ilvl w:val="2"/>
          <w:numId w:val="453"/>
        </w:numPr>
        <w:rPr>
          <w:rFonts w:ascii="Arial" w:cs="Arial" w:eastAsia="Arial" w:hAnsi="Arial"/>
          <w:sz w:val="17"/>
          <w:szCs w:val="17"/>
          <w:color w:val="auto"/>
        </w:rPr>
      </w:pPr>
      <w:r>
        <w:rPr>
          <w:rFonts w:ascii="Arial" w:cs="Arial" w:eastAsia="Arial" w:hAnsi="Arial"/>
          <w:sz w:val="17"/>
          <w:szCs w:val="17"/>
          <w:color w:val="auto"/>
        </w:rPr>
        <w:t>The interest charge shall be computed for the actual number of calendar days involved beginning on the due date and ending on—</w:t>
      </w:r>
    </w:p>
    <w:p>
      <w:pPr>
        <w:spacing w:after="0" w:line="236" w:lineRule="exact"/>
        <w:rPr>
          <w:rFonts w:ascii="Arial" w:cs="Arial" w:eastAsia="Arial" w:hAnsi="Arial"/>
          <w:sz w:val="17"/>
          <w:szCs w:val="17"/>
          <w:color w:val="auto"/>
        </w:rPr>
      </w:pPr>
    </w:p>
    <w:p>
      <w:pPr>
        <w:ind w:left="950" w:hanging="289"/>
        <w:spacing w:after="0"/>
        <w:tabs>
          <w:tab w:leader="none" w:pos="950" w:val="left"/>
        </w:tabs>
        <w:numPr>
          <w:ilvl w:val="3"/>
          <w:numId w:val="453"/>
        </w:numPr>
        <w:rPr>
          <w:rFonts w:ascii="Arial" w:cs="Arial" w:eastAsia="Arial" w:hAnsi="Arial"/>
          <w:sz w:val="18"/>
          <w:szCs w:val="18"/>
          <w:color w:val="auto"/>
        </w:rPr>
      </w:pPr>
      <w:r>
        <w:rPr>
          <w:rFonts w:ascii="Arial" w:cs="Arial" w:eastAsia="Arial" w:hAnsi="Arial"/>
          <w:sz w:val="18"/>
          <w:szCs w:val="18"/>
          <w:color w:val="auto"/>
        </w:rPr>
        <w:t>The date on which the designated office receives payment from the Contractor;</w:t>
      </w:r>
    </w:p>
    <w:p>
      <w:pPr>
        <w:spacing w:after="0" w:line="224" w:lineRule="exact"/>
        <w:rPr>
          <w:rFonts w:ascii="Arial" w:cs="Arial" w:eastAsia="Arial" w:hAnsi="Arial"/>
          <w:sz w:val="18"/>
          <w:szCs w:val="18"/>
          <w:color w:val="auto"/>
        </w:rPr>
      </w:pPr>
    </w:p>
    <w:p>
      <w:pPr>
        <w:ind w:left="10" w:right="420" w:firstLine="651"/>
        <w:spacing w:after="0" w:line="277" w:lineRule="auto"/>
        <w:tabs>
          <w:tab w:leader="none" w:pos="955" w:val="left"/>
        </w:tabs>
        <w:numPr>
          <w:ilvl w:val="3"/>
          <w:numId w:val="453"/>
        </w:numPr>
        <w:rPr>
          <w:rFonts w:ascii="Arial" w:cs="Arial" w:eastAsia="Arial" w:hAnsi="Arial"/>
          <w:sz w:val="18"/>
          <w:szCs w:val="18"/>
          <w:color w:val="auto"/>
        </w:rPr>
      </w:pPr>
      <w:r>
        <w:rPr>
          <w:rFonts w:ascii="Arial" w:cs="Arial" w:eastAsia="Arial" w:hAnsi="Arial"/>
          <w:sz w:val="18"/>
          <w:szCs w:val="18"/>
          <w:color w:val="auto"/>
        </w:rPr>
        <w:t>The date of issuance of a Government check to the Contractor from which an amount otherwise payable has been withheld as a credit against the contract debt; or</w:t>
      </w:r>
    </w:p>
    <w:p>
      <w:pPr>
        <w:spacing w:after="0" w:line="169" w:lineRule="exact"/>
        <w:rPr>
          <w:rFonts w:ascii="Arial" w:cs="Arial" w:eastAsia="Arial" w:hAnsi="Arial"/>
          <w:sz w:val="18"/>
          <w:szCs w:val="18"/>
          <w:color w:val="auto"/>
        </w:rPr>
      </w:pPr>
    </w:p>
    <w:p>
      <w:pPr>
        <w:ind w:left="950" w:hanging="289"/>
        <w:spacing w:after="0"/>
        <w:tabs>
          <w:tab w:leader="none" w:pos="950" w:val="left"/>
        </w:tabs>
        <w:numPr>
          <w:ilvl w:val="3"/>
          <w:numId w:val="453"/>
        </w:numPr>
        <w:rPr>
          <w:rFonts w:ascii="Arial" w:cs="Arial" w:eastAsia="Arial" w:hAnsi="Arial"/>
          <w:sz w:val="17"/>
          <w:szCs w:val="17"/>
          <w:color w:val="auto"/>
        </w:rPr>
      </w:pPr>
      <w:r>
        <w:rPr>
          <w:rFonts w:ascii="Arial" w:cs="Arial" w:eastAsia="Arial" w:hAnsi="Arial"/>
          <w:sz w:val="17"/>
          <w:szCs w:val="17"/>
          <w:color w:val="auto"/>
        </w:rPr>
        <w:t>The date on which an amount withheld and applied to the contract debt would otherwise have become payable to the Contractor.</w:t>
      </w:r>
    </w:p>
    <w:p>
      <w:pPr>
        <w:spacing w:after="0" w:line="236" w:lineRule="exact"/>
        <w:rPr>
          <w:rFonts w:ascii="Arial" w:cs="Arial" w:eastAsia="Arial" w:hAnsi="Arial"/>
          <w:sz w:val="17"/>
          <w:szCs w:val="17"/>
          <w:color w:val="auto"/>
        </w:rPr>
      </w:pPr>
    </w:p>
    <w:p>
      <w:pPr>
        <w:ind w:left="10" w:right="780" w:firstLine="430"/>
        <w:spacing w:after="0" w:line="277" w:lineRule="auto"/>
        <w:tabs>
          <w:tab w:leader="none" w:pos="804"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interest charge made under this clause may be reduced under the procedures prescribed in 32.608-2 of the Federal Acquisition Regulation in effect on the date of this contract.</w:t>
      </w:r>
    </w:p>
    <w:p>
      <w:pPr>
        <w:spacing w:after="0" w:line="169" w:lineRule="exact"/>
        <w:rPr>
          <w:rFonts w:ascii="Arial" w:cs="Arial" w:eastAsia="Arial" w:hAnsi="Arial"/>
          <w:sz w:val="18"/>
          <w:szCs w:val="18"/>
          <w:color w:val="auto"/>
        </w:rPr>
      </w:pPr>
    </w:p>
    <w:p>
      <w:pPr>
        <w:ind w:left="10" w:right="60" w:hanging="10"/>
        <w:spacing w:after="0" w:line="277" w:lineRule="auto"/>
        <w:tabs>
          <w:tab w:leader="none" w:pos="224"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Risk of loss</w:t>
      </w:r>
      <w:r>
        <w:rPr>
          <w:rFonts w:ascii="Arial" w:cs="Arial" w:eastAsia="Arial" w:hAnsi="Arial"/>
          <w:sz w:val="18"/>
          <w:szCs w:val="18"/>
          <w:color w:val="auto"/>
        </w:rPr>
        <w:t>. Unless the contract specifically provides otherwise, risk of loss or damage to the supplies provided under this contract shall remain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Contractor until, and shall pass to the Government upon:</w:t>
      </w:r>
    </w:p>
    <w:p>
      <w:pPr>
        <w:spacing w:after="0" w:line="169" w:lineRule="exact"/>
        <w:rPr>
          <w:rFonts w:ascii="Arial" w:cs="Arial" w:eastAsia="Arial" w:hAnsi="Arial"/>
          <w:sz w:val="18"/>
          <w:szCs w:val="18"/>
          <w:color w:val="auto"/>
        </w:rPr>
      </w:pPr>
    </w:p>
    <w:p>
      <w:pPr>
        <w:ind w:left="470" w:hanging="250"/>
        <w:spacing w:after="0"/>
        <w:tabs>
          <w:tab w:leader="none" w:pos="47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Delivery of the supplies to a carrier, if transportation is f.o.b. origin; or</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Delivery of the supplies to the Government at the destination specified in the contract, if transportation is f.o.b. destination.</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contract price includes all applicable Federal, State, and local taxes and duties.</w:t>
      </w:r>
    </w:p>
    <w:p>
      <w:pPr>
        <w:spacing w:after="0" w:line="224" w:lineRule="exact"/>
        <w:rPr>
          <w:rFonts w:ascii="Arial" w:cs="Arial" w:eastAsia="Arial" w:hAnsi="Arial"/>
          <w:sz w:val="18"/>
          <w:szCs w:val="18"/>
          <w:color w:val="auto"/>
        </w:rPr>
      </w:pPr>
    </w:p>
    <w:p>
      <w:pPr>
        <w:ind w:left="10" w:hanging="10"/>
        <w:spacing w:after="0" w:line="291" w:lineRule="auto"/>
        <w:tabs>
          <w:tab w:leader="none" w:pos="224"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Termination for the Government’s convenience</w:t>
      </w:r>
      <w:r>
        <w:rPr>
          <w:rFonts w:ascii="Arial" w:cs="Arial" w:eastAsia="Arial" w:hAnsi="Arial"/>
          <w:sz w:val="16"/>
          <w:szCs w:val="16"/>
          <w:color w:val="auto"/>
        </w:rPr>
        <w:t>. The Government reserves the right to terminate this contract, or any part hereof, for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165" w:lineRule="exact"/>
        <w:rPr>
          <w:rFonts w:ascii="Arial" w:cs="Arial" w:eastAsia="Arial" w:hAnsi="Arial"/>
          <w:sz w:val="16"/>
          <w:szCs w:val="16"/>
          <w:color w:val="auto"/>
        </w:rPr>
      </w:pPr>
    </w:p>
    <w:p>
      <w:pPr>
        <w:ind w:left="10" w:right="20" w:hanging="10"/>
        <w:spacing w:after="0" w:line="296" w:lineRule="auto"/>
        <w:tabs>
          <w:tab w:leader="none" w:pos="314"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The Government may terminate this contract, or any part hereof, for cause in the event of any default by the Contractor,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9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Page 32 of 57</w:t>
      </w:r>
    </w:p>
    <w:p>
      <w:pPr>
        <w:sectPr>
          <w:pgSz w:w="11900" w:h="16838" w:orient="portrait"/>
          <w:cols w:equalWidth="0" w:num="1">
            <w:col w:w="10970"/>
          </w:cols>
          <w:pgMar w:left="450" w:top="274" w:right="479" w:bottom="1440" w:gutter="0" w:footer="0" w:header="0"/>
        </w:sectPr>
      </w:pPr>
    </w:p>
    <w:bookmarkStart w:id="527" w:name="page528"/>
    <w:bookmarkEnd w:id="527"/>
    <w:p>
      <w:pPr>
        <w:ind w:left="10" w:right="760" w:hanging="10"/>
        <w:spacing w:after="0" w:line="277" w:lineRule="auto"/>
        <w:tabs>
          <w:tab w:leader="none" w:pos="264"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w:t>
      </w:r>
      <w:r>
        <w:rPr>
          <w:rFonts w:ascii="Arial" w:cs="Arial" w:eastAsia="Arial" w:hAnsi="Arial"/>
          <w:sz w:val="18"/>
          <w:szCs w:val="18"/>
          <w:color w:val="auto"/>
        </w:rPr>
        <w:t>. Unless specified elsewhere in this contract, title to items furnished under this contract shall pass to the Government upon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when or where the Government takes physical possession.</w:t>
      </w:r>
    </w:p>
    <w:p>
      <w:pPr>
        <w:spacing w:after="0" w:line="169" w:lineRule="exact"/>
        <w:rPr>
          <w:rFonts w:ascii="Arial" w:cs="Arial" w:eastAsia="Arial" w:hAnsi="Arial"/>
          <w:sz w:val="18"/>
          <w:szCs w:val="18"/>
          <w:color w:val="auto"/>
        </w:rPr>
      </w:pPr>
    </w:p>
    <w:p>
      <w:pPr>
        <w:ind w:left="10" w:right="660" w:hanging="10"/>
        <w:spacing w:after="0" w:line="277" w:lineRule="auto"/>
        <w:tabs>
          <w:tab w:leader="none" w:pos="264"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Warranty</w:t>
      </w:r>
      <w:r>
        <w:rPr>
          <w:rFonts w:ascii="Arial" w:cs="Arial" w:eastAsia="Arial" w:hAnsi="Arial"/>
          <w:sz w:val="18"/>
          <w:szCs w:val="18"/>
          <w:color w:val="auto"/>
        </w:rPr>
        <w:t>. The Contractor warrants and implies that the items delivered hereunder are merchantable and fit for use for the particular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contract.</w:t>
      </w:r>
    </w:p>
    <w:p>
      <w:pPr>
        <w:spacing w:after="0" w:line="169" w:lineRule="exact"/>
        <w:rPr>
          <w:rFonts w:ascii="Arial" w:cs="Arial" w:eastAsia="Arial" w:hAnsi="Arial"/>
          <w:sz w:val="18"/>
          <w:szCs w:val="18"/>
          <w:color w:val="auto"/>
        </w:rPr>
      </w:pPr>
    </w:p>
    <w:p>
      <w:pPr>
        <w:ind w:left="10" w:right="220" w:hanging="10"/>
        <w:spacing w:after="0" w:line="277" w:lineRule="auto"/>
        <w:tabs>
          <w:tab w:leader="none" w:pos="264"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 Except as otherwise provided by an express warranty, the Contractor will not be liable to the Government for consequential</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resulting from any defect or deficiencies in accepted items.</w:t>
      </w:r>
    </w:p>
    <w:p>
      <w:pPr>
        <w:spacing w:after="0" w:line="169" w:lineRule="exact"/>
        <w:rPr>
          <w:rFonts w:ascii="Arial" w:cs="Arial" w:eastAsia="Arial" w:hAnsi="Arial"/>
          <w:sz w:val="18"/>
          <w:szCs w:val="18"/>
          <w:color w:val="auto"/>
        </w:rPr>
      </w:pPr>
    </w:p>
    <w:p>
      <w:pPr>
        <w:ind w:left="10" w:right="100" w:hanging="10"/>
        <w:spacing w:after="0" w:line="277" w:lineRule="auto"/>
        <w:tabs>
          <w:tab w:leader="none" w:pos="264"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Other compliances</w:t>
      </w:r>
      <w:r>
        <w:rPr>
          <w:rFonts w:ascii="Arial" w:cs="Arial" w:eastAsia="Arial" w:hAnsi="Arial"/>
          <w:sz w:val="18"/>
          <w:szCs w:val="18"/>
          <w:color w:val="auto"/>
        </w:rPr>
        <w:t>. The Contractor shall comply with all applicable Federal, State and local laws, executive orders, rules and regulations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to its performance under this contract.</w:t>
      </w:r>
    </w:p>
    <w:p>
      <w:pPr>
        <w:spacing w:after="0" w:line="169" w:lineRule="exact"/>
        <w:rPr>
          <w:rFonts w:ascii="Arial" w:cs="Arial" w:eastAsia="Arial" w:hAnsi="Arial"/>
          <w:sz w:val="18"/>
          <w:szCs w:val="18"/>
          <w:color w:val="auto"/>
        </w:rPr>
      </w:pPr>
    </w:p>
    <w:p>
      <w:pPr>
        <w:ind w:left="10" w:right="40" w:hanging="10"/>
        <w:spacing w:after="0" w:line="259" w:lineRule="auto"/>
        <w:tabs>
          <w:tab w:leader="none" w:pos="234"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Compliance with laws unique to Government contracts</w:t>
      </w:r>
      <w:r>
        <w:rPr>
          <w:rFonts w:ascii="Arial" w:cs="Arial" w:eastAsia="Arial" w:hAnsi="Arial"/>
          <w:sz w:val="18"/>
          <w:szCs w:val="18"/>
          <w:color w:val="auto"/>
        </w:rPr>
        <w:t>. The Contractor agrees to comply with 31 U.S.C. 1352 relating to limitations on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funds to influence certain Federal contracts; 18 U.S.C. 431 relating to officials not to benefit; 40 U.S.C. chapter 37, Contract Work Hours and Safety Standards; 41 U.S.C. chapter 87, Kickbacks; 41 U.S.C. 4712 and 10 U.S.C. 2409 relating to whistleblower protections; 49 U.S.C. 40118, Fly American; and 41 U.S.C. chapter 21 relating to procurement integrity.</w:t>
      </w:r>
    </w:p>
    <w:p>
      <w:pPr>
        <w:spacing w:after="0" w:line="185" w:lineRule="exact"/>
        <w:rPr>
          <w:rFonts w:ascii="Arial" w:cs="Arial" w:eastAsia="Arial" w:hAnsi="Arial"/>
          <w:sz w:val="18"/>
          <w:szCs w:val="18"/>
          <w:color w:val="auto"/>
        </w:rPr>
      </w:pPr>
    </w:p>
    <w:p>
      <w:pPr>
        <w:ind w:left="230" w:hanging="230"/>
        <w:spacing w:after="0"/>
        <w:tabs>
          <w:tab w:leader="none" w:pos="230"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Order of precedence</w:t>
      </w:r>
      <w:r>
        <w:rPr>
          <w:rFonts w:ascii="Arial" w:cs="Arial" w:eastAsia="Arial" w:hAnsi="Arial"/>
          <w:sz w:val="18"/>
          <w:szCs w:val="18"/>
          <w:color w:val="auto"/>
        </w:rPr>
        <w:t>. Any inconsistencies in this solicitation or contract shall be resolved by giving precedence in the following order:</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schedule of supplies/services.</w:t>
      </w:r>
    </w:p>
    <w:p>
      <w:pPr>
        <w:spacing w:after="0" w:line="224" w:lineRule="exact"/>
        <w:rPr>
          <w:rFonts w:ascii="Arial" w:cs="Arial" w:eastAsia="Arial" w:hAnsi="Arial"/>
          <w:sz w:val="18"/>
          <w:szCs w:val="18"/>
          <w:color w:val="auto"/>
        </w:rPr>
      </w:pPr>
    </w:p>
    <w:p>
      <w:pPr>
        <w:ind w:left="10" w:right="80" w:firstLine="210"/>
        <w:spacing w:after="0" w:line="277" w:lineRule="auto"/>
        <w:tabs>
          <w:tab w:leader="none" w:pos="48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Assignments, Disputes, Payments, Invoice, Other Compliances, Compliance with Laws Unique to Government Contracts, and Unauthorized Obligations paragraphs of this clause;</w:t>
      </w:r>
    </w:p>
    <w:p>
      <w:pPr>
        <w:spacing w:after="0" w:line="169"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clause at 52.212-5.</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Addenda to this solicitation or contract, including any license agreements for computer software.</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Solicitation provisions if this is a solicitation.</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Other paragraphs of this clause.</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Standard Form 1449.</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Other documents, exhibits, and attachments</w:t>
      </w:r>
    </w:p>
    <w:p>
      <w:pPr>
        <w:spacing w:after="0" w:line="224" w:lineRule="exact"/>
        <w:rPr>
          <w:rFonts w:ascii="Arial" w:cs="Arial" w:eastAsia="Arial" w:hAnsi="Arial"/>
          <w:sz w:val="18"/>
          <w:szCs w:val="18"/>
          <w:color w:val="auto"/>
        </w:rPr>
      </w:pPr>
    </w:p>
    <w:p>
      <w:pPr>
        <w:ind w:left="470" w:hanging="250"/>
        <w:spacing w:after="0"/>
        <w:tabs>
          <w:tab w:leader="none" w:pos="4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specification.</w:t>
      </w:r>
    </w:p>
    <w:p>
      <w:pPr>
        <w:spacing w:after="0" w:line="332" w:lineRule="exact"/>
        <w:rPr>
          <w:rFonts w:ascii="Arial" w:cs="Arial" w:eastAsia="Arial" w:hAnsi="Arial"/>
          <w:sz w:val="18"/>
          <w:szCs w:val="18"/>
          <w:color w:val="auto"/>
        </w:rPr>
      </w:pPr>
    </w:p>
    <w:p>
      <w:pPr>
        <w:ind w:left="210" w:hanging="210"/>
        <w:spacing w:after="0"/>
        <w:tabs>
          <w:tab w:leader="none" w:pos="210" w:val="left"/>
        </w:tabs>
        <w:numPr>
          <w:ilvl w:val="0"/>
          <w:numId w:val="455"/>
        </w:numPr>
        <w:rPr>
          <w:rFonts w:ascii="Arial" w:cs="Arial" w:eastAsia="Arial" w:hAnsi="Arial"/>
          <w:sz w:val="18"/>
          <w:szCs w:val="18"/>
          <w:color w:val="auto"/>
        </w:rPr>
      </w:pPr>
      <w:r>
        <w:rPr>
          <w:rFonts w:ascii="Arial" w:cs="Arial" w:eastAsia="Arial" w:hAnsi="Arial"/>
          <w:sz w:val="18"/>
          <w:szCs w:val="18"/>
          <w:i w:val="1"/>
          <w:iCs w:val="1"/>
          <w:color w:val="auto"/>
        </w:rPr>
        <w:t>System for Award Management (SAM)</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firstLine="210"/>
        <w:spacing w:after="0" w:line="255" w:lineRule="auto"/>
        <w:tabs>
          <w:tab w:leader="none" w:pos="48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Unless exempted by an addendum to this contract, the Contractor is responsible during performance and through final payment of any contract for the accuracy and completeness of the data within the SAM database, and for any liability resulting from the Government’s reliance on inaccurate or incomplete data. To remain registered in the SAM database after the initial registration, the Contractor is required to review and update on an annual basis from the date of initial registration or subsequent updates its information in the SAM database to ensure it is current, accurate and complete. Updating information in the SAM does not alter the terms and conditions of this contract and is not a substitute for a properly executed contractual document.</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33 of 57</w:t>
      </w:r>
    </w:p>
    <w:p>
      <w:pPr>
        <w:sectPr>
          <w:pgSz w:w="11900" w:h="16838" w:orient="portrait"/>
          <w:cols w:equalWidth="0" w:num="1">
            <w:col w:w="10990"/>
          </w:cols>
          <w:pgMar w:left="450" w:top="274" w:right="459" w:bottom="1440" w:gutter="0" w:footer="0" w:header="0"/>
        </w:sectPr>
      </w:pPr>
    </w:p>
    <w:bookmarkStart w:id="528" w:name="page529"/>
    <w:bookmarkEnd w:id="528"/>
    <w:p>
      <w:pPr>
        <w:ind w:left="10" w:firstLine="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(2)(i) If a Contractor has legally changed its business name, “doing business as” name, or division name (whichever is shown on the contract), or has transferred the assets used in performing the contract, but has not completed the necessary requirements regarding novation and change-of-name agreements in FAR subpart 42.12, the Contractor shall provide the responsible Contracting Officer a minimum of one business day’s written notification of its intention to (A) change the name in the SAM database; (B) comply with the requirements of subpart 42.12; and (C) agree in writing to the timeline and procedures specified by the responsible Contracting Officer. The Contractor must provide with the notification sufficient documentation to support the legally changed name.</w:t>
      </w:r>
    </w:p>
    <w:p>
      <w:pPr>
        <w:spacing w:after="0" w:line="191" w:lineRule="exact"/>
        <w:rPr>
          <w:sz w:val="20"/>
          <w:szCs w:val="20"/>
          <w:color w:val="auto"/>
        </w:rPr>
      </w:pPr>
    </w:p>
    <w:p>
      <w:pPr>
        <w:ind w:left="710" w:hanging="270"/>
        <w:spacing w:after="0"/>
        <w:tabs>
          <w:tab w:leader="none" w:pos="710" w:val="left"/>
        </w:tabs>
        <w:numPr>
          <w:ilvl w:val="2"/>
          <w:numId w:val="456"/>
        </w:numPr>
        <w:rPr>
          <w:rFonts w:ascii="Arial" w:cs="Arial" w:eastAsia="Arial" w:hAnsi="Arial"/>
          <w:sz w:val="16"/>
          <w:szCs w:val="16"/>
          <w:color w:val="auto"/>
        </w:rPr>
      </w:pPr>
      <w:r>
        <w:rPr>
          <w:rFonts w:ascii="Arial" w:cs="Arial" w:eastAsia="Arial" w:hAnsi="Arial"/>
          <w:sz w:val="16"/>
          <w:szCs w:val="16"/>
          <w:color w:val="auto"/>
        </w:rPr>
        <w:t>If the Contractor fails to comply with the requirements of paragraph (t)(2)(i) of this clause, or fails to perform the agreement at paragraph (t)</w:t>
      </w:r>
    </w:p>
    <w:p>
      <w:pPr>
        <w:spacing w:after="0" w:line="46" w:lineRule="exact"/>
        <w:rPr>
          <w:rFonts w:ascii="Arial" w:cs="Arial" w:eastAsia="Arial" w:hAnsi="Arial"/>
          <w:sz w:val="16"/>
          <w:szCs w:val="16"/>
          <w:color w:val="auto"/>
        </w:rPr>
      </w:pPr>
    </w:p>
    <w:p>
      <w:pPr>
        <w:ind w:left="10" w:right="20"/>
        <w:spacing w:after="0" w:line="255" w:lineRule="auto"/>
        <w:rPr>
          <w:rFonts w:ascii="Arial" w:cs="Arial" w:eastAsia="Arial" w:hAnsi="Arial"/>
          <w:sz w:val="16"/>
          <w:szCs w:val="16"/>
          <w:color w:val="auto"/>
        </w:rPr>
      </w:pPr>
      <w:r>
        <w:rPr>
          <w:rFonts w:ascii="Arial" w:cs="Arial" w:eastAsia="Arial" w:hAnsi="Arial"/>
          <w:sz w:val="18"/>
          <w:szCs w:val="18"/>
          <w:color w:val="auto"/>
        </w:rPr>
        <w:t>(2)(i)(C) of this clause, and, in the absence of a properly executed novation or change-of-name agreement, the SAM information that shows the Contractor to be other than the Contractor indicated in the contract will be considered to be incorrect information within the meaning of the “Suspension of Payment” paragraph of the electronic funds transfer (EFT) clause of this contract.</w:t>
      </w:r>
    </w:p>
    <w:p>
      <w:pPr>
        <w:spacing w:after="0" w:line="189" w:lineRule="exact"/>
        <w:rPr>
          <w:rFonts w:ascii="Arial" w:cs="Arial" w:eastAsia="Arial" w:hAnsi="Arial"/>
          <w:sz w:val="16"/>
          <w:szCs w:val="16"/>
          <w:color w:val="auto"/>
        </w:rPr>
      </w:pPr>
    </w:p>
    <w:p>
      <w:pPr>
        <w:ind w:left="10" w:right="160" w:firstLine="210"/>
        <w:spacing w:after="0" w:line="256" w:lineRule="auto"/>
        <w:tabs>
          <w:tab w:leader="none" w:pos="48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Contractor shall not change the name or address for EFT payments or manual payments, as appropriate, in the SAM record to reflect an assignee for the purpose of assignment of claims (see Subpart 32.8, Assignment of Claims). Assignees shall be separately registered in the SAM database. Information provided to the Contractor’s SAM record that indicates payments, including those made by EFT, to an ultimate recipient other than that Contractor will be considered to be incorrect information within the meaning of the “Suspension of payment” paragraph of the EFT clause of this contract.</w:t>
      </w:r>
    </w:p>
    <w:p>
      <w:pPr>
        <w:spacing w:after="0" w:line="191" w:lineRule="exact"/>
        <w:rPr>
          <w:rFonts w:ascii="Arial" w:cs="Arial" w:eastAsia="Arial" w:hAnsi="Arial"/>
          <w:sz w:val="18"/>
          <w:szCs w:val="18"/>
          <w:color w:val="auto"/>
        </w:rPr>
      </w:pPr>
    </w:p>
    <w:p>
      <w:pPr>
        <w:ind w:left="10" w:right="1120" w:firstLine="210"/>
        <w:spacing w:after="0" w:line="277" w:lineRule="auto"/>
        <w:tabs>
          <w:tab w:leader="none" w:pos="48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Offerors and Contractors may obtain information on registration and annual confirmation requirements via SAM accessed through </w:t>
      </w:r>
      <w:r>
        <w:rPr>
          <w:rFonts w:ascii="Arial" w:cs="Arial" w:eastAsia="Arial" w:hAnsi="Arial"/>
          <w:sz w:val="18"/>
          <w:szCs w:val="18"/>
          <w:u w:val="single" w:color="auto"/>
          <w:color w:val="auto"/>
        </w:rPr>
        <w:t>https://www.acquisition.gov</w:t>
      </w:r>
      <w:r>
        <w:rPr>
          <w:rFonts w:ascii="Arial" w:cs="Arial" w:eastAsia="Arial" w:hAnsi="Arial"/>
          <w:sz w:val="18"/>
          <w:szCs w:val="18"/>
          <w:color w:val="auto"/>
        </w:rPr>
        <w:t>.</w:t>
      </w:r>
    </w:p>
    <w:p>
      <w:pPr>
        <w:spacing w:after="0" w:line="277" w:lineRule="exact"/>
        <w:rPr>
          <w:rFonts w:ascii="Arial" w:cs="Arial" w:eastAsia="Arial" w:hAnsi="Arial"/>
          <w:sz w:val="18"/>
          <w:szCs w:val="18"/>
          <w:color w:val="auto"/>
        </w:rPr>
      </w:pPr>
    </w:p>
    <w:p>
      <w:pPr>
        <w:ind w:left="250" w:hanging="250"/>
        <w:spacing w:after="0"/>
        <w:tabs>
          <w:tab w:leader="none" w:pos="250" w:val="left"/>
        </w:tabs>
        <w:numPr>
          <w:ilvl w:val="0"/>
          <w:numId w:val="458"/>
        </w:numPr>
        <w:rPr>
          <w:rFonts w:ascii="Arial" w:cs="Arial" w:eastAsia="Arial" w:hAnsi="Arial"/>
          <w:sz w:val="18"/>
          <w:szCs w:val="18"/>
          <w:color w:val="auto"/>
        </w:rPr>
      </w:pPr>
      <w:r>
        <w:rPr>
          <w:rFonts w:ascii="Arial" w:cs="Arial" w:eastAsia="Arial" w:hAnsi="Arial"/>
          <w:sz w:val="18"/>
          <w:szCs w:val="18"/>
          <w:i w:val="1"/>
          <w:iCs w:val="1"/>
          <w:color w:val="auto"/>
        </w:rPr>
        <w:t>Unauthorized Obligations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60" w:firstLine="210"/>
        <w:spacing w:after="0" w:line="259" w:lineRule="auto"/>
        <w:tabs>
          <w:tab w:leader="none" w:pos="48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Except as stated in paragraph (u)(2)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spacing w:after="0" w:line="185" w:lineRule="exact"/>
        <w:rPr>
          <w:rFonts w:ascii="Arial" w:cs="Arial" w:eastAsia="Arial" w:hAnsi="Arial"/>
          <w:sz w:val="18"/>
          <w:szCs w:val="18"/>
          <w:color w:val="auto"/>
        </w:rPr>
      </w:pPr>
    </w:p>
    <w:p>
      <w:pPr>
        <w:ind w:left="650" w:hanging="210"/>
        <w:spacing w:after="0"/>
        <w:tabs>
          <w:tab w:leader="none" w:pos="650" w:val="left"/>
        </w:tabs>
        <w:numPr>
          <w:ilvl w:val="2"/>
          <w:numId w:val="458"/>
        </w:numPr>
        <w:rPr>
          <w:rFonts w:ascii="Arial" w:cs="Arial" w:eastAsia="Arial" w:hAnsi="Arial"/>
          <w:sz w:val="18"/>
          <w:szCs w:val="18"/>
          <w:color w:val="auto"/>
        </w:rPr>
      </w:pPr>
      <w:r>
        <w:rPr>
          <w:rFonts w:ascii="Arial" w:cs="Arial" w:eastAsia="Arial" w:hAnsi="Arial"/>
          <w:sz w:val="18"/>
          <w:szCs w:val="18"/>
          <w:color w:val="auto"/>
        </w:rPr>
        <w:t>Any such clause is unenforceable against the Government.</w:t>
      </w:r>
    </w:p>
    <w:p>
      <w:pPr>
        <w:spacing w:after="0" w:line="225" w:lineRule="exact"/>
        <w:rPr>
          <w:sz w:val="20"/>
          <w:szCs w:val="20"/>
          <w:color w:val="auto"/>
        </w:rPr>
      </w:pPr>
    </w:p>
    <w:p>
      <w:pPr>
        <w:ind w:left="10" w:right="120" w:firstLine="430"/>
        <w:spacing w:after="0" w:line="259" w:lineRule="auto"/>
        <w:tabs>
          <w:tab w:leader="none" w:pos="71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Neither the Government nor any Government 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spacing w:after="0" w:line="185" w:lineRule="exact"/>
        <w:rPr>
          <w:rFonts w:ascii="Arial" w:cs="Arial" w:eastAsia="Arial" w:hAnsi="Arial"/>
          <w:sz w:val="18"/>
          <w:szCs w:val="18"/>
          <w:color w:val="auto"/>
        </w:rPr>
      </w:pPr>
    </w:p>
    <w:p>
      <w:pPr>
        <w:ind w:left="750" w:hanging="310"/>
        <w:spacing w:after="0"/>
        <w:tabs>
          <w:tab w:leader="none" w:pos="75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such clause is deemed to be stricken from the EULA, TOS, or similar legal instrument or agreement.</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Page 34 of 57</w:t>
      </w:r>
    </w:p>
    <w:p>
      <w:pPr>
        <w:sectPr>
          <w:pgSz w:w="11900" w:h="16838" w:orient="portrait"/>
          <w:cols w:equalWidth="0" w:num="1">
            <w:col w:w="10990"/>
          </w:cols>
          <w:pgMar w:left="450" w:top="274" w:right="459" w:bottom="1440" w:gutter="0" w:footer="0" w:header="0"/>
        </w:sectPr>
      </w:pPr>
    </w:p>
    <w:bookmarkStart w:id="529" w:name="page530"/>
    <w:bookmarkEnd w:id="529"/>
    <w:p>
      <w:pPr>
        <w:ind w:left="10" w:right="500" w:firstLine="210"/>
        <w:spacing w:after="0" w:line="277" w:lineRule="auto"/>
        <w:tabs>
          <w:tab w:leader="none" w:pos="4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(u)(1) of this clause does not apply to indemnification by the Government that is expressly authorized by statute and specifically authorized under applicable agency regulations and procedures.</w:t>
      </w:r>
    </w:p>
    <w:p>
      <w:pPr>
        <w:spacing w:after="0" w:line="169" w:lineRule="exact"/>
        <w:rPr>
          <w:rFonts w:ascii="Arial" w:cs="Arial" w:eastAsia="Arial" w:hAnsi="Arial"/>
          <w:sz w:val="18"/>
          <w:szCs w:val="18"/>
          <w:color w:val="auto"/>
        </w:rPr>
      </w:pPr>
    </w:p>
    <w:p>
      <w:pPr>
        <w:ind w:left="10" w:right="180" w:hanging="10"/>
        <w:spacing w:after="0" w:line="277" w:lineRule="auto"/>
        <w:tabs>
          <w:tab w:leader="none" w:pos="264" w:val="left"/>
        </w:tabs>
        <w:numPr>
          <w:ilvl w:val="0"/>
          <w:numId w:val="461"/>
        </w:numPr>
        <w:rPr>
          <w:rFonts w:ascii="Arial" w:cs="Arial" w:eastAsia="Arial" w:hAnsi="Arial"/>
          <w:sz w:val="18"/>
          <w:szCs w:val="18"/>
          <w:color w:val="auto"/>
        </w:rPr>
      </w:pPr>
      <w:r>
        <w:rPr>
          <w:rFonts w:ascii="Arial" w:cs="Arial" w:eastAsia="Arial" w:hAnsi="Arial"/>
          <w:sz w:val="18"/>
          <w:szCs w:val="18"/>
          <w:i w:val="1"/>
          <w:iCs w:val="1"/>
          <w:color w:val="auto"/>
        </w:rPr>
        <w:t>Incorporation by reference</w:t>
      </w:r>
      <w:r>
        <w:rPr>
          <w:rFonts w:ascii="Arial" w:cs="Arial" w:eastAsia="Arial" w:hAnsi="Arial"/>
          <w:sz w:val="18"/>
          <w:szCs w:val="18"/>
          <w:color w:val="auto"/>
        </w:rPr>
        <w:t>. The Contractor’s representations and certifications, including those completed electronically via the System for Award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(SAM), are incorporated by reference into the contract.</w:t>
      </w:r>
    </w:p>
    <w:p>
      <w:pPr>
        <w:spacing w:after="0" w:line="170"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ADDENDUM to FAR 52.212-4 CONTRACT TERMS AND CONDITIONS—COMMERCIAL ITEMS</w:t>
      </w:r>
    </w:p>
    <w:p>
      <w:pPr>
        <w:spacing w:after="0" w:line="225" w:lineRule="exact"/>
        <w:rPr>
          <w:sz w:val="20"/>
          <w:szCs w:val="20"/>
          <w:color w:val="auto"/>
        </w:rPr>
      </w:pPr>
    </w:p>
    <w:p>
      <w:pPr>
        <w:ind w:left="230"/>
        <w:spacing w:after="0"/>
        <w:rPr>
          <w:sz w:val="20"/>
          <w:szCs w:val="20"/>
          <w:color w:val="auto"/>
        </w:rPr>
      </w:pPr>
      <w:r>
        <w:rPr>
          <w:rFonts w:ascii="Arial" w:cs="Arial" w:eastAsia="Arial" w:hAnsi="Arial"/>
          <w:sz w:val="16"/>
          <w:szCs w:val="16"/>
          <w:color w:val="auto"/>
        </w:rPr>
        <w:t>Clauses that are incorporated by reference (by Citation Number, Title, and Date), have the same force and effect as if they were given in full text.</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8"/>
          <w:szCs w:val="18"/>
          <w:color w:val="auto"/>
        </w:rPr>
        <w:t>Upon request, the Contracting Officer will make their full text available.</w:t>
      </w:r>
    </w:p>
    <w:p>
      <w:pPr>
        <w:spacing w:after="0" w:line="210" w:lineRule="exact"/>
        <w:rPr>
          <w:sz w:val="20"/>
          <w:szCs w:val="20"/>
          <w:color w:val="auto"/>
        </w:rPr>
      </w:pPr>
    </w:p>
    <w:p>
      <w:pPr>
        <w:ind w:left="230"/>
        <w:spacing w:after="0"/>
        <w:rPr>
          <w:sz w:val="20"/>
          <w:szCs w:val="20"/>
          <w:color w:val="auto"/>
        </w:rPr>
      </w:pPr>
      <w:r>
        <w:rPr>
          <w:rFonts w:ascii="Arial" w:cs="Arial" w:eastAsia="Arial" w:hAnsi="Arial"/>
          <w:sz w:val="18"/>
          <w:szCs w:val="18"/>
          <w:color w:val="auto"/>
        </w:rPr>
        <w:t>The following clauses are incorporated into 52.212-4 as an addendum to this contract:</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C.2 52.204-10 REPORTING EXECUTIVE COMPENSATION AND FIRST-TIER SUBCONTRACT AWARDS (OCT 2016)</w:t>
      </w:r>
    </w:p>
    <w:p>
      <w:pPr>
        <w:spacing w:after="0" w:line="121" w:lineRule="exact"/>
        <w:rPr>
          <w:sz w:val="20"/>
          <w:szCs w:val="20"/>
          <w:color w:val="auto"/>
        </w:rPr>
      </w:pPr>
    </w:p>
    <w:p>
      <w:pPr>
        <w:ind w:left="23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clause:</w:t>
      </w:r>
    </w:p>
    <w:p>
      <w:pPr>
        <w:spacing w:after="0" w:line="225" w:lineRule="exact"/>
        <w:rPr>
          <w:sz w:val="20"/>
          <w:szCs w:val="20"/>
          <w:color w:val="auto"/>
        </w:rPr>
      </w:pPr>
    </w:p>
    <w:p>
      <w:pPr>
        <w:ind w:left="230"/>
        <w:spacing w:after="0"/>
        <w:rPr>
          <w:sz w:val="20"/>
          <w:szCs w:val="20"/>
          <w:color w:val="auto"/>
        </w:rPr>
      </w:pPr>
      <w:r>
        <w:rPr>
          <w:rFonts w:ascii="Arial" w:cs="Arial" w:eastAsia="Arial" w:hAnsi="Arial"/>
          <w:sz w:val="18"/>
          <w:szCs w:val="18"/>
          <w:color w:val="auto"/>
        </w:rPr>
        <w:t>“Executive” means officers, managing partners, or any other employees in management positions.</w:t>
      </w:r>
    </w:p>
    <w:p>
      <w:pPr>
        <w:spacing w:after="0" w:line="225" w:lineRule="exact"/>
        <w:rPr>
          <w:sz w:val="20"/>
          <w:szCs w:val="20"/>
          <w:color w:val="auto"/>
        </w:rPr>
      </w:pPr>
    </w:p>
    <w:p>
      <w:pPr>
        <w:ind w:left="10" w:right="520" w:firstLine="220"/>
        <w:spacing w:after="0" w:line="259" w:lineRule="auto"/>
        <w:rPr>
          <w:sz w:val="20"/>
          <w:szCs w:val="20"/>
          <w:color w:val="auto"/>
        </w:rPr>
      </w:pPr>
      <w:r>
        <w:rPr>
          <w:rFonts w:ascii="Arial" w:cs="Arial" w:eastAsia="Arial" w:hAnsi="Arial"/>
          <w:sz w:val="18"/>
          <w:szCs w:val="18"/>
          <w:color w:val="auto"/>
        </w:rPr>
        <w:t>“First-tier subcontract” means a subcontract awarded directly by the Contractor for the purpose of acquiring supplies or services (including construction) for performance of a prime contract. It does not include the Contractor’s supplier agreements with vendors, such as long-term arrangements for materials or supplies that benefit multiple contracts and/or the costs of which are normally applied to a Contractor’s general and administrative expenses or indirect costs.</w:t>
      </w:r>
    </w:p>
    <w:p>
      <w:pPr>
        <w:spacing w:after="0" w:line="186" w:lineRule="exact"/>
        <w:rPr>
          <w:sz w:val="20"/>
          <w:szCs w:val="20"/>
          <w:color w:val="auto"/>
        </w:rPr>
      </w:pPr>
    </w:p>
    <w:p>
      <w:pPr>
        <w:ind w:left="10" w:right="200" w:firstLine="220"/>
        <w:spacing w:after="0" w:line="277" w:lineRule="auto"/>
        <w:rPr>
          <w:sz w:val="20"/>
          <w:szCs w:val="20"/>
          <w:color w:val="auto"/>
        </w:rPr>
      </w:pPr>
      <w:r>
        <w:rPr>
          <w:rFonts w:ascii="Arial" w:cs="Arial" w:eastAsia="Arial" w:hAnsi="Arial"/>
          <w:sz w:val="18"/>
          <w:szCs w:val="18"/>
          <w:color w:val="auto"/>
        </w:rPr>
        <w:t>“Month of award” means the month in which a contract is signed by the Contracting Officer or the month in which a first-tier subcontract is signed by the Contractor.</w:t>
      </w:r>
    </w:p>
    <w:p>
      <w:pPr>
        <w:spacing w:after="0" w:line="170" w:lineRule="exact"/>
        <w:rPr>
          <w:sz w:val="20"/>
          <w:szCs w:val="20"/>
          <w:color w:val="auto"/>
        </w:rPr>
      </w:pPr>
    </w:p>
    <w:p>
      <w:pPr>
        <w:ind w:left="10" w:firstLine="220"/>
        <w:spacing w:after="0" w:line="277" w:lineRule="auto"/>
        <w:rPr>
          <w:sz w:val="20"/>
          <w:szCs w:val="20"/>
          <w:color w:val="auto"/>
        </w:rPr>
      </w:pPr>
      <w:r>
        <w:rPr>
          <w:rFonts w:ascii="Arial" w:cs="Arial" w:eastAsia="Arial" w:hAnsi="Arial"/>
          <w:sz w:val="18"/>
          <w:szCs w:val="18"/>
          <w:color w:val="auto"/>
        </w:rPr>
        <w:t>“Total compensation” means the cash and noncash dollar value earned by the executive during the Contractor’s preceding fiscal year and includes the following (for more information see 17 CFR 229.402(c)(2)):</w:t>
      </w:r>
    </w:p>
    <w:p>
      <w:pPr>
        <w:spacing w:after="0" w:line="170" w:lineRule="exact"/>
        <w:rPr>
          <w:sz w:val="20"/>
          <w:szCs w:val="20"/>
          <w:color w:val="auto"/>
        </w:rPr>
      </w:pPr>
    </w:p>
    <w:p>
      <w:pPr>
        <w:ind w:left="690" w:hanging="250"/>
        <w:spacing w:after="0"/>
        <w:tabs>
          <w:tab w:leader="none" w:pos="690" w:val="left"/>
        </w:tabs>
        <w:numPr>
          <w:ilvl w:val="0"/>
          <w:numId w:val="462"/>
        </w:numPr>
        <w:rPr>
          <w:rFonts w:ascii="Arial" w:cs="Arial" w:eastAsia="Arial" w:hAnsi="Arial"/>
          <w:sz w:val="18"/>
          <w:szCs w:val="18"/>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0" w:firstLine="430"/>
        <w:spacing w:after="0" w:line="263" w:lineRule="auto"/>
        <w:tabs>
          <w:tab w:leader="none" w:pos="704" w:val="left"/>
        </w:tabs>
        <w:numPr>
          <w:ilvl w:val="0"/>
          <w:numId w:val="462"/>
        </w:numPr>
        <w:rPr>
          <w:rFonts w:ascii="Arial" w:cs="Arial" w:eastAsia="Arial" w:hAnsi="Arial"/>
          <w:sz w:val="18"/>
          <w:szCs w:val="18"/>
          <w:color w:val="auto"/>
        </w:rPr>
      </w:pPr>
      <w:r>
        <w:rPr>
          <w:rFonts w:ascii="Arial" w:cs="Arial" w:eastAsia="Arial" w:hAnsi="Arial"/>
          <w:sz w:val="18"/>
          <w:szCs w:val="18"/>
          <w:i w:val="1"/>
          <w:iCs w:val="1"/>
          <w:color w:val="auto"/>
        </w:rPr>
        <w:t>Awards of stock, stock options, and stock appreciation rights</w:t>
      </w:r>
      <w:r>
        <w:rPr>
          <w:rFonts w:ascii="Arial" w:cs="Arial" w:eastAsia="Arial" w:hAnsi="Arial"/>
          <w:sz w:val="18"/>
          <w:szCs w:val="18"/>
          <w:color w:val="auto"/>
        </w:rPr>
        <w:t>. Use the dollar amount recognized for financial statement reporting purposes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fiscal year in accordance with the Financial Accounting Standards Board’s Accounting Standards Codification (FASB ASC) 718, Compensation-Stock Compensation.</w:t>
      </w:r>
    </w:p>
    <w:p>
      <w:pPr>
        <w:spacing w:after="0" w:line="182" w:lineRule="exact"/>
        <w:rPr>
          <w:rFonts w:ascii="Arial" w:cs="Arial" w:eastAsia="Arial" w:hAnsi="Arial"/>
          <w:sz w:val="18"/>
          <w:szCs w:val="18"/>
          <w:color w:val="auto"/>
        </w:rPr>
      </w:pPr>
    </w:p>
    <w:p>
      <w:pPr>
        <w:ind w:left="10" w:right="360" w:firstLine="430"/>
        <w:spacing w:after="0" w:line="277" w:lineRule="auto"/>
        <w:tabs>
          <w:tab w:leader="none" w:pos="704" w:val="left"/>
        </w:tabs>
        <w:numPr>
          <w:ilvl w:val="0"/>
          <w:numId w:val="462"/>
        </w:numPr>
        <w:rPr>
          <w:rFonts w:ascii="Arial" w:cs="Arial" w:eastAsia="Arial" w:hAnsi="Arial"/>
          <w:sz w:val="18"/>
          <w:szCs w:val="18"/>
          <w:color w:val="auto"/>
        </w:rPr>
      </w:pPr>
      <w:r>
        <w:rPr>
          <w:rFonts w:ascii="Arial" w:cs="Arial" w:eastAsia="Arial" w:hAnsi="Arial"/>
          <w:sz w:val="18"/>
          <w:szCs w:val="18"/>
          <w:i w:val="1"/>
          <w:iCs w:val="1"/>
          <w:color w:val="auto"/>
        </w:rPr>
        <w:t>Earnings for services under non-equity incentive plans</w:t>
      </w:r>
      <w:r>
        <w:rPr>
          <w:rFonts w:ascii="Arial" w:cs="Arial" w:eastAsia="Arial" w:hAnsi="Arial"/>
          <w:sz w:val="18"/>
          <w:szCs w:val="18"/>
          <w:color w:val="auto"/>
        </w:rPr>
        <w:t>. This does not include group life, health, hospitalization or medical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that do not discriminate in favor of executives, and are available generally to all salaried employees.</w:t>
      </w:r>
    </w:p>
    <w:p>
      <w:pPr>
        <w:spacing w:after="0" w:line="169" w:lineRule="exact"/>
        <w:rPr>
          <w:rFonts w:ascii="Arial" w:cs="Arial" w:eastAsia="Arial" w:hAnsi="Arial"/>
          <w:sz w:val="18"/>
          <w:szCs w:val="18"/>
          <w:color w:val="auto"/>
        </w:rPr>
      </w:pPr>
    </w:p>
    <w:p>
      <w:pPr>
        <w:ind w:left="690" w:hanging="250"/>
        <w:spacing w:after="0"/>
        <w:tabs>
          <w:tab w:leader="none" w:pos="690" w:val="left"/>
        </w:tabs>
        <w:numPr>
          <w:ilvl w:val="0"/>
          <w:numId w:val="462"/>
        </w:numPr>
        <w:rPr>
          <w:rFonts w:ascii="Arial" w:cs="Arial" w:eastAsia="Arial" w:hAnsi="Arial"/>
          <w:sz w:val="18"/>
          <w:szCs w:val="18"/>
          <w:color w:val="auto"/>
        </w:rPr>
      </w:pPr>
      <w:r>
        <w:rPr>
          <w:rFonts w:ascii="Arial" w:cs="Arial" w:eastAsia="Arial" w:hAnsi="Arial"/>
          <w:sz w:val="18"/>
          <w:szCs w:val="18"/>
          <w:i w:val="1"/>
          <w:iCs w:val="1"/>
          <w:color w:val="auto"/>
        </w:rPr>
        <w:t>Change in pension value</w:t>
      </w:r>
      <w:r>
        <w:rPr>
          <w:rFonts w:ascii="Arial" w:cs="Arial" w:eastAsia="Arial" w:hAnsi="Arial"/>
          <w:sz w:val="18"/>
          <w:szCs w:val="18"/>
          <w:color w:val="auto"/>
        </w:rPr>
        <w:t>. This is the change in present value of defined benefit and actuarial pension plans.</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Page 35 of 57</w:t>
      </w:r>
    </w:p>
    <w:p>
      <w:pPr>
        <w:sectPr>
          <w:pgSz w:w="11900" w:h="16838" w:orient="portrait"/>
          <w:cols w:equalWidth="0" w:num="1">
            <w:col w:w="10990"/>
          </w:cols>
          <w:pgMar w:left="450" w:top="273" w:right="459" w:bottom="1440" w:gutter="0" w:footer="0" w:header="0"/>
        </w:sectPr>
      </w:pPr>
    </w:p>
    <w:bookmarkStart w:id="530" w:name="page531"/>
    <w:bookmarkEnd w:id="530"/>
    <w:p>
      <w:pPr>
        <w:ind w:left="680" w:hanging="250"/>
        <w:spacing w:after="0"/>
        <w:tabs>
          <w:tab w:leader="none" w:pos="680" w:val="left"/>
        </w:tabs>
        <w:numPr>
          <w:ilvl w:val="1"/>
          <w:numId w:val="4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Above-market earnings on deferred compensation which is not tax-qualified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20" w:firstLine="430"/>
        <w:spacing w:after="0" w:line="277" w:lineRule="auto"/>
        <w:tabs>
          <w:tab w:leader="none" w:pos="69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Other compensation, if the aggregate value of all such other compensation (e.g., severance, termination payments, value of life insurance paid on behalf of the employee, perquisites or property) for the executive exceeds $10,000.</w:t>
      </w:r>
    </w:p>
    <w:p>
      <w:pPr>
        <w:spacing w:after="0" w:line="169" w:lineRule="exact"/>
        <w:rPr>
          <w:rFonts w:ascii="Arial" w:cs="Arial" w:eastAsia="Arial" w:hAnsi="Arial"/>
          <w:sz w:val="18"/>
          <w:szCs w:val="18"/>
          <w:color w:val="auto"/>
        </w:rPr>
      </w:pPr>
    </w:p>
    <w:p>
      <w:pPr>
        <w:ind w:right="180" w:firstLine="210"/>
        <w:spacing w:after="0" w:line="259" w:lineRule="auto"/>
        <w:tabs>
          <w:tab w:leader="none" w:pos="47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Section 2(d)(2) of the Federal Funding Accountability and Transparency Act of 2006 (Pub. L. 109– 282), as amended by section 6202 of the Government Funding Transparency Act of 2008 (Pub. L. 110– 252), requires the Contractor to report information on subcontract awards. The law requires all reported information be made public, therefore, the Contractor is responsible for notifying its subcontractors that the required information will be made public.</w:t>
      </w:r>
    </w:p>
    <w:p>
      <w:pPr>
        <w:spacing w:after="0" w:line="185" w:lineRule="exact"/>
        <w:rPr>
          <w:rFonts w:ascii="Arial" w:cs="Arial" w:eastAsia="Arial" w:hAnsi="Arial"/>
          <w:sz w:val="18"/>
          <w:szCs w:val="18"/>
          <w:color w:val="auto"/>
        </w:rPr>
      </w:pPr>
    </w:p>
    <w:p>
      <w:pPr>
        <w:ind w:left="460" w:hanging="250"/>
        <w:spacing w:after="0"/>
        <w:tabs>
          <w:tab w:leader="none" w:pos="4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Nothing in this clause requires the disclosure of classified information.</w:t>
      </w:r>
    </w:p>
    <w:p>
      <w:pPr>
        <w:spacing w:after="0" w:line="225" w:lineRule="exact"/>
        <w:rPr>
          <w:sz w:val="20"/>
          <w:szCs w:val="20"/>
          <w:color w:val="auto"/>
        </w:rPr>
      </w:pPr>
    </w:p>
    <w:p>
      <w:pPr>
        <w:ind w:firstLine="220"/>
        <w:spacing w:after="0" w:line="263" w:lineRule="auto"/>
        <w:rPr>
          <w:sz w:val="20"/>
          <w:szCs w:val="20"/>
          <w:color w:val="auto"/>
        </w:rPr>
      </w:pPr>
      <w:r>
        <w:rPr>
          <w:rFonts w:ascii="Arial" w:cs="Arial" w:eastAsia="Arial" w:hAnsi="Arial"/>
          <w:sz w:val="18"/>
          <w:szCs w:val="18"/>
          <w:color w:val="auto"/>
        </w:rPr>
        <w:t xml:space="preserve">(d)(1) </w:t>
      </w:r>
      <w:r>
        <w:rPr>
          <w:rFonts w:ascii="Arial" w:cs="Arial" w:eastAsia="Arial" w:hAnsi="Arial"/>
          <w:sz w:val="18"/>
          <w:szCs w:val="18"/>
          <w:i w:val="1"/>
          <w:iCs w:val="1"/>
          <w:color w:val="auto"/>
        </w:rPr>
        <w:t>Executive compensation of the prime contractor</w:t>
      </w:r>
      <w:r>
        <w:rPr>
          <w:rFonts w:ascii="Arial" w:cs="Arial" w:eastAsia="Arial" w:hAnsi="Arial"/>
          <w:sz w:val="18"/>
          <w:szCs w:val="18"/>
          <w:color w:val="auto"/>
        </w:rPr>
        <w:t>. As a part of its annual registration requirement in the System for Award Management (SAM) database (FAR provision 52.204–7), the Contractor shall report the names and total compensation of each of the five most highly compensated executives for its preceding completed fiscal year, if—</w:t>
      </w:r>
    </w:p>
    <w:p>
      <w:pPr>
        <w:spacing w:after="0" w:line="183" w:lineRule="exact"/>
        <w:rPr>
          <w:sz w:val="20"/>
          <w:szCs w:val="20"/>
          <w:color w:val="auto"/>
        </w:rPr>
      </w:pPr>
    </w:p>
    <w:p>
      <w:pPr>
        <w:ind w:left="640" w:hanging="210"/>
        <w:spacing w:after="0"/>
        <w:tabs>
          <w:tab w:leader="none" w:pos="64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In the Contractor’s preceding fiscal year, the Contractor received—</w:t>
      </w:r>
    </w:p>
    <w:p>
      <w:pPr>
        <w:spacing w:after="0" w:line="224" w:lineRule="exact"/>
        <w:rPr>
          <w:rFonts w:ascii="Arial" w:cs="Arial" w:eastAsia="Arial" w:hAnsi="Arial"/>
          <w:sz w:val="18"/>
          <w:szCs w:val="18"/>
          <w:color w:val="auto"/>
        </w:rPr>
      </w:pPr>
    </w:p>
    <w:p>
      <w:pPr>
        <w:ind w:right="440" w:firstLine="651"/>
        <w:spacing w:after="0" w:line="277" w:lineRule="auto"/>
        <w:tabs>
          <w:tab w:leader="none" w:pos="955" w:val="left"/>
        </w:tabs>
        <w:numPr>
          <w:ilvl w:val="2"/>
          <w:numId w:val="465"/>
        </w:numPr>
        <w:rPr>
          <w:rFonts w:ascii="Arial" w:cs="Arial" w:eastAsia="Arial" w:hAnsi="Arial"/>
          <w:sz w:val="18"/>
          <w:szCs w:val="18"/>
          <w:color w:val="auto"/>
        </w:rPr>
      </w:pPr>
      <w:r>
        <w:rPr>
          <w:rFonts w:ascii="Arial" w:cs="Arial" w:eastAsia="Arial" w:hAnsi="Arial"/>
          <w:sz w:val="18"/>
          <w:szCs w:val="18"/>
          <w:color w:val="auto"/>
        </w:rPr>
        <w:t>80 percent or more of its annual gross revenues from Federal contracts (and subcontracts), loans, grants (and subgrants), cooperative agreements, and other forms of Federal financial assistance; and</w:t>
      </w:r>
    </w:p>
    <w:p>
      <w:pPr>
        <w:spacing w:after="0" w:line="169" w:lineRule="exact"/>
        <w:rPr>
          <w:rFonts w:ascii="Arial" w:cs="Arial" w:eastAsia="Arial" w:hAnsi="Arial"/>
          <w:sz w:val="18"/>
          <w:szCs w:val="18"/>
          <w:color w:val="auto"/>
        </w:rPr>
      </w:pPr>
    </w:p>
    <w:p>
      <w:pPr>
        <w:ind w:right="540" w:firstLine="651"/>
        <w:spacing w:after="0" w:line="277" w:lineRule="auto"/>
        <w:tabs>
          <w:tab w:leader="none" w:pos="945" w:val="left"/>
        </w:tabs>
        <w:numPr>
          <w:ilvl w:val="2"/>
          <w:numId w:val="465"/>
        </w:numPr>
        <w:rPr>
          <w:rFonts w:ascii="Arial" w:cs="Arial" w:eastAsia="Arial" w:hAnsi="Arial"/>
          <w:sz w:val="18"/>
          <w:szCs w:val="18"/>
          <w:color w:val="auto"/>
        </w:rPr>
      </w:pPr>
      <w:r>
        <w:rPr>
          <w:rFonts w:ascii="Arial" w:cs="Arial" w:eastAsia="Arial" w:hAnsi="Arial"/>
          <w:sz w:val="18"/>
          <w:szCs w:val="18"/>
          <w:color w:val="auto"/>
        </w:rPr>
        <w:t>$25,000,000 or more in annual gross revenues from Federal contracts (and subcontracts), loans, grants (and subgrants), cooperative agreements, and other forms of Federal financial assistance; and</w:t>
      </w:r>
    </w:p>
    <w:p>
      <w:pPr>
        <w:spacing w:after="0" w:line="169" w:lineRule="exact"/>
        <w:rPr>
          <w:rFonts w:ascii="Arial" w:cs="Arial" w:eastAsia="Arial" w:hAnsi="Arial"/>
          <w:sz w:val="18"/>
          <w:szCs w:val="18"/>
          <w:color w:val="auto"/>
        </w:rPr>
      </w:pPr>
    </w:p>
    <w:p>
      <w:pPr>
        <w:ind w:right="40" w:firstLine="430"/>
        <w:spacing w:after="0" w:line="259" w:lineRule="auto"/>
        <w:tabs>
          <w:tab w:leader="none" w:pos="705" w:val="left"/>
        </w:tabs>
        <w:numPr>
          <w:ilvl w:val="1"/>
          <w:numId w:val="465"/>
        </w:numPr>
        <w:rPr>
          <w:rFonts w:ascii="Arial" w:cs="Arial" w:eastAsia="Arial" w:hAnsi="Arial"/>
          <w:sz w:val="18"/>
          <w:szCs w:val="18"/>
          <w:color w:val="auto"/>
        </w:rPr>
      </w:pPr>
      <w:r>
        <w:rPr>
          <w:rFonts w:ascii="Arial" w:cs="Arial" w:eastAsia="Arial" w:hAnsi="Arial"/>
          <w:sz w:val="18"/>
          <w:szCs w:val="18"/>
          <w:color w:val="auto"/>
        </w:rPr>
        <w:t xml:space="preserve">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see the U.S. Security and Exchange Commission total compensation filings at </w:t>
      </w:r>
      <w:r>
        <w:rPr>
          <w:rFonts w:ascii="Arial" w:cs="Arial" w:eastAsia="Arial" w:hAnsi="Arial"/>
          <w:sz w:val="18"/>
          <w:szCs w:val="18"/>
          <w:i w:val="1"/>
          <w:iCs w:val="1"/>
          <w:u w:val="single" w:color="auto"/>
          <w:color w:val="auto"/>
        </w:rPr>
        <w:t>http://www.sec.gov/answers/execomp.htm</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60" w:firstLine="210"/>
        <w:spacing w:after="0" w:line="311" w:lineRule="auto"/>
        <w:tabs>
          <w:tab w:leader="none" w:pos="475" w:val="left"/>
        </w:tabs>
        <w:numPr>
          <w:ilvl w:val="0"/>
          <w:numId w:val="466"/>
        </w:numPr>
        <w:rPr>
          <w:rFonts w:ascii="Arial" w:cs="Arial" w:eastAsia="Arial" w:hAnsi="Arial"/>
          <w:sz w:val="16"/>
          <w:szCs w:val="16"/>
          <w:color w:val="auto"/>
        </w:rPr>
      </w:pPr>
      <w:r>
        <w:rPr>
          <w:rFonts w:ascii="Arial" w:cs="Arial" w:eastAsia="Arial" w:hAnsi="Arial"/>
          <w:sz w:val="16"/>
          <w:szCs w:val="16"/>
          <w:i w:val="1"/>
          <w:iCs w:val="1"/>
          <w:color w:val="auto"/>
        </w:rPr>
        <w:t>First-tier subcontract information</w:t>
      </w:r>
      <w:r>
        <w:rPr>
          <w:rFonts w:ascii="Arial" w:cs="Arial" w:eastAsia="Arial" w:hAnsi="Arial"/>
          <w:sz w:val="16"/>
          <w:szCs w:val="16"/>
          <w:color w:val="auto"/>
        </w:rPr>
        <w:t>. Unless otherwise directed by the contracting officer, or as provided in paragraph (g) of this clause, by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month following the month of award of a first-tier subcontract with a value of $30,000 or more, the Contractor shall report the following information at </w:t>
      </w:r>
      <w:r>
        <w:rPr>
          <w:rFonts w:ascii="Arial" w:cs="Arial" w:eastAsia="Arial" w:hAnsi="Arial"/>
          <w:sz w:val="16"/>
          <w:szCs w:val="16"/>
          <w:i w:val="1"/>
          <w:iCs w:val="1"/>
          <w:u w:val="single" w:color="auto"/>
          <w:color w:val="auto"/>
        </w:rPr>
        <w:t>http://www.fsrs.gov</w:t>
      </w:r>
      <w:r>
        <w:rPr>
          <w:rFonts w:ascii="Arial" w:cs="Arial" w:eastAsia="Arial" w:hAnsi="Arial"/>
          <w:sz w:val="16"/>
          <w:szCs w:val="16"/>
          <w:color w:val="auto"/>
        </w:rPr>
        <w:t xml:space="preserve"> for that first-tier subcontract. (The Contractor shall follow the instructions at </w:t>
      </w:r>
      <w:r>
        <w:rPr>
          <w:rFonts w:ascii="Arial" w:cs="Arial" w:eastAsia="Arial" w:hAnsi="Arial"/>
          <w:sz w:val="16"/>
          <w:szCs w:val="16"/>
          <w:i w:val="1"/>
          <w:iCs w:val="1"/>
          <w:u w:val="single" w:color="auto"/>
          <w:color w:val="auto"/>
        </w:rPr>
        <w:t>http://www.fsrs.gov</w:t>
      </w:r>
      <w:r>
        <w:rPr>
          <w:rFonts w:ascii="Arial" w:cs="Arial" w:eastAsia="Arial" w:hAnsi="Arial"/>
          <w:sz w:val="16"/>
          <w:szCs w:val="16"/>
          <w:color w:val="auto"/>
        </w:rPr>
        <w:t xml:space="preserve"> to report the data.)</w:t>
      </w:r>
    </w:p>
    <w:p>
      <w:pPr>
        <w:spacing w:after="0" w:line="148" w:lineRule="exact"/>
        <w:rPr>
          <w:rFonts w:ascii="Arial" w:cs="Arial" w:eastAsia="Arial" w:hAnsi="Arial"/>
          <w:sz w:val="16"/>
          <w:szCs w:val="16"/>
          <w:color w:val="auto"/>
        </w:rPr>
      </w:pPr>
    </w:p>
    <w:p>
      <w:pPr>
        <w:ind w:right="40" w:firstLine="430"/>
        <w:spacing w:after="0" w:line="277" w:lineRule="auto"/>
        <w:tabs>
          <w:tab w:leader="none" w:pos="65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Unique entity identifier for the subcontractor receiving the award and for the subcontractor’s parent company, if the subcontractor has a parent company.</w:t>
      </w:r>
    </w:p>
    <w:p>
      <w:pPr>
        <w:spacing w:after="0" w:line="169" w:lineRule="exact"/>
        <w:rPr>
          <w:rFonts w:ascii="Arial" w:cs="Arial" w:eastAsia="Arial" w:hAnsi="Arial"/>
          <w:sz w:val="18"/>
          <w:szCs w:val="18"/>
          <w:color w:val="auto"/>
        </w:rPr>
      </w:pPr>
    </w:p>
    <w:p>
      <w:pPr>
        <w:ind w:left="700" w:hanging="270"/>
        <w:spacing w:after="0"/>
        <w:tabs>
          <w:tab w:leader="none" w:pos="70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Name of the subcontractor.</w:t>
      </w:r>
    </w:p>
    <w:p>
      <w:pPr>
        <w:spacing w:after="0" w:line="224" w:lineRule="exact"/>
        <w:rPr>
          <w:rFonts w:ascii="Arial" w:cs="Arial" w:eastAsia="Arial" w:hAnsi="Arial"/>
          <w:sz w:val="18"/>
          <w:szCs w:val="18"/>
          <w:color w:val="auto"/>
        </w:rPr>
      </w:pPr>
    </w:p>
    <w:p>
      <w:pPr>
        <w:ind w:left="740" w:hanging="310"/>
        <w:spacing w:after="0"/>
        <w:tabs>
          <w:tab w:leader="none" w:pos="7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Amount of the subcontract award.</w:t>
      </w:r>
    </w:p>
    <w:p>
      <w:pPr>
        <w:spacing w:after="0" w:line="224" w:lineRule="exact"/>
        <w:rPr>
          <w:rFonts w:ascii="Arial" w:cs="Arial" w:eastAsia="Arial" w:hAnsi="Arial"/>
          <w:sz w:val="18"/>
          <w:szCs w:val="18"/>
          <w:color w:val="auto"/>
        </w:rPr>
      </w:pPr>
    </w:p>
    <w:p>
      <w:pPr>
        <w:ind w:left="740" w:hanging="310"/>
        <w:spacing w:after="0"/>
        <w:tabs>
          <w:tab w:leader="none" w:pos="7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Date of the subcontract award.</w:t>
      </w:r>
    </w:p>
    <w:p>
      <w:pPr>
        <w:spacing w:after="0" w:line="224" w:lineRule="exact"/>
        <w:rPr>
          <w:rFonts w:ascii="Arial" w:cs="Arial" w:eastAsia="Arial" w:hAnsi="Arial"/>
          <w:sz w:val="18"/>
          <w:szCs w:val="18"/>
          <w:color w:val="auto"/>
        </w:rPr>
      </w:pPr>
    </w:p>
    <w:p>
      <w:pPr>
        <w:ind w:right="320" w:firstLine="430"/>
        <w:spacing w:after="0" w:line="277" w:lineRule="auto"/>
        <w:tabs>
          <w:tab w:leader="none" w:pos="69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 description of the products or services (including construction) being provided under the subcontract, including the overall purpose and expected outcomes or results of the subcontract.</w:t>
      </w:r>
    </w:p>
    <w:p>
      <w:pPr>
        <w:spacing w:after="0" w:line="169" w:lineRule="exact"/>
        <w:rPr>
          <w:rFonts w:ascii="Arial" w:cs="Arial" w:eastAsia="Arial" w:hAnsi="Arial"/>
          <w:sz w:val="18"/>
          <w:szCs w:val="18"/>
          <w:color w:val="auto"/>
        </w:rPr>
      </w:pPr>
    </w:p>
    <w:p>
      <w:pPr>
        <w:ind w:left="740" w:hanging="310"/>
        <w:spacing w:after="0"/>
        <w:tabs>
          <w:tab w:leader="none" w:pos="7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Subcontract number (the subcontract number assigned by the Contractor).</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36 of 57</w:t>
      </w:r>
    </w:p>
    <w:p>
      <w:pPr>
        <w:sectPr>
          <w:pgSz w:w="11900" w:h="16838" w:orient="portrait"/>
          <w:cols w:equalWidth="0" w:num="1">
            <w:col w:w="10920"/>
          </w:cols>
          <w:pgMar w:left="460" w:top="274" w:right="519" w:bottom="1440" w:gutter="0" w:footer="0" w:header="0"/>
        </w:sectPr>
      </w:pPr>
    </w:p>
    <w:bookmarkStart w:id="531" w:name="page532"/>
    <w:bookmarkEnd w:id="531"/>
    <w:p>
      <w:pPr>
        <w:ind w:left="780" w:hanging="350"/>
        <w:spacing w:after="0"/>
        <w:tabs>
          <w:tab w:leader="none" w:pos="780" w:val="left"/>
        </w:tabs>
        <w:numPr>
          <w:ilvl w:val="1"/>
          <w:numId w:val="4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Subcontractor’s physical address including street address, city, state, and country. Also include the nine-digit zip code and congressional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district.</w:t>
      </w:r>
    </w:p>
    <w:p>
      <w:pPr>
        <w:spacing w:after="0" w:line="210" w:lineRule="exact"/>
        <w:rPr>
          <w:rFonts w:ascii="Arial" w:cs="Arial" w:eastAsia="Arial" w:hAnsi="Arial"/>
          <w:sz w:val="16"/>
          <w:szCs w:val="16"/>
          <w:color w:val="auto"/>
        </w:rPr>
      </w:pPr>
    </w:p>
    <w:p>
      <w:pPr>
        <w:ind w:right="440" w:firstLine="430"/>
        <w:spacing w:after="0" w:line="277" w:lineRule="auto"/>
        <w:tabs>
          <w:tab w:leader="none" w:pos="845"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Subcontractor’s primary performance location including street address, city, state, and country. Also include the nine-digit zip code and congressional district.</w:t>
      </w:r>
    </w:p>
    <w:p>
      <w:pPr>
        <w:spacing w:after="0" w:line="169" w:lineRule="exact"/>
        <w:rPr>
          <w:rFonts w:ascii="Arial" w:cs="Arial" w:eastAsia="Arial" w:hAnsi="Arial"/>
          <w:sz w:val="18"/>
          <w:szCs w:val="18"/>
          <w:color w:val="auto"/>
        </w:rPr>
      </w:pPr>
    </w:p>
    <w:p>
      <w:pPr>
        <w:ind w:left="740" w:hanging="310"/>
        <w:spacing w:after="0"/>
        <w:tabs>
          <w:tab w:leader="none" w:pos="74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prime contract number, and order number if applicable.</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Awarding agency name and code.</w:t>
      </w:r>
    </w:p>
    <w:p>
      <w:pPr>
        <w:spacing w:after="0" w:line="224" w:lineRule="exact"/>
        <w:rPr>
          <w:rFonts w:ascii="Arial" w:cs="Arial" w:eastAsia="Arial" w:hAnsi="Arial"/>
          <w:sz w:val="18"/>
          <w:szCs w:val="18"/>
          <w:color w:val="auto"/>
        </w:rPr>
      </w:pPr>
    </w:p>
    <w:p>
      <w:pPr>
        <w:ind w:left="740" w:hanging="310"/>
        <w:spacing w:after="0"/>
        <w:tabs>
          <w:tab w:leader="none" w:pos="74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Funding agency name and code.</w:t>
      </w:r>
    </w:p>
    <w:p>
      <w:pPr>
        <w:spacing w:after="0" w:line="224" w:lineRule="exact"/>
        <w:rPr>
          <w:rFonts w:ascii="Arial" w:cs="Arial" w:eastAsia="Arial" w:hAnsi="Arial"/>
          <w:sz w:val="18"/>
          <w:szCs w:val="18"/>
          <w:color w:val="auto"/>
        </w:rPr>
      </w:pPr>
    </w:p>
    <w:p>
      <w:pPr>
        <w:ind w:left="780" w:hanging="350"/>
        <w:spacing w:after="0"/>
        <w:tabs>
          <w:tab w:leader="none" w:pos="78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Government contracting office code.</w:t>
      </w:r>
    </w:p>
    <w:p>
      <w:pPr>
        <w:spacing w:after="0" w:line="224" w:lineRule="exact"/>
        <w:rPr>
          <w:rFonts w:ascii="Arial" w:cs="Arial" w:eastAsia="Arial" w:hAnsi="Arial"/>
          <w:sz w:val="18"/>
          <w:szCs w:val="18"/>
          <w:color w:val="auto"/>
        </w:rPr>
      </w:pPr>
    </w:p>
    <w:p>
      <w:pPr>
        <w:ind w:left="840" w:hanging="410"/>
        <w:spacing w:after="0"/>
        <w:tabs>
          <w:tab w:leader="none" w:pos="84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Treasury account symbol (TAS) as reported in FPDS.</w:t>
      </w:r>
    </w:p>
    <w:p>
      <w:pPr>
        <w:spacing w:after="0" w:line="224" w:lineRule="exact"/>
        <w:rPr>
          <w:rFonts w:ascii="Arial" w:cs="Arial" w:eastAsia="Arial" w:hAnsi="Arial"/>
          <w:sz w:val="18"/>
          <w:szCs w:val="18"/>
          <w:color w:val="auto"/>
        </w:rPr>
      </w:pPr>
    </w:p>
    <w:p>
      <w:pPr>
        <w:ind w:left="820" w:hanging="390"/>
        <w:spacing w:after="0"/>
        <w:tabs>
          <w:tab w:leader="none" w:pos="8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applicable North American Industry Classification System code (NAICS).</w:t>
      </w:r>
    </w:p>
    <w:p>
      <w:pPr>
        <w:spacing w:after="0" w:line="224" w:lineRule="exact"/>
        <w:rPr>
          <w:rFonts w:ascii="Arial" w:cs="Arial" w:eastAsia="Arial" w:hAnsi="Arial"/>
          <w:sz w:val="18"/>
          <w:szCs w:val="18"/>
          <w:color w:val="auto"/>
        </w:rPr>
      </w:pPr>
    </w:p>
    <w:p>
      <w:pPr>
        <w:jc w:val="both"/>
        <w:ind w:right="120" w:firstLine="210"/>
        <w:spacing w:after="0" w:line="279" w:lineRule="auto"/>
        <w:tabs>
          <w:tab w:leader="none" w:pos="475" w:val="left"/>
        </w:tabs>
        <w:numPr>
          <w:ilvl w:val="0"/>
          <w:numId w:val="468"/>
        </w:numPr>
        <w:rPr>
          <w:rFonts w:ascii="Arial" w:cs="Arial" w:eastAsia="Arial" w:hAnsi="Arial"/>
          <w:sz w:val="17"/>
          <w:szCs w:val="17"/>
          <w:color w:val="auto"/>
        </w:rPr>
      </w:pPr>
      <w:r>
        <w:rPr>
          <w:rFonts w:ascii="Arial" w:cs="Arial" w:eastAsia="Arial" w:hAnsi="Arial"/>
          <w:sz w:val="17"/>
          <w:szCs w:val="17"/>
          <w:i w:val="1"/>
          <w:iCs w:val="1"/>
          <w:color w:val="auto"/>
        </w:rPr>
        <w:t>Executive compensation of the first-tier subcontractor</w:t>
      </w:r>
      <w:r>
        <w:rPr>
          <w:rFonts w:ascii="Arial" w:cs="Arial" w:eastAsia="Arial" w:hAnsi="Arial"/>
          <w:sz w:val="17"/>
          <w:szCs w:val="17"/>
          <w:color w:val="auto"/>
        </w:rPr>
        <w:t>. Unless otherwise directed by the Contracting Officer, by the end of the month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month of award of a first-tier subcontract with a value of $30,000 or more, and annually thereafter (calculated from the prime contract award date), the Contractor shall report the names and total compensation of each of the five most highly compensated executives for that first-tier subcontractor for the first-tier subcontractor’s preceding completed fiscal year at </w:t>
      </w:r>
      <w:r>
        <w:rPr>
          <w:rFonts w:ascii="Arial" w:cs="Arial" w:eastAsia="Arial" w:hAnsi="Arial"/>
          <w:sz w:val="17"/>
          <w:szCs w:val="17"/>
          <w:i w:val="1"/>
          <w:iCs w:val="1"/>
          <w:u w:val="single" w:color="auto"/>
          <w:color w:val="auto"/>
        </w:rPr>
        <w:t>http://www.fsrs.gov</w:t>
      </w:r>
      <w:r>
        <w:rPr>
          <w:rFonts w:ascii="Arial" w:cs="Arial" w:eastAsia="Arial" w:hAnsi="Arial"/>
          <w:sz w:val="17"/>
          <w:szCs w:val="17"/>
          <w:color w:val="auto"/>
        </w:rPr>
        <w:t>, if—</w:t>
      </w:r>
    </w:p>
    <w:p>
      <w:pPr>
        <w:spacing w:after="0" w:line="170" w:lineRule="exact"/>
        <w:rPr>
          <w:rFonts w:ascii="Arial" w:cs="Arial" w:eastAsia="Arial" w:hAnsi="Arial"/>
          <w:sz w:val="17"/>
          <w:szCs w:val="17"/>
          <w:color w:val="auto"/>
        </w:rPr>
      </w:pPr>
    </w:p>
    <w:p>
      <w:pPr>
        <w:ind w:left="640" w:hanging="210"/>
        <w:spacing w:after="0"/>
        <w:tabs>
          <w:tab w:leader="none" w:pos="64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In the subcontractor’s preceding fiscal year, the subcontractor received—</w:t>
      </w:r>
    </w:p>
    <w:p>
      <w:pPr>
        <w:spacing w:after="0" w:line="224" w:lineRule="exact"/>
        <w:rPr>
          <w:rFonts w:ascii="Arial" w:cs="Arial" w:eastAsia="Arial" w:hAnsi="Arial"/>
          <w:sz w:val="18"/>
          <w:szCs w:val="18"/>
          <w:color w:val="auto"/>
        </w:rPr>
      </w:pPr>
    </w:p>
    <w:p>
      <w:pPr>
        <w:ind w:right="520" w:firstLine="651"/>
        <w:spacing w:after="0" w:line="277" w:lineRule="auto"/>
        <w:tabs>
          <w:tab w:leader="none" w:pos="955" w:val="left"/>
        </w:tabs>
        <w:numPr>
          <w:ilvl w:val="2"/>
          <w:numId w:val="468"/>
        </w:numPr>
        <w:rPr>
          <w:rFonts w:ascii="Arial" w:cs="Arial" w:eastAsia="Arial" w:hAnsi="Arial"/>
          <w:sz w:val="18"/>
          <w:szCs w:val="18"/>
          <w:color w:val="auto"/>
        </w:rPr>
      </w:pPr>
      <w:r>
        <w:rPr>
          <w:rFonts w:ascii="Arial" w:cs="Arial" w:eastAsia="Arial" w:hAnsi="Arial"/>
          <w:sz w:val="18"/>
          <w:szCs w:val="18"/>
          <w:color w:val="auto"/>
        </w:rPr>
        <w:t>80 percent or more of its annual gross revenues from Federal contracts (and subcontracts), loans, grants (and subgrants), cooperative agreements, and other forms of Federal financial assistance; and</w:t>
      </w:r>
    </w:p>
    <w:p>
      <w:pPr>
        <w:spacing w:after="0" w:line="169" w:lineRule="exact"/>
        <w:rPr>
          <w:rFonts w:ascii="Arial" w:cs="Arial" w:eastAsia="Arial" w:hAnsi="Arial"/>
          <w:sz w:val="18"/>
          <w:szCs w:val="18"/>
          <w:color w:val="auto"/>
        </w:rPr>
      </w:pPr>
    </w:p>
    <w:p>
      <w:pPr>
        <w:ind w:right="620" w:firstLine="651"/>
        <w:spacing w:after="0" w:line="277" w:lineRule="auto"/>
        <w:tabs>
          <w:tab w:leader="none" w:pos="945" w:val="left"/>
        </w:tabs>
        <w:numPr>
          <w:ilvl w:val="2"/>
          <w:numId w:val="468"/>
        </w:numPr>
        <w:rPr>
          <w:rFonts w:ascii="Arial" w:cs="Arial" w:eastAsia="Arial" w:hAnsi="Arial"/>
          <w:sz w:val="18"/>
          <w:szCs w:val="18"/>
          <w:color w:val="auto"/>
        </w:rPr>
      </w:pPr>
      <w:r>
        <w:rPr>
          <w:rFonts w:ascii="Arial" w:cs="Arial" w:eastAsia="Arial" w:hAnsi="Arial"/>
          <w:sz w:val="18"/>
          <w:szCs w:val="18"/>
          <w:color w:val="auto"/>
        </w:rPr>
        <w:t>$25,000,000 or more in annual gross revenues from Federal contracts (and subcontracts), loans, grants (and subgrants), cooperative agreements, and other forms of Federal financial assistance; and</w:t>
      </w:r>
    </w:p>
    <w:p>
      <w:pPr>
        <w:spacing w:after="0" w:line="169" w:lineRule="exact"/>
        <w:rPr>
          <w:rFonts w:ascii="Arial" w:cs="Arial" w:eastAsia="Arial" w:hAnsi="Arial"/>
          <w:sz w:val="18"/>
          <w:szCs w:val="18"/>
          <w:color w:val="auto"/>
        </w:rPr>
      </w:pPr>
    </w:p>
    <w:p>
      <w:pPr>
        <w:ind w:right="120" w:firstLine="430"/>
        <w:spacing w:after="0" w:line="259" w:lineRule="auto"/>
        <w:tabs>
          <w:tab w:leader="none" w:pos="705"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see the U.S. Security and Exchange Commission total compensation filings at </w:t>
      </w:r>
      <w:r>
        <w:rPr>
          <w:rFonts w:ascii="Arial" w:cs="Arial" w:eastAsia="Arial" w:hAnsi="Arial"/>
          <w:sz w:val="18"/>
          <w:szCs w:val="18"/>
          <w:i w:val="1"/>
          <w:iCs w:val="1"/>
          <w:u w:val="single" w:color="auto"/>
          <w:color w:val="auto"/>
        </w:rPr>
        <w:t>http://www.sec.gov/answers/execomp.htm</w:t>
      </w:r>
      <w:r>
        <w:rPr>
          <w:rFonts w:ascii="Arial" w:cs="Arial" w:eastAsia="Arial" w:hAnsi="Arial"/>
          <w:sz w:val="18"/>
          <w:szCs w:val="18"/>
          <w:color w:val="auto"/>
        </w:rPr>
        <w:t>.)</w:t>
      </w:r>
    </w:p>
    <w:p>
      <w:pPr>
        <w:spacing w:after="0" w:line="186" w:lineRule="exact"/>
        <w:rPr>
          <w:sz w:val="20"/>
          <w:szCs w:val="20"/>
          <w:color w:val="auto"/>
        </w:rPr>
      </w:pPr>
    </w:p>
    <w:p>
      <w:pPr>
        <w:ind w:right="480" w:firstLine="210"/>
        <w:spacing w:after="0" w:line="277" w:lineRule="auto"/>
        <w:tabs>
          <w:tab w:leader="none" w:pos="46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Contractor shall not split or break down first-tier subcontract awards to a value less than $30,000 to avoid the reporting requirements in paragraph (d) of this clause.</w:t>
      </w:r>
    </w:p>
    <w:p>
      <w:pPr>
        <w:spacing w:after="0" w:line="169" w:lineRule="exact"/>
        <w:rPr>
          <w:rFonts w:ascii="Arial" w:cs="Arial" w:eastAsia="Arial" w:hAnsi="Arial"/>
          <w:sz w:val="18"/>
          <w:szCs w:val="18"/>
          <w:color w:val="auto"/>
        </w:rPr>
      </w:pPr>
    </w:p>
    <w:p>
      <w:pPr>
        <w:ind w:right="160" w:firstLine="210"/>
        <w:spacing w:after="0" w:line="263" w:lineRule="auto"/>
        <w:tabs>
          <w:tab w:leader="none" w:pos="44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Contractor is required to report information on a first-tier subcontract covered by paragraph (d) when the subcontract is awarded. Continued reporting on the same subcontract is not required unless one of the reported data elements changes during the performance of the subcontract. The Contractor is not required to make further reports after the first-tier subcontract expires.</w:t>
      </w:r>
    </w:p>
    <w:p>
      <w:pPr>
        <w:spacing w:after="0" w:line="183" w:lineRule="exact"/>
        <w:rPr>
          <w:sz w:val="20"/>
          <w:szCs w:val="20"/>
          <w:color w:val="auto"/>
        </w:rPr>
      </w:pPr>
    </w:p>
    <w:p>
      <w:pPr>
        <w:ind w:firstLine="220"/>
        <w:spacing w:after="0" w:line="277" w:lineRule="auto"/>
        <w:rPr>
          <w:sz w:val="20"/>
          <w:szCs w:val="20"/>
          <w:color w:val="auto"/>
        </w:rPr>
      </w:pPr>
      <w:r>
        <w:rPr>
          <w:rFonts w:ascii="Arial" w:cs="Arial" w:eastAsia="Arial" w:hAnsi="Arial"/>
          <w:sz w:val="18"/>
          <w:szCs w:val="18"/>
          <w:color w:val="auto"/>
        </w:rPr>
        <w:t>(g)(1) If the Contractor in the previous tax year had gross income, from all sources, under $300,000, the Contractor is exempt from the requirement to report subcontractor awards.</w:t>
      </w:r>
    </w:p>
    <w:p>
      <w:pPr>
        <w:spacing w:after="0" w:line="170" w:lineRule="exact"/>
        <w:rPr>
          <w:sz w:val="20"/>
          <w:szCs w:val="20"/>
          <w:color w:val="auto"/>
        </w:rPr>
      </w:pPr>
    </w:p>
    <w:p>
      <w:pPr>
        <w:ind w:right="20" w:firstLine="430"/>
        <w:spacing w:after="0" w:line="277" w:lineRule="auto"/>
        <w:tabs>
          <w:tab w:leader="none" w:pos="69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If a subcontractor in the previous tax year had gross income from all sources under $300,000, the Contractor does not need to report awards for that subcontractor.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 of 57</w:t>
      </w:r>
    </w:p>
    <w:p>
      <w:pPr>
        <w:sectPr>
          <w:pgSz w:w="11900" w:h="16838" w:orient="portrait"/>
          <w:cols w:equalWidth="0" w:num="1">
            <w:col w:w="11000"/>
          </w:cols>
          <w:pgMar w:left="460" w:top="274" w:right="439" w:bottom="1440" w:gutter="0" w:footer="0" w:header="0"/>
        </w:sectPr>
      </w:pPr>
    </w:p>
    <w:bookmarkStart w:id="532" w:name="page533"/>
    <w:bookmarkEnd w:id="532"/>
    <w:p>
      <w:pPr>
        <w:jc w:val="both"/>
        <w:ind w:right="160" w:firstLine="210"/>
        <w:spacing w:after="0" w:line="263" w:lineRule="auto"/>
        <w:tabs>
          <w:tab w:leader="none" w:pos="475" w:val="left"/>
        </w:tabs>
        <w:numPr>
          <w:ilvl w:val="0"/>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FSRS database at </w:t>
      </w:r>
      <w:r>
        <w:rPr>
          <w:rFonts w:ascii="Arial" w:cs="Arial" w:eastAsia="Arial" w:hAnsi="Arial"/>
          <w:sz w:val="18"/>
          <w:szCs w:val="18"/>
          <w:i w:val="1"/>
          <w:iCs w:val="1"/>
          <w:u w:val="single" w:color="auto"/>
          <w:color w:val="auto"/>
        </w:rPr>
        <w:t>http://www.fsrs.gov</w:t>
      </w:r>
      <w:r>
        <w:rPr>
          <w:rFonts w:ascii="Arial" w:cs="Arial" w:eastAsia="Arial" w:hAnsi="Arial"/>
          <w:sz w:val="18"/>
          <w:szCs w:val="18"/>
          <w:color w:val="auto"/>
        </w:rPr>
        <w:t xml:space="preserve"> will be prepopulated with some information from SAM and FPDS databases. If FPDS information is incorrect, the contractor should notify the contracting officer. If the SAM database information is incorrect, the contractor is responsible for correcting this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b w:val="1"/>
          <w:bCs w:val="1"/>
          <w:color w:val="auto"/>
        </w:rPr>
        <w:t>C.3 52.203-99 PROHIBITION ON CONTRACTING WITH ENTITIES THAT REQUIRE CERTAIN INTERNAL CONFIDENTIALITY AGREEMENTS (DEVIATION) (FEB 2015)</w:t>
      </w:r>
    </w:p>
    <w:p>
      <w:pPr>
        <w:spacing w:after="0" w:line="59" w:lineRule="exact"/>
        <w:rPr>
          <w:sz w:val="20"/>
          <w:szCs w:val="20"/>
          <w:color w:val="auto"/>
        </w:rPr>
      </w:pPr>
    </w:p>
    <w:p>
      <w:pPr>
        <w:jc w:val="both"/>
        <w:ind w:right="80" w:firstLine="210"/>
        <w:spacing w:after="0" w:line="311" w:lineRule="auto"/>
        <w:tabs>
          <w:tab w:leader="none" w:pos="46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Contractor shall not require employees or contractors seeking to report fraud, waste, or abuse to sign or comply with internal confidentiality agreements or statements prohibiting or otherwise restricting such employees or subcontractors from lawfully reporting such waste, fraud, or abuse to a designated investigative or law enforcement representative of a Federal department or agency authorized to receive such information.</w:t>
      </w:r>
    </w:p>
    <w:p>
      <w:pPr>
        <w:spacing w:after="0" w:line="148" w:lineRule="exact"/>
        <w:rPr>
          <w:rFonts w:ascii="Arial" w:cs="Arial" w:eastAsia="Arial" w:hAnsi="Arial"/>
          <w:sz w:val="16"/>
          <w:szCs w:val="16"/>
          <w:color w:val="auto"/>
        </w:rPr>
      </w:pPr>
    </w:p>
    <w:p>
      <w:pPr>
        <w:ind w:right="180" w:firstLine="210"/>
        <w:spacing w:after="0" w:line="277" w:lineRule="auto"/>
        <w:tabs>
          <w:tab w:leader="none" w:pos="47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contractor shall notify employees that the prohibitions and restrictions of any internal confidentiality agreements covered by this clause are no longer in effect.</w:t>
      </w:r>
    </w:p>
    <w:p>
      <w:pPr>
        <w:spacing w:after="0" w:line="169" w:lineRule="exact"/>
        <w:rPr>
          <w:rFonts w:ascii="Arial" w:cs="Arial" w:eastAsia="Arial" w:hAnsi="Arial"/>
          <w:sz w:val="18"/>
          <w:szCs w:val="18"/>
          <w:color w:val="auto"/>
        </w:rPr>
      </w:pPr>
    </w:p>
    <w:p>
      <w:pPr>
        <w:ind w:right="100" w:firstLine="210"/>
        <w:spacing w:after="0" w:line="277" w:lineRule="auto"/>
        <w:tabs>
          <w:tab w:leader="none" w:pos="46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prohibition in paragraph (a) of this clause does not contravene requirements applicable to Standard Form 312, Form 4414, or any other form issued by a Federal department or agency governing the nondisclosure of classified information.</w:t>
      </w:r>
    </w:p>
    <w:p>
      <w:pPr>
        <w:spacing w:after="0" w:line="170" w:lineRule="exact"/>
        <w:rPr>
          <w:sz w:val="20"/>
          <w:szCs w:val="20"/>
          <w:color w:val="auto"/>
        </w:rPr>
      </w:pPr>
    </w:p>
    <w:p>
      <w:pPr>
        <w:ind w:firstLine="220"/>
        <w:spacing w:after="0" w:line="263" w:lineRule="auto"/>
        <w:rPr>
          <w:sz w:val="20"/>
          <w:szCs w:val="20"/>
          <w:color w:val="auto"/>
        </w:rPr>
      </w:pPr>
      <w:r>
        <w:rPr>
          <w:rFonts w:ascii="Arial" w:cs="Arial" w:eastAsia="Arial" w:hAnsi="Arial"/>
          <w:sz w:val="18"/>
          <w:szCs w:val="18"/>
          <w:color w:val="auto"/>
        </w:rPr>
        <w:t>(d)(1) In accordance with section 743 of Division E, Title VII, of the Consolidated and Further Continuing Resolution Appropriations Act, 2015 (Pub. L. 113-235), use of funds appropriated (or otherwise made available) under that or any other Act may be prohibited, if the Government determines that the Contractor is not in compliance with the provisions of this clause.</w:t>
      </w:r>
    </w:p>
    <w:p>
      <w:pPr>
        <w:spacing w:after="0" w:line="183" w:lineRule="exact"/>
        <w:rPr>
          <w:sz w:val="20"/>
          <w:szCs w:val="20"/>
          <w:color w:val="auto"/>
        </w:rPr>
      </w:pPr>
    </w:p>
    <w:p>
      <w:pPr>
        <w:ind w:left="4920" w:right="1140" w:hanging="4490"/>
        <w:spacing w:after="0" w:line="498" w:lineRule="auto"/>
        <w:tabs>
          <w:tab w:leader="none" w:pos="6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Government may seek any available remedies in the event the contractor fails to comply with the provisions of this clause. (End of Clause)</w:t>
      </w:r>
    </w:p>
    <w:p>
      <w:pPr>
        <w:spacing w:after="0"/>
        <w:rPr>
          <w:sz w:val="20"/>
          <w:szCs w:val="20"/>
          <w:color w:val="auto"/>
        </w:rPr>
      </w:pPr>
      <w:r>
        <w:rPr>
          <w:rFonts w:ascii="Arial" w:cs="Arial" w:eastAsia="Arial" w:hAnsi="Arial"/>
          <w:sz w:val="18"/>
          <w:szCs w:val="18"/>
          <w:b w:val="1"/>
          <w:bCs w:val="1"/>
          <w:color w:val="auto"/>
        </w:rPr>
        <w:t>C.4 52.216-18 ORDERING (OCT 1995)</w:t>
      </w:r>
    </w:p>
    <w:p>
      <w:pPr>
        <w:spacing w:after="0" w:line="121" w:lineRule="exact"/>
        <w:rPr>
          <w:sz w:val="20"/>
          <w:szCs w:val="20"/>
          <w:color w:val="auto"/>
        </w:rPr>
      </w:pPr>
    </w:p>
    <w:p>
      <w:pPr>
        <w:ind w:right="180" w:firstLine="210"/>
        <w:spacing w:after="0" w:line="341" w:lineRule="auto"/>
        <w:tabs>
          <w:tab w:leader="none" w:pos="46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supplies and services to be furnished under this contract shall be ordered by issuance of delivery orders or task orders by the individuals or activities designated in the Schedule. Such orders may be issued from the effective date of the contract through the end of the effective period.</w:t>
      </w:r>
    </w:p>
    <w:p>
      <w:pPr>
        <w:spacing w:after="0" w:line="124" w:lineRule="exact"/>
        <w:rPr>
          <w:rFonts w:ascii="Arial" w:cs="Arial" w:eastAsia="Arial" w:hAnsi="Arial"/>
          <w:sz w:val="16"/>
          <w:szCs w:val="16"/>
          <w:color w:val="auto"/>
        </w:rPr>
      </w:pPr>
    </w:p>
    <w:p>
      <w:pPr>
        <w:ind w:right="100" w:firstLine="210"/>
        <w:spacing w:after="0" w:line="277" w:lineRule="auto"/>
        <w:tabs>
          <w:tab w:leader="none" w:pos="47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All delivery orders or task orders are subject to the terms and conditions of this contract. In the event of conflict between a delivery order or task order and this contract, the contract shall control.</w:t>
      </w:r>
    </w:p>
    <w:p>
      <w:pPr>
        <w:spacing w:after="0" w:line="169" w:lineRule="exact"/>
        <w:rPr>
          <w:rFonts w:ascii="Arial" w:cs="Arial" w:eastAsia="Arial" w:hAnsi="Arial"/>
          <w:sz w:val="18"/>
          <w:szCs w:val="18"/>
          <w:color w:val="auto"/>
        </w:rPr>
      </w:pPr>
    </w:p>
    <w:p>
      <w:pPr>
        <w:ind w:right="100" w:firstLine="210"/>
        <w:spacing w:after="0" w:line="277" w:lineRule="auto"/>
        <w:tabs>
          <w:tab w:leader="none" w:pos="46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mailed, a delivery order or task order is considered “issued” when the Government deposits the order in the mail. Orders may be issued orally, by facsimile, or by electronic commerce methods only if authorized in the Schedule.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 of 57</w:t>
      </w:r>
    </w:p>
    <w:p>
      <w:pPr>
        <w:sectPr>
          <w:pgSz w:w="11900" w:h="16838" w:orient="portrait"/>
          <w:cols w:equalWidth="0" w:num="1">
            <w:col w:w="10960"/>
          </w:cols>
          <w:pgMar w:left="460" w:top="274" w:right="479" w:bottom="1440" w:gutter="0" w:footer="0" w:header="0"/>
        </w:sectPr>
      </w:pPr>
    </w:p>
    <w:bookmarkStart w:id="533" w:name="page534"/>
    <w:bookmarkEnd w:id="533"/>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C.5 52.216-19 ORDER LIMITATIONS (OCT 1995)</w:t>
      </w:r>
    </w:p>
    <w:p>
      <w:pPr>
        <w:spacing w:after="0" w:line="121" w:lineRule="exact"/>
        <w:rPr>
          <w:sz w:val="20"/>
          <w:szCs w:val="20"/>
          <w:color w:val="auto"/>
        </w:rPr>
      </w:pPr>
    </w:p>
    <w:p>
      <w:pPr>
        <w:ind w:left="10" w:right="160" w:firstLine="210"/>
        <w:spacing w:after="0" w:line="277" w:lineRule="auto"/>
        <w:tabs>
          <w:tab w:leader="none" w:pos="474" w:val="left"/>
        </w:tabs>
        <w:numPr>
          <w:ilvl w:val="1"/>
          <w:numId w:val="475"/>
        </w:numPr>
        <w:rPr>
          <w:rFonts w:ascii="Arial" w:cs="Arial" w:eastAsia="Arial" w:hAnsi="Arial"/>
          <w:sz w:val="18"/>
          <w:szCs w:val="18"/>
          <w:color w:val="auto"/>
        </w:rPr>
      </w:pPr>
      <w:r>
        <w:rPr>
          <w:rFonts w:ascii="Arial" w:cs="Arial" w:eastAsia="Arial" w:hAnsi="Arial"/>
          <w:sz w:val="18"/>
          <w:szCs w:val="18"/>
          <w:i w:val="1"/>
          <w:iCs w:val="1"/>
          <w:color w:val="auto"/>
        </w:rPr>
        <w:t>Minimum order</w:t>
      </w:r>
      <w:r>
        <w:rPr>
          <w:rFonts w:ascii="Arial" w:cs="Arial" w:eastAsia="Arial" w:hAnsi="Arial"/>
          <w:sz w:val="18"/>
          <w:szCs w:val="18"/>
          <w:color w:val="auto"/>
        </w:rPr>
        <w:t>. When the Government requires supplies or services covered by this contract in an amount of less than 0, the Government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obligated to purchase, nor is the Contractor obligated to furnish, those supplies or services under the contract.</w:t>
      </w:r>
    </w:p>
    <w:p>
      <w:pPr>
        <w:spacing w:after="0" w:line="169" w:lineRule="exact"/>
        <w:rPr>
          <w:rFonts w:ascii="Arial" w:cs="Arial" w:eastAsia="Arial" w:hAnsi="Arial"/>
          <w:sz w:val="18"/>
          <w:szCs w:val="18"/>
          <w:color w:val="auto"/>
        </w:rPr>
      </w:pPr>
    </w:p>
    <w:p>
      <w:pPr>
        <w:ind w:left="470" w:hanging="250"/>
        <w:spacing w:after="0"/>
        <w:tabs>
          <w:tab w:leader="none" w:pos="470" w:val="left"/>
        </w:tabs>
        <w:numPr>
          <w:ilvl w:val="1"/>
          <w:numId w:val="475"/>
        </w:numPr>
        <w:rPr>
          <w:rFonts w:ascii="Arial" w:cs="Arial" w:eastAsia="Arial" w:hAnsi="Arial"/>
          <w:sz w:val="18"/>
          <w:szCs w:val="18"/>
          <w:color w:val="auto"/>
        </w:rPr>
      </w:pPr>
      <w:r>
        <w:rPr>
          <w:rFonts w:ascii="Arial" w:cs="Arial" w:eastAsia="Arial" w:hAnsi="Arial"/>
          <w:sz w:val="18"/>
          <w:szCs w:val="18"/>
          <w:i w:val="1"/>
          <w:iCs w:val="1"/>
          <w:color w:val="auto"/>
        </w:rPr>
        <w:t>Maximum order</w:t>
      </w:r>
      <w:r>
        <w:rPr>
          <w:rFonts w:ascii="Arial" w:cs="Arial" w:eastAsia="Arial" w:hAnsi="Arial"/>
          <w:sz w:val="18"/>
          <w:szCs w:val="18"/>
          <w:color w:val="auto"/>
        </w:rPr>
        <w:t>. The Contractor is not obligated to honor—</w:t>
      </w:r>
    </w:p>
    <w:p>
      <w:pPr>
        <w:spacing w:after="0" w:line="224" w:lineRule="exact"/>
        <w:rPr>
          <w:rFonts w:ascii="Arial" w:cs="Arial" w:eastAsia="Arial" w:hAnsi="Arial"/>
          <w:sz w:val="18"/>
          <w:szCs w:val="18"/>
          <w:color w:val="auto"/>
        </w:rPr>
      </w:pPr>
    </w:p>
    <w:p>
      <w:pPr>
        <w:ind w:left="690" w:hanging="250"/>
        <w:spacing w:after="0"/>
        <w:tabs>
          <w:tab w:leader="none" w:pos="69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Any order for a single item in excess of 500 Whole Genome, and 1000 Exome samples per month;</w:t>
      </w:r>
    </w:p>
    <w:p>
      <w:pPr>
        <w:spacing w:after="0" w:line="224" w:lineRule="exact"/>
        <w:rPr>
          <w:rFonts w:ascii="Arial" w:cs="Arial" w:eastAsia="Arial" w:hAnsi="Arial"/>
          <w:sz w:val="18"/>
          <w:szCs w:val="18"/>
          <w:color w:val="auto"/>
        </w:rPr>
      </w:pPr>
    </w:p>
    <w:p>
      <w:pPr>
        <w:ind w:left="690" w:hanging="250"/>
        <w:spacing w:after="0"/>
        <w:tabs>
          <w:tab w:leader="none" w:pos="69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Any order for a combination of items in excess of 500 Whole Genome, and 1000 Exome samples per month; or</w:t>
      </w:r>
    </w:p>
    <w:p>
      <w:pPr>
        <w:spacing w:after="0" w:line="224" w:lineRule="exact"/>
        <w:rPr>
          <w:rFonts w:ascii="Arial" w:cs="Arial" w:eastAsia="Arial" w:hAnsi="Arial"/>
          <w:sz w:val="18"/>
          <w:szCs w:val="18"/>
          <w:color w:val="auto"/>
        </w:rPr>
      </w:pPr>
    </w:p>
    <w:p>
      <w:pPr>
        <w:ind w:left="690" w:hanging="250"/>
        <w:spacing w:after="0"/>
        <w:tabs>
          <w:tab w:leader="none" w:pos="690" w:val="left"/>
        </w:tabs>
        <w:numPr>
          <w:ilvl w:val="2"/>
          <w:numId w:val="475"/>
        </w:numPr>
        <w:rPr>
          <w:rFonts w:ascii="Arial" w:cs="Arial" w:eastAsia="Arial" w:hAnsi="Arial"/>
          <w:sz w:val="16"/>
          <w:szCs w:val="16"/>
          <w:color w:val="auto"/>
        </w:rPr>
      </w:pPr>
      <w:r>
        <w:rPr>
          <w:rFonts w:ascii="Arial" w:cs="Arial" w:eastAsia="Arial" w:hAnsi="Arial"/>
          <w:sz w:val="16"/>
          <w:szCs w:val="16"/>
          <w:color w:val="auto"/>
        </w:rPr>
        <w:t>A series of orders from the same ordering office within 30 days days that together call for quantities exceeding the limitation in paragraph (b)</w:t>
      </w:r>
    </w:p>
    <w:p>
      <w:pPr>
        <w:spacing w:after="0" w:line="46" w:lineRule="exact"/>
        <w:rPr>
          <w:rFonts w:ascii="Arial" w:cs="Arial" w:eastAsia="Arial" w:hAnsi="Arial"/>
          <w:sz w:val="16"/>
          <w:szCs w:val="16"/>
          <w:color w:val="auto"/>
        </w:rPr>
      </w:pPr>
    </w:p>
    <w:p>
      <w:pPr>
        <w:ind w:left="250" w:hanging="250"/>
        <w:spacing w:after="0"/>
        <w:tabs>
          <w:tab w:leader="none" w:pos="25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or (2) of this section.</w:t>
      </w:r>
    </w:p>
    <w:p>
      <w:pPr>
        <w:spacing w:after="0" w:line="210" w:lineRule="exact"/>
        <w:rPr>
          <w:rFonts w:ascii="Arial" w:cs="Arial" w:eastAsia="Arial" w:hAnsi="Arial"/>
          <w:sz w:val="18"/>
          <w:szCs w:val="18"/>
          <w:color w:val="auto"/>
        </w:rPr>
      </w:pPr>
    </w:p>
    <w:p>
      <w:pPr>
        <w:ind w:left="10" w:firstLine="210"/>
        <w:spacing w:after="0" w:line="263" w:lineRule="auto"/>
        <w:tabs>
          <w:tab w:leader="none" w:pos="47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182" w:lineRule="exact"/>
        <w:rPr>
          <w:rFonts w:ascii="Arial" w:cs="Arial" w:eastAsia="Arial" w:hAnsi="Arial"/>
          <w:sz w:val="18"/>
          <w:szCs w:val="18"/>
          <w:color w:val="auto"/>
        </w:rPr>
      </w:pPr>
    </w:p>
    <w:p>
      <w:pPr>
        <w:ind w:left="10" w:right="240" w:firstLine="210"/>
        <w:spacing w:after="0" w:line="259" w:lineRule="auto"/>
        <w:tabs>
          <w:tab w:leader="none" w:pos="48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Notwithstanding paragraphs (b) and (c) of this section, the Contractor shall honor any order exceeding the maximum order limitations in paragraph (b), unless that order (or orders) is returned to the ordering office within 5 days after issuance, with written notice stating the Contractor’s intent not to ship the item (or items) called for and the reasons. Upon receiving this notice, the Government may acquire the supplies or services from another source.</w:t>
      </w:r>
    </w:p>
    <w:p>
      <w:pPr>
        <w:spacing w:after="0" w:line="18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C.6 52.216-21 REQUIREMENTS (OCT 1995)</w:t>
      </w:r>
    </w:p>
    <w:p>
      <w:pPr>
        <w:spacing w:after="0" w:line="121" w:lineRule="exact"/>
        <w:rPr>
          <w:sz w:val="20"/>
          <w:szCs w:val="20"/>
          <w:color w:val="auto"/>
        </w:rPr>
      </w:pPr>
    </w:p>
    <w:p>
      <w:pPr>
        <w:ind w:left="10" w:firstLine="210"/>
        <w:spacing w:after="0" w:line="259" w:lineRule="auto"/>
        <w:tabs>
          <w:tab w:leader="none" w:pos="47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This is a requirements contract for the supplies or services specified, and effective for the period stated, in the Schedule. The quantities of supplies or services specified in the Schedule are estimates only and are not purchased by this contract. Except as this contract may otherwise provide, if the Government’s requirements do not result in orders in the quantities described as “estimated” or “maximum” in the Schedule, that fact shall not constitute the basis for an equitable price adjustment.</w:t>
      </w:r>
    </w:p>
    <w:p>
      <w:pPr>
        <w:spacing w:after="0" w:line="185" w:lineRule="exact"/>
        <w:rPr>
          <w:rFonts w:ascii="Arial" w:cs="Arial" w:eastAsia="Arial" w:hAnsi="Arial"/>
          <w:sz w:val="18"/>
          <w:szCs w:val="18"/>
          <w:color w:val="auto"/>
        </w:rPr>
      </w:pPr>
    </w:p>
    <w:p>
      <w:pPr>
        <w:ind w:left="10" w:right="160" w:firstLine="210"/>
        <w:spacing w:after="0" w:line="259" w:lineRule="auto"/>
        <w:tabs>
          <w:tab w:leader="none" w:pos="4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Delivery or performance shall be made only as authorized by orders issued in accordance with the Ordering clause. Subject to any limitations in the Order Limitations clause or elsewhere in this contract, the Contractor shall furnish to the Government all supplies or services specified in the Schedule and called for by orders issued in accordance with the Ordering clause. The Government may issue orders requiring delivery to multiple destinations or performance at multiple locations.</w:t>
      </w:r>
    </w:p>
    <w:p>
      <w:pPr>
        <w:spacing w:after="0" w:line="185" w:lineRule="exact"/>
        <w:rPr>
          <w:rFonts w:ascii="Arial" w:cs="Arial" w:eastAsia="Arial" w:hAnsi="Arial"/>
          <w:sz w:val="18"/>
          <w:szCs w:val="18"/>
          <w:color w:val="auto"/>
        </w:rPr>
      </w:pPr>
    </w:p>
    <w:p>
      <w:pPr>
        <w:ind w:left="10" w:right="180" w:firstLine="210"/>
        <w:spacing w:after="0" w:line="277" w:lineRule="auto"/>
        <w:tabs>
          <w:tab w:leader="none" w:pos="47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Except as this contract otherwise provides, the Government shall order from the Contractor all the supplies or services specified in the Schedule that are required to be purchased by the Government activity or activities specified in the Schedule.</w:t>
      </w:r>
    </w:p>
    <w:p>
      <w:pPr>
        <w:spacing w:after="0" w:line="169" w:lineRule="exact"/>
        <w:rPr>
          <w:rFonts w:ascii="Arial" w:cs="Arial" w:eastAsia="Arial" w:hAnsi="Arial"/>
          <w:sz w:val="18"/>
          <w:szCs w:val="18"/>
          <w:color w:val="auto"/>
        </w:rPr>
      </w:pPr>
    </w:p>
    <w:p>
      <w:pPr>
        <w:ind w:left="470" w:hanging="250"/>
        <w:spacing w:after="0"/>
        <w:tabs>
          <w:tab w:leader="none" w:pos="47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The Government is not required to purchase from the Contractor requirements in excess of any limit on total orders under this contract.</w:t>
      </w:r>
    </w:p>
    <w:p>
      <w:pPr>
        <w:spacing w:after="0" w:line="16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39 of 57</w:t>
      </w:r>
    </w:p>
    <w:p>
      <w:pPr>
        <w:sectPr>
          <w:pgSz w:w="11900" w:h="16838" w:orient="portrait"/>
          <w:cols w:equalWidth="0" w:num="1">
            <w:col w:w="10990"/>
          </w:cols>
          <w:pgMar w:left="450" w:top="270" w:right="459" w:bottom="1440" w:gutter="0" w:footer="0" w:header="0"/>
        </w:sectPr>
      </w:pPr>
    </w:p>
    <w:bookmarkStart w:id="534" w:name="page535"/>
    <w:bookmarkEnd w:id="534"/>
    <w:p>
      <w:pPr>
        <w:ind w:firstLine="210"/>
        <w:spacing w:after="0" w:line="263" w:lineRule="auto"/>
        <w:tabs>
          <w:tab w:leader="none" w:pos="465"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Government urgently requires delivery of any quantity of an item before the earliest date that delivery may be specified under this contract, and if the Contractor will not accept an order providing for the accelerated delivery, the Government may acquire the urgently required goods or services from another source.</w:t>
      </w:r>
    </w:p>
    <w:p>
      <w:pPr>
        <w:spacing w:after="0" w:line="182" w:lineRule="exact"/>
        <w:rPr>
          <w:rFonts w:ascii="Arial" w:cs="Arial" w:eastAsia="Arial" w:hAnsi="Arial"/>
          <w:sz w:val="18"/>
          <w:szCs w:val="18"/>
          <w:color w:val="auto"/>
        </w:rPr>
      </w:pPr>
    </w:p>
    <w:p>
      <w:pPr>
        <w:ind w:right="80" w:firstLine="210"/>
        <w:spacing w:after="0" w:line="259" w:lineRule="auto"/>
        <w:tabs>
          <w:tab w:leader="none" w:pos="44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C.7 52.217-9 OPTION TO EXTEND THE TERM OF THE CONTRACT (MAR 2000)</w:t>
      </w:r>
    </w:p>
    <w:p>
      <w:pPr>
        <w:spacing w:after="0" w:line="121" w:lineRule="exact"/>
        <w:rPr>
          <w:sz w:val="20"/>
          <w:szCs w:val="20"/>
          <w:color w:val="auto"/>
        </w:rPr>
      </w:pPr>
    </w:p>
    <w:p>
      <w:pPr>
        <w:jc w:val="both"/>
        <w:ind w:right="120" w:firstLine="210"/>
        <w:spacing w:after="0" w:line="263" w:lineRule="auto"/>
        <w:tabs>
          <w:tab w:leader="none" w:pos="46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Government may extend the term of this contract by written notice to the Contractor within 10 days of contract expiration; provided that the Government gives the Contractor a preliminary written notice of its intent to extend at least 15 days before the contract expires. The preliminary notice does not commit the Government to an extension.</w:t>
      </w:r>
    </w:p>
    <w:p>
      <w:pPr>
        <w:spacing w:after="0" w:line="182" w:lineRule="exact"/>
        <w:rPr>
          <w:rFonts w:ascii="Arial" w:cs="Arial" w:eastAsia="Arial" w:hAnsi="Arial"/>
          <w:sz w:val="18"/>
          <w:szCs w:val="18"/>
          <w:color w:val="auto"/>
        </w:rPr>
      </w:pPr>
    </w:p>
    <w:p>
      <w:pPr>
        <w:ind w:left="460" w:hanging="250"/>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the Government exercises this option, the extended contract shall be considered to include this option clause.</w:t>
      </w:r>
    </w:p>
    <w:p>
      <w:pPr>
        <w:spacing w:after="0" w:line="224" w:lineRule="exact"/>
        <w:rPr>
          <w:rFonts w:ascii="Arial" w:cs="Arial" w:eastAsia="Arial" w:hAnsi="Arial"/>
          <w:sz w:val="18"/>
          <w:szCs w:val="18"/>
          <w:color w:val="auto"/>
        </w:rPr>
      </w:pPr>
    </w:p>
    <w:p>
      <w:pPr>
        <w:ind w:left="460" w:hanging="250"/>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total duration of this contract, including the exercise of any options under this clause, shall not exceed five (5)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C.8 52.232-19 AVAILABILITY OF FUNDS FOR THE NEXT FISCAL YEAR (APR 1984)</w:t>
      </w:r>
    </w:p>
    <w:p>
      <w:pPr>
        <w:spacing w:after="0" w:line="121"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Funds are not presently available for performance under this contract beyond September 30th, 2014. The Government’s obligation for performance of this contract beyond that date is contingent upon the availability of appropriated funds from which payment for contract purposes can be made. No legal liability on the part of the Government for any payment may arise for performance under this contract beyond September 30th, 2014, until funds are made available to the Contracting Officer for performance and until the Contractor receives notice of availability, to be confirmed in writing by the Contracting Officer.</w:t>
      </w:r>
    </w:p>
    <w:p>
      <w:pPr>
        <w:spacing w:after="0" w:line="19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C.9 VAAR 852.203-70 COMMERCIAL ADVERTISING (JAN 2008)</w:t>
      </w:r>
    </w:p>
    <w:p>
      <w:pPr>
        <w:spacing w:after="0" w:line="121" w:lineRule="exact"/>
        <w:rPr>
          <w:sz w:val="20"/>
          <w:szCs w:val="20"/>
          <w:color w:val="auto"/>
        </w:rPr>
      </w:pPr>
    </w:p>
    <w:p>
      <w:pPr>
        <w:ind w:right="100" w:firstLine="220"/>
        <w:spacing w:after="0" w:line="263" w:lineRule="auto"/>
        <w:rPr>
          <w:sz w:val="20"/>
          <w:szCs w:val="20"/>
          <w:color w:val="auto"/>
        </w:rPr>
      </w:pPr>
      <w:r>
        <w:rPr>
          <w:rFonts w:ascii="Arial" w:cs="Arial" w:eastAsia="Arial" w:hAnsi="Arial"/>
          <w:sz w:val="18"/>
          <w:szCs w:val="18"/>
          <w:color w:val="auto"/>
        </w:rPr>
        <w:t>The bidder or offeror agrees that if a contract is awarded to him/her, as a result of this solicitation, he/she will not advertise the award of the contract in his/her commercial advertising in such a manner as to state or imply that the Department of Veterans Affairs endorses a product, project or commercial line of endeavor.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57</w:t>
      </w:r>
    </w:p>
    <w:p>
      <w:pPr>
        <w:sectPr>
          <w:pgSz w:w="11900" w:h="16838" w:orient="portrait"/>
          <w:cols w:equalWidth="0" w:num="1">
            <w:col w:w="10980"/>
          </w:cols>
          <w:pgMar w:left="460" w:top="273" w:right="45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C.10 VAAR 852.203-71 DISPLAY OF DEPARTMENT OF VETERAN AFFAIRS HOTLINE POSTER (DEC 1992)</w:t>
      </w:r>
    </w:p>
    <w:p>
      <w:pPr>
        <w:spacing w:after="0" w:line="121" w:lineRule="exact"/>
        <w:rPr>
          <w:sz w:val="20"/>
          <w:szCs w:val="20"/>
          <w:color w:val="auto"/>
        </w:rPr>
      </w:pPr>
    </w:p>
    <w:p>
      <w:pPr>
        <w:ind w:right="60" w:firstLine="210"/>
        <w:spacing w:after="0" w:line="307" w:lineRule="auto"/>
        <w:tabs>
          <w:tab w:leader="none" w:pos="465" w:val="left"/>
        </w:tabs>
        <w:numPr>
          <w:ilvl w:val="0"/>
          <w:numId w:val="480"/>
        </w:numPr>
        <w:rPr>
          <w:rFonts w:ascii="Arial" w:cs="Arial" w:eastAsia="Arial" w:hAnsi="Arial"/>
          <w:sz w:val="17"/>
          <w:szCs w:val="17"/>
          <w:color w:val="auto"/>
        </w:rPr>
      </w:pPr>
      <w:r>
        <w:rPr>
          <w:rFonts w:ascii="Arial" w:cs="Arial" w:eastAsia="Arial" w:hAnsi="Arial"/>
          <w:sz w:val="17"/>
          <w:szCs w:val="17"/>
          <w:color w:val="auto"/>
        </w:rPr>
        <w:t>Except as provided in paragraph (c) below, the Contractor shall display prominently, in common work areas within business segments performing work under VA contracts, Department of Veterans Affairs Hotline posters prepared by the VA Office of Inspector General.</w:t>
      </w:r>
    </w:p>
    <w:p>
      <w:pPr>
        <w:spacing w:after="0" w:line="147" w:lineRule="exact"/>
        <w:rPr>
          <w:rFonts w:ascii="Arial" w:cs="Arial" w:eastAsia="Arial" w:hAnsi="Arial"/>
          <w:sz w:val="17"/>
          <w:szCs w:val="17"/>
          <w:color w:val="auto"/>
        </w:rPr>
      </w:pPr>
    </w:p>
    <w:p>
      <w:pPr>
        <w:ind w:right="260" w:firstLine="210"/>
        <w:spacing w:after="0" w:line="277" w:lineRule="auto"/>
        <w:tabs>
          <w:tab w:leader="none" w:pos="47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Department of Veterans Affairs Hotline posters may be obtained from the VA Office of Inspector General (53E), P.O. Box 34647, Washington, DC 20043-4647.</w:t>
      </w:r>
    </w:p>
    <w:p>
      <w:pPr>
        <w:spacing w:after="0" w:line="169" w:lineRule="exact"/>
        <w:rPr>
          <w:rFonts w:ascii="Arial" w:cs="Arial" w:eastAsia="Arial" w:hAnsi="Arial"/>
          <w:sz w:val="18"/>
          <w:szCs w:val="18"/>
          <w:color w:val="auto"/>
        </w:rPr>
      </w:pPr>
    </w:p>
    <w:p>
      <w:pPr>
        <w:ind w:right="160" w:firstLine="210"/>
        <w:spacing w:after="0" w:line="307" w:lineRule="auto"/>
        <w:tabs>
          <w:tab w:leader="none" w:pos="465"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Contractor need not comply with paragraph (a) above if the Contractor has established a mechanism, such as a hotline, by which employees may report suspected instances of improper conduct, and instructions that encourage employees to make such reports.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C.11 VAAR 852.215-71 EVALUATION FACTOR COMMITMENTS (DEC 2009)</w:t>
      </w:r>
    </w:p>
    <w:p>
      <w:pPr>
        <w:spacing w:after="0" w:line="121" w:lineRule="exact"/>
        <w:rPr>
          <w:sz w:val="20"/>
          <w:szCs w:val="20"/>
          <w:color w:val="auto"/>
        </w:rPr>
      </w:pPr>
    </w:p>
    <w:p>
      <w:pPr>
        <w:jc w:val="both"/>
        <w:ind w:firstLine="220"/>
        <w:spacing w:after="0" w:line="311" w:lineRule="auto"/>
        <w:rPr>
          <w:sz w:val="20"/>
          <w:szCs w:val="20"/>
          <w:color w:val="auto"/>
        </w:rPr>
      </w:pPr>
      <w:r>
        <w:rPr>
          <w:rFonts w:ascii="Arial" w:cs="Arial" w:eastAsia="Arial" w:hAnsi="Arial"/>
          <w:sz w:val="16"/>
          <w:szCs w:val="16"/>
          <w:color w:val="auto"/>
        </w:rPr>
        <w:t>The offeror agrees, if awarded a contract, to use the service-disabled veteran-owned small businesses or veteran-owned small businesses proposed as subcontractors in accordance with 852.215-70, Service-Disabled Veteran-Owned and Veteran-Owned Small Business Evaluation Factors, or to substitute one or more service-disabled veteran-owned small businesses or veteran-owned small businesses for subcontract work of the same or similar value.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C.12 VAAR 852.232-72 ELECTRONIC SUBMISSION OF PAYMENT REQUESTS (NOV 2012)</w:t>
      </w:r>
    </w:p>
    <w:p>
      <w:pPr>
        <w:spacing w:after="0" w:line="121" w:lineRule="exact"/>
        <w:rPr>
          <w:sz w:val="20"/>
          <w:szCs w:val="20"/>
          <w:color w:val="auto"/>
        </w:rPr>
      </w:pPr>
    </w:p>
    <w:p>
      <w:pPr>
        <w:ind w:left="460" w:hanging="250"/>
        <w:spacing w:after="0"/>
        <w:tabs>
          <w:tab w:leader="none" w:pos="460"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in this clause—</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t xml:space="preserve">Contract financing payment </w:t>
      </w:r>
      <w:r>
        <w:rPr>
          <w:rFonts w:ascii="Arial" w:cs="Arial" w:eastAsia="Arial" w:hAnsi="Arial"/>
          <w:sz w:val="18"/>
          <w:szCs w:val="18"/>
          <w:color w:val="auto"/>
        </w:rPr>
        <w:t>has the meaning given in FAR 32.001.</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t xml:space="preserve">Designated agency office </w:t>
      </w:r>
      <w:r>
        <w:rPr>
          <w:rFonts w:ascii="Arial" w:cs="Arial" w:eastAsia="Arial" w:hAnsi="Arial"/>
          <w:sz w:val="18"/>
          <w:szCs w:val="18"/>
          <w:color w:val="auto"/>
        </w:rPr>
        <w:t>has the meaning given in 5 CFR 1315.2(m).</w:t>
      </w:r>
    </w:p>
    <w:p>
      <w:pPr>
        <w:spacing w:after="0" w:line="224" w:lineRule="exact"/>
        <w:rPr>
          <w:rFonts w:ascii="Arial" w:cs="Arial" w:eastAsia="Arial" w:hAnsi="Arial"/>
          <w:sz w:val="18"/>
          <w:szCs w:val="18"/>
          <w:color w:val="auto"/>
        </w:rPr>
      </w:pPr>
    </w:p>
    <w:p>
      <w:pPr>
        <w:ind w:right="320" w:firstLine="430"/>
        <w:spacing w:after="0" w:line="263" w:lineRule="auto"/>
        <w:tabs>
          <w:tab w:leader="none" w:pos="695"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t xml:space="preserve">Electronic form </w:t>
      </w:r>
      <w:r>
        <w:rPr>
          <w:rFonts w:ascii="Arial" w:cs="Arial" w:eastAsia="Arial" w:hAnsi="Arial"/>
          <w:sz w:val="18"/>
          <w:szCs w:val="18"/>
          <w:color w:val="auto"/>
        </w:rPr>
        <w:t>means an automated system transmitting information electronically according to the Accepted electronic data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and formats identified in paragraph (c) of this clause. Facsimile, email, and scanned documents are not acceptable electronic forms for submission of payment requests.</w:t>
      </w:r>
    </w:p>
    <w:p>
      <w:pPr>
        <w:spacing w:after="0" w:line="182" w:lineRule="exact"/>
        <w:rPr>
          <w:rFonts w:ascii="Arial" w:cs="Arial" w:eastAsia="Arial" w:hAnsi="Arial"/>
          <w:sz w:val="18"/>
          <w:szCs w:val="18"/>
          <w:color w:val="auto"/>
        </w:rPr>
      </w:pPr>
    </w:p>
    <w:p>
      <w:pPr>
        <w:ind w:left="680" w:hanging="250"/>
        <w:spacing w:after="0"/>
        <w:tabs>
          <w:tab w:leader="none" w:pos="680"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t xml:space="preserve">Invoice payment </w:t>
      </w:r>
      <w:r>
        <w:rPr>
          <w:rFonts w:ascii="Arial" w:cs="Arial" w:eastAsia="Arial" w:hAnsi="Arial"/>
          <w:sz w:val="18"/>
          <w:szCs w:val="18"/>
          <w:color w:val="auto"/>
        </w:rPr>
        <w:t>has the meaning given in FAR 32.001.</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1"/>
        </w:numPr>
        <w:rPr>
          <w:rFonts w:ascii="Arial" w:cs="Arial" w:eastAsia="Arial" w:hAnsi="Arial"/>
          <w:sz w:val="17"/>
          <w:szCs w:val="17"/>
          <w:color w:val="auto"/>
        </w:rPr>
      </w:pPr>
      <w:r>
        <w:rPr>
          <w:rFonts w:ascii="Arial" w:cs="Arial" w:eastAsia="Arial" w:hAnsi="Arial"/>
          <w:sz w:val="17"/>
          <w:szCs w:val="17"/>
          <w:i w:val="1"/>
          <w:iCs w:val="1"/>
          <w:color w:val="auto"/>
        </w:rPr>
        <w:t xml:space="preserve">Payment request </w:t>
      </w:r>
      <w:r>
        <w:rPr>
          <w:rFonts w:ascii="Arial" w:cs="Arial" w:eastAsia="Arial" w:hAnsi="Arial"/>
          <w:sz w:val="17"/>
          <w:szCs w:val="17"/>
          <w:color w:val="auto"/>
        </w:rPr>
        <w:t>means any request for contract financing payment or invoice payment submitted by the contractor under this contract.</w:t>
      </w:r>
    </w:p>
    <w:p>
      <w:pPr>
        <w:spacing w:after="0" w:line="236" w:lineRule="exact"/>
        <w:rPr>
          <w:rFonts w:ascii="Arial" w:cs="Arial" w:eastAsia="Arial" w:hAnsi="Arial"/>
          <w:sz w:val="17"/>
          <w:szCs w:val="17"/>
          <w:color w:val="auto"/>
        </w:rPr>
      </w:pPr>
    </w:p>
    <w:p>
      <w:pPr>
        <w:ind w:right="60" w:firstLine="210"/>
        <w:spacing w:after="0" w:line="263" w:lineRule="auto"/>
        <w:tabs>
          <w:tab w:leader="none" w:pos="475"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Electronic payment requests</w:t>
      </w:r>
      <w:r>
        <w:rPr>
          <w:rFonts w:ascii="Arial" w:cs="Arial" w:eastAsia="Arial" w:hAnsi="Arial"/>
          <w:sz w:val="18"/>
          <w:szCs w:val="18"/>
          <w:color w:val="auto"/>
        </w:rPr>
        <w:t>. Except as provided in paragraph (e) of this clause, the contractor shall submit payment requests in electronic form.</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paid with a Government-wide commercial purchase card are considered to be an electronic transaction for purposes of this rule, and therefore no additional electronic invoice submission is required.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 of 57</w:t>
      </w:r>
    </w:p>
    <w:p>
      <w:pPr>
        <w:sectPr>
          <w:pgSz w:w="11900" w:h="16838" w:orient="portrait"/>
          <w:cols w:equalWidth="0" w:num="1">
            <w:col w:w="11000"/>
          </w:cols>
          <w:pgMar w:left="460" w:top="270" w:right="439" w:bottom="1440" w:gutter="0" w:footer="0" w:header="0"/>
        </w:sectPr>
      </w:pPr>
    </w:p>
    <w:bookmarkStart w:id="536" w:name="page537"/>
    <w:bookmarkEnd w:id="536"/>
    <w:p>
      <w:pPr>
        <w:ind w:left="460" w:hanging="250"/>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transmission</w:t>
      </w:r>
      <w:r>
        <w:rPr>
          <w:rFonts w:ascii="Arial" w:cs="Arial" w:eastAsia="Arial" w:hAnsi="Arial"/>
          <w:sz w:val="18"/>
          <w:szCs w:val="18"/>
          <w:color w:val="auto"/>
        </w:rPr>
        <w:t>. A contractor must ensure that the data transmission method and format are through one of the following:</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 xml:space="preserve">VA’s Electronic Invoice Presentment and Payment System. (See Web site at </w:t>
      </w:r>
      <w:r>
        <w:rPr>
          <w:rFonts w:ascii="Arial" w:cs="Arial" w:eastAsia="Arial" w:hAnsi="Arial"/>
          <w:sz w:val="18"/>
          <w:szCs w:val="18"/>
          <w:i w:val="1"/>
          <w:iCs w:val="1"/>
          <w:color w:val="auto"/>
        </w:rPr>
        <w:t>http://www.fsc.va.gov/einvoice.asp</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right="300" w:firstLine="430"/>
        <w:spacing w:after="0" w:line="263" w:lineRule="auto"/>
        <w:tabs>
          <w:tab w:leader="none" w:pos="695"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Any system that conforms to the X12 electronic data interchange (EDI) formats established by the Accredited Standards Center (ASC) and chartered by the American National Standards Institute (ANSI). The X12 EDI Web site (</w:t>
      </w:r>
      <w:r>
        <w:rPr>
          <w:rFonts w:ascii="Arial" w:cs="Arial" w:eastAsia="Arial" w:hAnsi="Arial"/>
          <w:sz w:val="18"/>
          <w:szCs w:val="18"/>
          <w:i w:val="1"/>
          <w:iCs w:val="1"/>
          <w:color w:val="auto"/>
        </w:rPr>
        <w:t>http://www.x12.org</w:t>
      </w:r>
      <w:r>
        <w:rPr>
          <w:rFonts w:ascii="Arial" w:cs="Arial" w:eastAsia="Arial" w:hAnsi="Arial"/>
          <w:sz w:val="18"/>
          <w:szCs w:val="18"/>
          <w:color w:val="auto"/>
        </w:rPr>
        <w:t>) includes additional information on EDI 810 and 811 formats.</w:t>
      </w:r>
    </w:p>
    <w:p>
      <w:pPr>
        <w:spacing w:after="0" w:line="182" w:lineRule="exact"/>
        <w:rPr>
          <w:rFonts w:ascii="Arial" w:cs="Arial" w:eastAsia="Arial" w:hAnsi="Arial"/>
          <w:sz w:val="18"/>
          <w:szCs w:val="18"/>
          <w:color w:val="auto"/>
        </w:rPr>
      </w:pPr>
    </w:p>
    <w:p>
      <w:pPr>
        <w:ind w:left="460" w:hanging="250"/>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i w:val="1"/>
          <w:iCs w:val="1"/>
          <w:color w:val="auto"/>
        </w:rPr>
        <w:t>Invoice requirements</w:t>
      </w:r>
      <w:r>
        <w:rPr>
          <w:rFonts w:ascii="Arial" w:cs="Arial" w:eastAsia="Arial" w:hAnsi="Arial"/>
          <w:sz w:val="18"/>
          <w:szCs w:val="18"/>
          <w:color w:val="auto"/>
        </w:rPr>
        <w:t>. Invoices shall comply with FAR 32.905.</w:t>
      </w:r>
    </w:p>
    <w:p>
      <w:pPr>
        <w:spacing w:after="0" w:line="224" w:lineRule="exact"/>
        <w:rPr>
          <w:rFonts w:ascii="Arial" w:cs="Arial" w:eastAsia="Arial" w:hAnsi="Arial"/>
          <w:sz w:val="18"/>
          <w:szCs w:val="18"/>
          <w:color w:val="auto"/>
        </w:rPr>
      </w:pPr>
    </w:p>
    <w:p>
      <w:pPr>
        <w:ind w:firstLine="210"/>
        <w:spacing w:after="0" w:line="263" w:lineRule="auto"/>
        <w:tabs>
          <w:tab w:leader="none" w:pos="464" w:val="left"/>
        </w:tabs>
        <w:numPr>
          <w:ilvl w:val="0"/>
          <w:numId w:val="482"/>
        </w:numPr>
        <w:rPr>
          <w:rFonts w:ascii="Arial" w:cs="Arial" w:eastAsia="Arial" w:hAnsi="Arial"/>
          <w:sz w:val="18"/>
          <w:szCs w:val="18"/>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If, based on one of the circumstances below, the contracting officer directs that payment requests be made by mail, the contractor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submit payment requests by mail through the United States Postal Service to the designated agency office. Submission of payment requests by mail may be required for:</w:t>
      </w:r>
    </w:p>
    <w:p>
      <w:pPr>
        <w:spacing w:after="0" w:line="182" w:lineRule="exact"/>
        <w:rPr>
          <w:rFonts w:ascii="Arial" w:cs="Arial" w:eastAsia="Arial" w:hAnsi="Arial"/>
          <w:sz w:val="18"/>
          <w:szCs w:val="18"/>
          <w:color w:val="auto"/>
        </w:rPr>
      </w:pPr>
    </w:p>
    <w:p>
      <w:pPr>
        <w:ind w:left="680" w:hanging="250"/>
        <w:spacing w:after="0"/>
        <w:tabs>
          <w:tab w:leader="none" w:pos="6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Awards made to foreign vendors for work performed outside the United States;</w:t>
      </w:r>
    </w:p>
    <w:p>
      <w:pPr>
        <w:spacing w:after="0" w:line="224" w:lineRule="exact"/>
        <w:rPr>
          <w:rFonts w:ascii="Arial" w:cs="Arial" w:eastAsia="Arial" w:hAnsi="Arial"/>
          <w:sz w:val="18"/>
          <w:szCs w:val="18"/>
          <w:color w:val="auto"/>
        </w:rPr>
      </w:pPr>
    </w:p>
    <w:p>
      <w:pPr>
        <w:ind w:right="460" w:firstLine="430"/>
        <w:spacing w:after="0" w:line="277" w:lineRule="auto"/>
        <w:tabs>
          <w:tab w:leader="none" w:pos="695" w:val="left"/>
        </w:tabs>
        <w:numPr>
          <w:ilvl w:val="1"/>
          <w:numId w:val="482"/>
        </w:numPr>
        <w:rPr>
          <w:rFonts w:ascii="Arial" w:cs="Arial" w:eastAsia="Arial" w:hAnsi="Arial"/>
          <w:sz w:val="18"/>
          <w:szCs w:val="18"/>
          <w:color w:val="auto"/>
        </w:rPr>
      </w:pPr>
      <w:r>
        <w:rPr>
          <w:rFonts w:ascii="Arial" w:cs="Arial" w:eastAsia="Arial" w:hAnsi="Arial"/>
          <w:sz w:val="18"/>
          <w:szCs w:val="18"/>
          <w:color w:val="auto"/>
        </w:rPr>
        <w:t>Classified contracts or purchases when electronic submission and processing of payment requests could compromise the safeguarding of classified or privacy information;</w:t>
      </w:r>
    </w:p>
    <w:p>
      <w:pPr>
        <w:spacing w:after="0" w:line="169" w:lineRule="exact"/>
        <w:rPr>
          <w:rFonts w:ascii="Arial" w:cs="Arial" w:eastAsia="Arial" w:hAnsi="Arial"/>
          <w:sz w:val="18"/>
          <w:szCs w:val="18"/>
          <w:color w:val="auto"/>
        </w:rPr>
      </w:pPr>
    </w:p>
    <w:p>
      <w:pPr>
        <w:ind w:left="680" w:hanging="250"/>
        <w:spacing w:after="0"/>
        <w:tabs>
          <w:tab w:leader="none" w:pos="6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Contracts awarded by contracting officers in the conduct of emergency operations, such as responses to national emergencies;</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2"/>
        </w:numPr>
        <w:rPr>
          <w:rFonts w:ascii="Arial" w:cs="Arial" w:eastAsia="Arial" w:hAnsi="Arial"/>
          <w:sz w:val="16"/>
          <w:szCs w:val="16"/>
          <w:color w:val="auto"/>
        </w:rPr>
      </w:pPr>
      <w:r>
        <w:rPr>
          <w:rFonts w:ascii="Arial" w:cs="Arial" w:eastAsia="Arial" w:hAnsi="Arial"/>
          <w:sz w:val="16"/>
          <w:szCs w:val="16"/>
          <w:color w:val="auto"/>
        </w:rPr>
        <w:t>Solicitations or contracts in which the designated agency office is a VA entity other than the VA Financial Services Center in Austin, Texas; or</w:t>
      </w:r>
    </w:p>
    <w:p>
      <w:pPr>
        <w:spacing w:after="0" w:line="247" w:lineRule="exact"/>
        <w:rPr>
          <w:rFonts w:ascii="Arial" w:cs="Arial" w:eastAsia="Arial" w:hAnsi="Arial"/>
          <w:sz w:val="16"/>
          <w:szCs w:val="16"/>
          <w:color w:val="auto"/>
        </w:rPr>
      </w:pPr>
    </w:p>
    <w:p>
      <w:pPr>
        <w:ind w:left="680" w:hanging="250"/>
        <w:spacing w:after="0"/>
        <w:tabs>
          <w:tab w:leader="none" w:pos="68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Solicitations or contracts in which the VA designated agency office does not have electronic invoicing capability as described above.</w:t>
      </w:r>
    </w:p>
    <w:p>
      <w:pPr>
        <w:spacing w:after="0" w:line="2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C.13 VAAR 852.237-70 CONTRACTOR RESPONSIBILITIES (APR 1984)</w:t>
      </w:r>
    </w:p>
    <w:p>
      <w:pPr>
        <w:spacing w:after="0" w:line="121" w:lineRule="exact"/>
        <w:rPr>
          <w:sz w:val="20"/>
          <w:szCs w:val="20"/>
          <w:color w:val="auto"/>
        </w:rPr>
      </w:pPr>
    </w:p>
    <w:p>
      <w:pPr>
        <w:ind w:right="20" w:firstLine="220"/>
        <w:spacing w:after="0" w:line="293" w:lineRule="auto"/>
        <w:rPr>
          <w:sz w:val="20"/>
          <w:szCs w:val="20"/>
          <w:color w:val="auto"/>
        </w:rPr>
      </w:pPr>
      <w:r>
        <w:rPr>
          <w:rFonts w:ascii="Arial" w:cs="Arial" w:eastAsia="Arial" w:hAnsi="Arial"/>
          <w:sz w:val="16"/>
          <w:szCs w:val="16"/>
          <w:color w:val="auto"/>
        </w:rPr>
        <w:t>The contractor shall obtain all necessary licenses and/or permits required to perform this work. He/she shall take all reasonable precautions necessary to protect persons and property from injury or damage during the performance of this contract. He/she shall be responsible for any injury to himself/herself, his/her employees, as well as for any damage to personal or public property that occurs during the performance of this contract that is caused by his/her employees fault or negligence, and shall maintain personal liability and property damage insurance having coverage for a limit as required by the laws of the State of TBD. Further, it is agreed that any negligence of the Government, its officers, agents, servants and employees, shall not be the responsibility of the contractor hereunder with the regard to any claims, loss, damage, injury, and liability resulting there from.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 of 57</w:t>
      </w:r>
    </w:p>
    <w:p>
      <w:pPr>
        <w:sectPr>
          <w:pgSz w:w="11900" w:h="16838" w:orient="portrait"/>
          <w:cols w:equalWidth="0" w:num="1">
            <w:col w:w="10980"/>
          </w:cols>
          <w:pgMar w:left="460" w:top="274" w:right="45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C.14 52.252-2 CLAUSES INCORPORATED BY REFERENCE (FEB 1998)</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contract incorporates one or more clauses by reference, with the same force and effect as if they were given in full text. Upon request,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Contracting Officer will make their full text available. Also, the full text of a clause may be accessed electronically at this/these address(es):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http://www.acquisition.gov/far/index.html</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http://www.va.gov/oal/library/vaar/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FAR</w:t>
            </w:r>
          </w:p>
        </w:tc>
        <w:tc>
          <w:tcPr>
            <w:tcW w:w="8740" w:type="dxa"/>
            <w:vAlign w:val="bottom"/>
            <w:gridSpan w:val="3"/>
            <w:vMerge w:val="restart"/>
          </w:tcPr>
          <w:p>
            <w:pPr>
              <w:ind w:left="4300"/>
              <w:spacing w:after="0"/>
              <w:rPr>
                <w:sz w:val="20"/>
                <w:szCs w:val="20"/>
                <w:color w:val="auto"/>
              </w:rPr>
            </w:pPr>
            <w:r>
              <w:rPr>
                <w:rFonts w:ascii="Arial" w:cs="Arial" w:eastAsia="Arial" w:hAnsi="Arial"/>
                <w:sz w:val="14"/>
                <w:szCs w:val="14"/>
                <w:b w:val="1"/>
                <w:bCs w:val="1"/>
                <w:color w:val="auto"/>
              </w:rPr>
              <w:t>Title</w:t>
            </w:r>
          </w:p>
        </w:tc>
        <w:tc>
          <w:tcPr>
            <w:tcW w:w="880" w:type="dxa"/>
            <w:vAlign w:val="bottom"/>
            <w:gridSpan w:val="3"/>
            <w:vMerge w:val="restart"/>
          </w:tcPr>
          <w:p>
            <w:pPr>
              <w:jc w:val="center"/>
              <w:ind w:left="33"/>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874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140" w:type="dxa"/>
            <w:vAlign w:val="bottom"/>
            <w:vMerge w:val="restart"/>
          </w:tcPr>
          <w:p>
            <w:pPr>
              <w:ind w:left="280"/>
              <w:spacing w:after="0"/>
              <w:rPr>
                <w:sz w:val="20"/>
                <w:szCs w:val="20"/>
                <w:color w:val="auto"/>
              </w:rPr>
            </w:pPr>
            <w:r>
              <w:rPr>
                <w:rFonts w:ascii="Arial" w:cs="Arial" w:eastAsia="Arial" w:hAnsi="Arial"/>
                <w:sz w:val="18"/>
                <w:szCs w:val="18"/>
                <w:color w:val="auto"/>
              </w:rPr>
              <w:t>PERSONNEL</w:t>
            </w: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40" w:type="dxa"/>
            <w:vAlign w:val="bottom"/>
            <w:gridSpan w:val="2"/>
          </w:tcPr>
          <w:p>
            <w:pPr>
              <w:spacing w:after="0" w:line="195" w:lineRule="exact"/>
              <w:rPr>
                <w:sz w:val="20"/>
                <w:szCs w:val="20"/>
                <w:color w:val="auto"/>
              </w:rPr>
            </w:pPr>
            <w:r>
              <w:rPr>
                <w:rFonts w:ascii="Arial" w:cs="Arial" w:eastAsia="Arial" w:hAnsi="Arial"/>
                <w:sz w:val="18"/>
                <w:szCs w:val="18"/>
                <w:color w:val="auto"/>
              </w:rPr>
              <w:t>52.204-9</w:t>
            </w:r>
          </w:p>
        </w:tc>
        <w:tc>
          <w:tcPr>
            <w:tcW w:w="4600" w:type="dxa"/>
            <w:vAlign w:val="bottom"/>
            <w:gridSpan w:val="2"/>
          </w:tcPr>
          <w:p>
            <w:pPr>
              <w:ind w:left="220"/>
              <w:spacing w:after="0" w:line="195" w:lineRule="exact"/>
              <w:rPr>
                <w:sz w:val="20"/>
                <w:szCs w:val="20"/>
                <w:color w:val="auto"/>
              </w:rPr>
            </w:pPr>
            <w:r>
              <w:rPr>
                <w:rFonts w:ascii="Arial" w:cs="Arial" w:eastAsia="Arial" w:hAnsi="Arial"/>
                <w:sz w:val="18"/>
                <w:szCs w:val="18"/>
                <w:color w:val="auto"/>
                <w:w w:val="91"/>
              </w:rPr>
              <w:t>PERSONAL IDENTITY VERIFICATION OF CONTRACTOR</w:t>
            </w:r>
          </w:p>
        </w:tc>
        <w:tc>
          <w:tcPr>
            <w:tcW w:w="4140" w:type="dxa"/>
            <w:vAlign w:val="bottom"/>
            <w:vMerge w:val="continue"/>
          </w:tcPr>
          <w:p>
            <w:pPr>
              <w:spacing w:after="0"/>
              <w:rPr>
                <w:sz w:val="16"/>
                <w:szCs w:val="16"/>
                <w:color w:val="auto"/>
              </w:rPr>
            </w:pPr>
          </w:p>
        </w:tc>
        <w:tc>
          <w:tcPr>
            <w:tcW w:w="8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1"/>
              </w:rPr>
              <w:t>JAN 2011</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52.224-1</w:t>
            </w:r>
          </w:p>
        </w:tc>
        <w:tc>
          <w:tcPr>
            <w:tcW w:w="8740" w:type="dxa"/>
            <w:vAlign w:val="bottom"/>
            <w:gridSpan w:val="3"/>
          </w:tcPr>
          <w:p>
            <w:pPr>
              <w:ind w:left="220"/>
              <w:spacing w:after="0"/>
              <w:rPr>
                <w:sz w:val="20"/>
                <w:szCs w:val="20"/>
                <w:color w:val="auto"/>
              </w:rPr>
            </w:pPr>
            <w:r>
              <w:rPr>
                <w:rFonts w:ascii="Arial" w:cs="Arial" w:eastAsia="Arial" w:hAnsi="Arial"/>
                <w:sz w:val="18"/>
                <w:szCs w:val="18"/>
                <w:color w:val="auto"/>
              </w:rPr>
              <w:t>PRIVACY ACT NOTIFICATION</w:t>
            </w:r>
          </w:p>
        </w:tc>
        <w:tc>
          <w:tcPr>
            <w:tcW w:w="880" w:type="dxa"/>
            <w:vAlign w:val="bottom"/>
            <w:gridSpan w:val="3"/>
          </w:tcPr>
          <w:p>
            <w:pPr>
              <w:jc w:val="center"/>
              <w:ind w:left="33"/>
              <w:spacing w:after="0"/>
              <w:rPr>
                <w:sz w:val="20"/>
                <w:szCs w:val="20"/>
                <w:color w:val="auto"/>
              </w:rPr>
            </w:pPr>
            <w:r>
              <w:rPr>
                <w:rFonts w:ascii="Arial" w:cs="Arial" w:eastAsia="Arial" w:hAnsi="Arial"/>
                <w:sz w:val="18"/>
                <w:szCs w:val="18"/>
                <w:color w:val="auto"/>
                <w:w w:val="92"/>
              </w:rPr>
              <w:t>APR 1984</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52.224-2</w:t>
            </w:r>
          </w:p>
        </w:tc>
        <w:tc>
          <w:tcPr>
            <w:tcW w:w="8740" w:type="dxa"/>
            <w:vAlign w:val="bottom"/>
            <w:gridSpan w:val="3"/>
          </w:tcPr>
          <w:p>
            <w:pPr>
              <w:ind w:left="220"/>
              <w:spacing w:after="0"/>
              <w:rPr>
                <w:sz w:val="20"/>
                <w:szCs w:val="20"/>
                <w:color w:val="auto"/>
              </w:rPr>
            </w:pPr>
            <w:r>
              <w:rPr>
                <w:rFonts w:ascii="Arial" w:cs="Arial" w:eastAsia="Arial" w:hAnsi="Arial"/>
                <w:sz w:val="18"/>
                <w:szCs w:val="18"/>
                <w:color w:val="auto"/>
              </w:rPr>
              <w:t>PRIVACY ACT</w:t>
            </w:r>
          </w:p>
        </w:tc>
        <w:tc>
          <w:tcPr>
            <w:tcW w:w="880" w:type="dxa"/>
            <w:vAlign w:val="bottom"/>
            <w:gridSpan w:val="3"/>
          </w:tcPr>
          <w:p>
            <w:pPr>
              <w:jc w:val="center"/>
              <w:ind w:left="33"/>
              <w:spacing w:after="0"/>
              <w:rPr>
                <w:sz w:val="20"/>
                <w:szCs w:val="20"/>
                <w:color w:val="auto"/>
              </w:rPr>
            </w:pPr>
            <w:r>
              <w:rPr>
                <w:rFonts w:ascii="Arial" w:cs="Arial" w:eastAsia="Arial" w:hAnsi="Arial"/>
                <w:sz w:val="18"/>
                <w:szCs w:val="18"/>
                <w:color w:val="auto"/>
                <w:w w:val="92"/>
              </w:rPr>
              <w:t>APR 1984</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52.203-17</w:t>
            </w:r>
          </w:p>
        </w:tc>
        <w:tc>
          <w:tcPr>
            <w:tcW w:w="8740" w:type="dxa"/>
            <w:vAlign w:val="bottom"/>
            <w:gridSpan w:val="3"/>
          </w:tcPr>
          <w:p>
            <w:pPr>
              <w:ind w:left="220"/>
              <w:spacing w:after="0"/>
              <w:rPr>
                <w:sz w:val="20"/>
                <w:szCs w:val="20"/>
                <w:color w:val="auto"/>
              </w:rPr>
            </w:pPr>
            <w:r>
              <w:rPr>
                <w:rFonts w:ascii="Arial" w:cs="Arial" w:eastAsia="Arial" w:hAnsi="Arial"/>
                <w:sz w:val="18"/>
                <w:szCs w:val="18"/>
                <w:color w:val="auto"/>
                <w:w w:val="97"/>
              </w:rPr>
              <w:t>CONTRACTOR EMPLOYEE WHISTLEBLOWER RIGHTS AND REQUIREMENT TO INFORM EMPLOYEES</w:t>
            </w:r>
          </w:p>
        </w:tc>
        <w:tc>
          <w:tcPr>
            <w:tcW w:w="880" w:type="dxa"/>
            <w:vAlign w:val="bottom"/>
            <w:gridSpan w:val="3"/>
          </w:tcPr>
          <w:p>
            <w:pPr>
              <w:jc w:val="center"/>
              <w:ind w:left="33"/>
              <w:spacing w:after="0"/>
              <w:rPr>
                <w:sz w:val="20"/>
                <w:szCs w:val="20"/>
                <w:color w:val="auto"/>
              </w:rPr>
            </w:pPr>
            <w:r>
              <w:rPr>
                <w:rFonts w:ascii="Arial" w:cs="Arial" w:eastAsia="Arial" w:hAnsi="Arial"/>
                <w:sz w:val="18"/>
                <w:szCs w:val="18"/>
                <w:color w:val="auto"/>
                <w:w w:val="92"/>
              </w:rPr>
              <w:t>APR 2014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40" w:type="dxa"/>
            <w:vAlign w:val="bottom"/>
            <w:gridSpan w:val="3"/>
          </w:tcPr>
          <w:p>
            <w:pPr>
              <w:ind w:left="220"/>
              <w:spacing w:after="0"/>
              <w:rPr>
                <w:sz w:val="20"/>
                <w:szCs w:val="20"/>
                <w:color w:val="auto"/>
              </w:rPr>
            </w:pPr>
            <w:r>
              <w:rPr>
                <w:rFonts w:ascii="Arial" w:cs="Arial" w:eastAsia="Arial" w:hAnsi="Arial"/>
                <w:sz w:val="18"/>
                <w:szCs w:val="18"/>
                <w:color w:val="auto"/>
              </w:rPr>
              <w:t>OF WHISTLEBLOWER RIGHTS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52.204-18</w:t>
            </w:r>
          </w:p>
        </w:tc>
        <w:tc>
          <w:tcPr>
            <w:tcW w:w="8740" w:type="dxa"/>
            <w:vAlign w:val="bottom"/>
            <w:gridSpan w:val="3"/>
          </w:tcPr>
          <w:p>
            <w:pPr>
              <w:ind w:left="220"/>
              <w:spacing w:after="0"/>
              <w:rPr>
                <w:sz w:val="20"/>
                <w:szCs w:val="20"/>
                <w:color w:val="auto"/>
              </w:rPr>
            </w:pPr>
            <w:r>
              <w:rPr>
                <w:rFonts w:ascii="Arial" w:cs="Arial" w:eastAsia="Arial" w:hAnsi="Arial"/>
                <w:sz w:val="18"/>
                <w:szCs w:val="18"/>
                <w:color w:val="auto"/>
              </w:rPr>
              <w:t>COMMERCIAL AND GOVERNMENT ENTITY CODE MAINTENANCE</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3"/>
              </w:rPr>
              <w:t>JUL 2016</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C.15 52.227-14 RIGHTS IN DATA—GENERAL (MAY 2014)</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clause—</w:t>
      </w:r>
    </w:p>
    <w:p>
      <w:pPr>
        <w:spacing w:after="0" w:line="225" w:lineRule="exact"/>
        <w:rPr>
          <w:sz w:val="20"/>
          <w:szCs w:val="20"/>
          <w:color w:val="auto"/>
        </w:rPr>
      </w:pPr>
    </w:p>
    <w:p>
      <w:pPr>
        <w:ind w:right="700" w:firstLine="220"/>
        <w:spacing w:after="0" w:line="277" w:lineRule="auto"/>
        <w:rPr>
          <w:sz w:val="20"/>
          <w:szCs w:val="20"/>
          <w:color w:val="auto"/>
        </w:rPr>
      </w:pPr>
      <w:r>
        <w:rPr>
          <w:rFonts w:ascii="Arial" w:cs="Arial" w:eastAsia="Arial" w:hAnsi="Arial"/>
          <w:sz w:val="18"/>
          <w:szCs w:val="18"/>
          <w:color w:val="auto"/>
        </w:rPr>
        <w:t>“Computer database” or “database” means a collection of recorded information in a form capable of, and for the purpose of, being stored in, processed, and operated on by a computer. The term does not include computer software.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“Computer software”—</w:t>
      </w:r>
    </w:p>
    <w:p>
      <w:pPr>
        <w:spacing w:after="0" w:line="117" w:lineRule="exact"/>
        <w:rPr>
          <w:sz w:val="20"/>
          <w:szCs w:val="20"/>
          <w:color w:val="auto"/>
        </w:rPr>
      </w:pPr>
    </w:p>
    <w:p>
      <w:pPr>
        <w:ind w:left="680" w:hanging="250"/>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Means</w:t>
      </w:r>
    </w:p>
    <w:p>
      <w:pPr>
        <w:spacing w:after="0" w:line="224" w:lineRule="exact"/>
        <w:rPr>
          <w:rFonts w:ascii="Arial" w:cs="Arial" w:eastAsia="Arial" w:hAnsi="Arial"/>
          <w:sz w:val="18"/>
          <w:szCs w:val="18"/>
          <w:color w:val="auto"/>
        </w:rPr>
      </w:pPr>
    </w:p>
    <w:p>
      <w:pPr>
        <w:ind w:right="380" w:firstLine="651"/>
        <w:spacing w:after="0" w:line="277" w:lineRule="auto"/>
        <w:tabs>
          <w:tab w:leader="none" w:pos="875" w:val="left"/>
        </w:tabs>
        <w:numPr>
          <w:ilvl w:val="1"/>
          <w:numId w:val="483"/>
        </w:numPr>
        <w:rPr>
          <w:rFonts w:ascii="Arial" w:cs="Arial" w:eastAsia="Arial" w:hAnsi="Arial"/>
          <w:sz w:val="18"/>
          <w:szCs w:val="18"/>
          <w:color w:val="auto"/>
        </w:rPr>
      </w:pPr>
      <w:r>
        <w:rPr>
          <w:rFonts w:ascii="Arial" w:cs="Arial" w:eastAsia="Arial" w:hAnsi="Arial"/>
          <w:sz w:val="18"/>
          <w:szCs w:val="18"/>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69" w:lineRule="exact"/>
        <w:rPr>
          <w:rFonts w:ascii="Arial" w:cs="Arial" w:eastAsia="Arial" w:hAnsi="Arial"/>
          <w:sz w:val="18"/>
          <w:szCs w:val="18"/>
          <w:color w:val="auto"/>
        </w:rPr>
      </w:pPr>
    </w:p>
    <w:p>
      <w:pPr>
        <w:ind w:firstLine="651"/>
        <w:spacing w:after="0" w:line="277" w:lineRule="auto"/>
        <w:tabs>
          <w:tab w:leader="none" w:pos="925" w:val="left"/>
        </w:tabs>
        <w:numPr>
          <w:ilvl w:val="1"/>
          <w:numId w:val="483"/>
        </w:numPr>
        <w:rPr>
          <w:rFonts w:ascii="Arial" w:cs="Arial" w:eastAsia="Arial" w:hAnsi="Arial"/>
          <w:sz w:val="18"/>
          <w:szCs w:val="18"/>
          <w:color w:val="auto"/>
        </w:rPr>
      </w:pPr>
      <w:r>
        <w:rPr>
          <w:rFonts w:ascii="Arial" w:cs="Arial" w:eastAsia="Arial" w:hAnsi="Arial"/>
          <w:sz w:val="18"/>
          <w:szCs w:val="18"/>
          <w:color w:val="auto"/>
        </w:rPr>
        <w:t>Recorded information comprising source code listings, design details, algorithms, processes, flow charts, formulas, and related material that would enable the computer program to be produced, created, or compiled.</w:t>
      </w:r>
    </w:p>
    <w:p>
      <w:pPr>
        <w:spacing w:after="0" w:line="169" w:lineRule="exact"/>
        <w:rPr>
          <w:rFonts w:ascii="Arial" w:cs="Arial" w:eastAsia="Arial" w:hAnsi="Arial"/>
          <w:sz w:val="18"/>
          <w:szCs w:val="18"/>
          <w:color w:val="auto"/>
        </w:rPr>
      </w:pPr>
    </w:p>
    <w:p>
      <w:pPr>
        <w:ind w:left="680" w:hanging="250"/>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Does not include computer databases or computer software documentation.</w:t>
      </w:r>
    </w:p>
    <w:p>
      <w:pPr>
        <w:spacing w:after="0" w:line="225" w:lineRule="exact"/>
        <w:rPr>
          <w:sz w:val="20"/>
          <w:szCs w:val="20"/>
          <w:color w:val="auto"/>
        </w:rPr>
      </w:pPr>
    </w:p>
    <w:p>
      <w:pPr>
        <w:ind w:right="460" w:firstLine="220"/>
        <w:spacing w:after="0" w:line="341" w:lineRule="auto"/>
        <w:rPr>
          <w:sz w:val="20"/>
          <w:szCs w:val="20"/>
          <w:color w:val="auto"/>
        </w:rPr>
      </w:pPr>
      <w:r>
        <w:rPr>
          <w:rFonts w:ascii="Arial" w:cs="Arial" w:eastAsia="Arial" w:hAnsi="Arial"/>
          <w:sz w:val="16"/>
          <w:szCs w:val="16"/>
          <w:color w:val="auto"/>
        </w:rPr>
        <w:t>“Computer software documentation” means owner’s manuals, user’s manuals, installation instructions, operating instructions, and other similar items, regardless of storage medium, that explain the capabilities of the computer software or provide instructions for using the software.</w:t>
      </w:r>
    </w:p>
    <w:p>
      <w:pPr>
        <w:spacing w:after="0" w:line="125" w:lineRule="exact"/>
        <w:rPr>
          <w:sz w:val="20"/>
          <w:szCs w:val="20"/>
          <w:color w:val="auto"/>
        </w:rPr>
      </w:pPr>
    </w:p>
    <w:p>
      <w:pPr>
        <w:ind w:right="120" w:firstLine="220"/>
        <w:spacing w:after="0" w:line="263" w:lineRule="auto"/>
        <w:rPr>
          <w:sz w:val="20"/>
          <w:szCs w:val="20"/>
          <w:color w:val="auto"/>
        </w:rPr>
      </w:pPr>
      <w:r>
        <w:rPr>
          <w:rFonts w:ascii="Arial" w:cs="Arial" w:eastAsia="Arial" w:hAnsi="Arial"/>
          <w:sz w:val="18"/>
          <w:szCs w:val="18"/>
          <w:color w:val="auto"/>
        </w:rPr>
        <w:t>“Data” means recorded information, regardless of form or the media on which it may be recorded. The term includes technical data and computer software. The term does not include information incidental to contract administration, such as financial, administrative, cost or pricing, or management information.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 of 57</w:t>
      </w:r>
    </w:p>
    <w:p>
      <w:pPr>
        <w:sectPr>
          <w:pgSz w:w="11900" w:h="16838" w:orient="portrait"/>
          <w:cols w:equalWidth="0" w:num="1">
            <w:col w:w="10980"/>
          </w:cols>
          <w:pgMar w:left="460" w:top="270" w:right="459" w:bottom="1440" w:gutter="0" w:footer="0" w:header="0"/>
        </w:sectPr>
      </w:pPr>
    </w:p>
    <w:bookmarkStart w:id="538" w:name="page539"/>
    <w:bookmarkEnd w:id="538"/>
    <w:p>
      <w:pPr>
        <w:ind w:right="220" w:firstLine="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fit, and function data” means data relating to items, components, or processes that are sufficient to enable physical and functional interchangeability, and data identifying source, size, configuration, mating and attachment characteristics, functional characteristics, and performance requirements. For computer software it means data identifying source, functional characteristics, and performance requirements but specifically excludes the source code, algorithms, processes, formulas, and flow charts of the software.</w:t>
      </w:r>
    </w:p>
    <w:p>
      <w:pPr>
        <w:spacing w:after="0" w:line="186" w:lineRule="exact"/>
        <w:rPr>
          <w:sz w:val="20"/>
          <w:szCs w:val="20"/>
          <w:color w:val="auto"/>
        </w:rPr>
      </w:pPr>
    </w:p>
    <w:p>
      <w:pPr>
        <w:ind w:right="40" w:firstLine="220"/>
        <w:spacing w:after="0" w:line="277" w:lineRule="auto"/>
        <w:rPr>
          <w:sz w:val="20"/>
          <w:szCs w:val="20"/>
          <w:color w:val="auto"/>
        </w:rPr>
      </w:pPr>
      <w:r>
        <w:rPr>
          <w:rFonts w:ascii="Arial" w:cs="Arial" w:eastAsia="Arial" w:hAnsi="Arial"/>
          <w:sz w:val="18"/>
          <w:szCs w:val="18"/>
          <w:color w:val="auto"/>
        </w:rPr>
        <w:t>“Limited rights” means the rights of the Government in limited rights data as set forth in the Limited Rights Notice of paragraph (g)(3) if included in this clause.</w:t>
      </w:r>
    </w:p>
    <w:p>
      <w:pPr>
        <w:spacing w:after="0" w:line="170" w:lineRule="exact"/>
        <w:rPr>
          <w:sz w:val="20"/>
          <w:szCs w:val="20"/>
          <w:color w:val="auto"/>
        </w:rPr>
      </w:pPr>
    </w:p>
    <w:p>
      <w:pPr>
        <w:jc w:val="both"/>
        <w:ind w:right="620" w:firstLine="220"/>
        <w:spacing w:after="0" w:line="341" w:lineRule="auto"/>
        <w:rPr>
          <w:sz w:val="20"/>
          <w:szCs w:val="20"/>
          <w:color w:val="auto"/>
        </w:rPr>
      </w:pPr>
      <w:r>
        <w:rPr>
          <w:rFonts w:ascii="Arial" w:cs="Arial" w:eastAsia="Arial" w:hAnsi="Arial"/>
          <w:sz w:val="16"/>
          <w:szCs w:val="16"/>
          <w:color w:val="auto"/>
        </w:rPr>
        <w:t>“Limited rights data” means data, other than computer software, that embody trade secrets or are commercial or financial and confidential or privileged, to the extent that such data pertain to items, components, or processes developed at private expense, including minor modifications.</w:t>
      </w:r>
    </w:p>
    <w:p>
      <w:pPr>
        <w:spacing w:after="0" w:line="125" w:lineRule="exact"/>
        <w:rPr>
          <w:sz w:val="20"/>
          <w:szCs w:val="20"/>
          <w:color w:val="auto"/>
        </w:rPr>
      </w:pPr>
    </w:p>
    <w:p>
      <w:pPr>
        <w:ind w:right="400" w:firstLine="220"/>
        <w:spacing w:after="0" w:line="307" w:lineRule="auto"/>
        <w:rPr>
          <w:sz w:val="20"/>
          <w:szCs w:val="20"/>
          <w:color w:val="auto"/>
        </w:rPr>
      </w:pPr>
      <w:r>
        <w:rPr>
          <w:rFonts w:ascii="Arial" w:cs="Arial" w:eastAsia="Arial" w:hAnsi="Arial"/>
          <w:sz w:val="17"/>
          <w:szCs w:val="17"/>
          <w:color w:val="auto"/>
        </w:rPr>
        <w:t>“Restricted computer software” means computer software developed at private expense and that is a trade secret, is commercial or financial and confidential or privileged, or is copyrighted computer software, including minor modifications of the computer software.</w:t>
      </w:r>
    </w:p>
    <w:p>
      <w:pPr>
        <w:spacing w:after="0" w:line="147" w:lineRule="exact"/>
        <w:rPr>
          <w:sz w:val="20"/>
          <w:szCs w:val="20"/>
          <w:color w:val="auto"/>
        </w:rPr>
      </w:pPr>
    </w:p>
    <w:p>
      <w:pPr>
        <w:ind w:right="380" w:firstLine="220"/>
        <w:spacing w:after="0" w:line="263" w:lineRule="auto"/>
        <w:rPr>
          <w:sz w:val="20"/>
          <w:szCs w:val="20"/>
          <w:color w:val="auto"/>
        </w:rPr>
      </w:pPr>
      <w:r>
        <w:rPr>
          <w:rFonts w:ascii="Arial" w:cs="Arial" w:eastAsia="Arial" w:hAnsi="Arial"/>
          <w:sz w:val="18"/>
          <w:szCs w:val="18"/>
          <w:color w:val="auto"/>
        </w:rPr>
        <w:t>“Restricted rights”, as used in this clause, means the rights of the Government in restricted computer software, as set forth in a Restricted Rights Notice of paragraph (g) if included in this clause, or as otherwise may be provided in a collateral agreement incorporated in and made part of this contract, including minor modifications of such computer software.</w:t>
      </w:r>
    </w:p>
    <w:p>
      <w:pPr>
        <w:spacing w:after="0" w:line="183"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“Technical data”, means recorded information (regardless of the form or method of the recording) of a scientific or technical nature (including computer databases and computer software documentation). This term does not include computer software or financial, administrative, cost or pricing, or management data or other information incidental to contract administration. The term includes recorded information of a scientific or technical nature that is included in computer databases. (See 41 U.S.C. 116).</w:t>
      </w:r>
    </w:p>
    <w:p>
      <w:pPr>
        <w:spacing w:after="0" w:line="186" w:lineRule="exact"/>
        <w:rPr>
          <w:sz w:val="20"/>
          <w:szCs w:val="20"/>
          <w:color w:val="auto"/>
        </w:rPr>
      </w:pPr>
    </w:p>
    <w:p>
      <w:pPr>
        <w:ind w:right="380" w:firstLine="220"/>
        <w:spacing w:after="0" w:line="277" w:lineRule="auto"/>
        <w:rPr>
          <w:sz w:val="20"/>
          <w:szCs w:val="20"/>
          <w:color w:val="auto"/>
        </w:rPr>
      </w:pPr>
      <w:r>
        <w:rPr>
          <w:rFonts w:ascii="Arial" w:cs="Arial" w:eastAsia="Arial" w:hAnsi="Arial"/>
          <w:sz w:val="18"/>
          <w:szCs w:val="18"/>
          <w:color w:val="auto"/>
        </w:rPr>
        <w:t>“Unlimited rights” means the rights of the Government to use, disclose, reproduce, prepare derivative works, distribute copies to the public, and perform publicly and display publicly, in any manner and for any purpose, and to have or permit others to do so.</w:t>
      </w:r>
    </w:p>
    <w:p>
      <w:pPr>
        <w:spacing w:after="0" w:line="170" w:lineRule="exact"/>
        <w:rPr>
          <w:sz w:val="20"/>
          <w:szCs w:val="20"/>
          <w:color w:val="auto"/>
        </w:rPr>
      </w:pPr>
    </w:p>
    <w:p>
      <w:pPr>
        <w:ind w:left="460" w:hanging="250"/>
        <w:spacing w:after="0"/>
        <w:tabs>
          <w:tab w:leader="none" w:pos="4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Allocation of rights.</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Except as provided in paragraph (c) of this clause, the Government shall have unlimited rights in—</w:t>
      </w:r>
    </w:p>
    <w:p>
      <w:pPr>
        <w:spacing w:after="0" w:line="224" w:lineRule="exact"/>
        <w:rPr>
          <w:rFonts w:ascii="Arial" w:cs="Arial" w:eastAsia="Arial" w:hAnsi="Arial"/>
          <w:sz w:val="18"/>
          <w:szCs w:val="18"/>
          <w:color w:val="auto"/>
        </w:rPr>
      </w:pPr>
    </w:p>
    <w:p>
      <w:pPr>
        <w:ind w:left="860" w:hanging="209"/>
        <w:spacing w:after="0"/>
        <w:tabs>
          <w:tab w:leader="none" w:pos="860" w:val="left"/>
        </w:tabs>
        <w:numPr>
          <w:ilvl w:val="2"/>
          <w:numId w:val="484"/>
        </w:numPr>
        <w:rPr>
          <w:rFonts w:ascii="Arial" w:cs="Arial" w:eastAsia="Arial" w:hAnsi="Arial"/>
          <w:sz w:val="18"/>
          <w:szCs w:val="18"/>
          <w:color w:val="auto"/>
        </w:rPr>
      </w:pPr>
      <w:r>
        <w:rPr>
          <w:rFonts w:ascii="Arial" w:cs="Arial" w:eastAsia="Arial" w:hAnsi="Arial"/>
          <w:sz w:val="18"/>
          <w:szCs w:val="18"/>
          <w:color w:val="auto"/>
        </w:rPr>
        <w:t>Data first produced in the performance of this contract;</w:t>
      </w:r>
    </w:p>
    <w:p>
      <w:pPr>
        <w:spacing w:after="0" w:line="224" w:lineRule="exact"/>
        <w:rPr>
          <w:rFonts w:ascii="Arial" w:cs="Arial" w:eastAsia="Arial" w:hAnsi="Arial"/>
          <w:sz w:val="18"/>
          <w:szCs w:val="18"/>
          <w:color w:val="auto"/>
        </w:rPr>
      </w:pPr>
    </w:p>
    <w:p>
      <w:pPr>
        <w:ind w:left="920" w:hanging="269"/>
        <w:spacing w:after="0"/>
        <w:tabs>
          <w:tab w:leader="none" w:pos="920" w:val="left"/>
        </w:tabs>
        <w:numPr>
          <w:ilvl w:val="2"/>
          <w:numId w:val="484"/>
        </w:numPr>
        <w:rPr>
          <w:rFonts w:ascii="Arial" w:cs="Arial" w:eastAsia="Arial" w:hAnsi="Arial"/>
          <w:sz w:val="18"/>
          <w:szCs w:val="18"/>
          <w:color w:val="auto"/>
        </w:rPr>
      </w:pPr>
      <w:r>
        <w:rPr>
          <w:rFonts w:ascii="Arial" w:cs="Arial" w:eastAsia="Arial" w:hAnsi="Arial"/>
          <w:sz w:val="18"/>
          <w:szCs w:val="18"/>
          <w:color w:val="auto"/>
        </w:rPr>
        <w:t>Form, fit, and function data delivered under this contract;</w:t>
      </w:r>
    </w:p>
    <w:p>
      <w:pPr>
        <w:spacing w:after="0" w:line="224" w:lineRule="exact"/>
        <w:rPr>
          <w:rFonts w:ascii="Arial" w:cs="Arial" w:eastAsia="Arial" w:hAnsi="Arial"/>
          <w:sz w:val="18"/>
          <w:szCs w:val="18"/>
          <w:color w:val="auto"/>
        </w:rPr>
      </w:pPr>
    </w:p>
    <w:p>
      <w:pPr>
        <w:jc w:val="both"/>
        <w:ind w:right="160" w:firstLine="651"/>
        <w:spacing w:after="0" w:line="341" w:lineRule="auto"/>
        <w:tabs>
          <w:tab w:leader="none" w:pos="975" w:val="left"/>
        </w:tabs>
        <w:numPr>
          <w:ilvl w:val="2"/>
          <w:numId w:val="484"/>
        </w:numPr>
        <w:rPr>
          <w:rFonts w:ascii="Arial" w:cs="Arial" w:eastAsia="Arial" w:hAnsi="Arial"/>
          <w:sz w:val="16"/>
          <w:szCs w:val="16"/>
          <w:color w:val="auto"/>
        </w:rPr>
      </w:pPr>
      <w:r>
        <w:rPr>
          <w:rFonts w:ascii="Arial" w:cs="Arial" w:eastAsia="Arial" w:hAnsi="Arial"/>
          <w:sz w:val="16"/>
          <w:szCs w:val="16"/>
          <w:color w:val="auto"/>
        </w:rPr>
        <w:t>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w:t>
      </w:r>
    </w:p>
    <w:p>
      <w:pPr>
        <w:spacing w:after="0" w:line="124" w:lineRule="exact"/>
        <w:rPr>
          <w:rFonts w:ascii="Arial" w:cs="Arial" w:eastAsia="Arial" w:hAnsi="Arial"/>
          <w:sz w:val="16"/>
          <w:szCs w:val="16"/>
          <w:color w:val="auto"/>
        </w:rPr>
      </w:pPr>
    </w:p>
    <w:p>
      <w:pPr>
        <w:ind w:right="60" w:firstLine="651"/>
        <w:spacing w:after="0" w:line="277" w:lineRule="auto"/>
        <w:tabs>
          <w:tab w:leader="none" w:pos="965" w:val="left"/>
        </w:tabs>
        <w:numPr>
          <w:ilvl w:val="2"/>
          <w:numId w:val="484"/>
        </w:numPr>
        <w:rPr>
          <w:rFonts w:ascii="Arial" w:cs="Arial" w:eastAsia="Arial" w:hAnsi="Arial"/>
          <w:sz w:val="18"/>
          <w:szCs w:val="18"/>
          <w:color w:val="auto"/>
        </w:rPr>
      </w:pPr>
      <w:r>
        <w:rPr>
          <w:rFonts w:ascii="Arial" w:cs="Arial" w:eastAsia="Arial" w:hAnsi="Arial"/>
          <w:sz w:val="18"/>
          <w:szCs w:val="18"/>
          <w:color w:val="auto"/>
        </w:rPr>
        <w:t>All other data delivered under this contract unless provided otherwise for limited rights data or restricted computer software in accordance with paragraph (g) of this clause.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 of 57</w:t>
      </w:r>
    </w:p>
    <w:p>
      <w:pPr>
        <w:sectPr>
          <w:pgSz w:w="11900" w:h="16838" w:orient="portrait"/>
          <w:cols w:equalWidth="0" w:num="1">
            <w:col w:w="10960"/>
          </w:cols>
          <w:pgMar w:left="460" w:top="274" w:right="479" w:bottom="1440" w:gutter="0" w:footer="0" w:header="0"/>
        </w:sectPr>
      </w:pPr>
    </w:p>
    <w:bookmarkStart w:id="539" w:name="page540"/>
    <w:bookmarkEnd w:id="539"/>
    <w:p>
      <w:pPr>
        <w:ind w:left="680" w:hanging="250"/>
        <w:spacing w:after="0"/>
        <w:tabs>
          <w:tab w:leader="none" w:pos="680" w:val="left"/>
        </w:tabs>
        <w:numPr>
          <w:ilvl w:val="1"/>
          <w:numId w:val="4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Contractor shall have the right to—</w:t>
      </w:r>
    </w:p>
    <w:p>
      <w:pPr>
        <w:spacing w:after="0" w:line="224" w:lineRule="exact"/>
        <w:rPr>
          <w:rFonts w:ascii="Arial" w:cs="Arial" w:eastAsia="Arial" w:hAnsi="Arial"/>
          <w:sz w:val="18"/>
          <w:szCs w:val="18"/>
          <w:color w:val="auto"/>
        </w:rPr>
      </w:pPr>
    </w:p>
    <w:p>
      <w:pPr>
        <w:ind w:left="860" w:hanging="209"/>
        <w:spacing w:after="0"/>
        <w:tabs>
          <w:tab w:leader="none" w:pos="860" w:val="left"/>
        </w:tabs>
        <w:numPr>
          <w:ilvl w:val="2"/>
          <w:numId w:val="485"/>
        </w:numPr>
        <w:rPr>
          <w:rFonts w:ascii="Arial" w:cs="Arial" w:eastAsia="Arial" w:hAnsi="Arial"/>
          <w:sz w:val="17"/>
          <w:szCs w:val="17"/>
          <w:color w:val="auto"/>
        </w:rPr>
      </w:pPr>
      <w:r>
        <w:rPr>
          <w:rFonts w:ascii="Arial" w:cs="Arial" w:eastAsia="Arial" w:hAnsi="Arial"/>
          <w:sz w:val="17"/>
          <w:szCs w:val="17"/>
          <w:color w:val="auto"/>
        </w:rPr>
        <w:t>Assert copyright in data first produced in the performance of this contract to the extent provided in paragraph (c)(1) of this clause;</w:t>
      </w:r>
    </w:p>
    <w:p>
      <w:pPr>
        <w:spacing w:after="0" w:line="236" w:lineRule="exact"/>
        <w:rPr>
          <w:rFonts w:ascii="Arial" w:cs="Arial" w:eastAsia="Arial" w:hAnsi="Arial"/>
          <w:sz w:val="17"/>
          <w:szCs w:val="17"/>
          <w:color w:val="auto"/>
        </w:rPr>
      </w:pPr>
    </w:p>
    <w:p>
      <w:pPr>
        <w:ind w:right="100" w:firstLine="651"/>
        <w:spacing w:after="0" w:line="277" w:lineRule="auto"/>
        <w:tabs>
          <w:tab w:leader="none" w:pos="925" w:val="left"/>
        </w:tabs>
        <w:numPr>
          <w:ilvl w:val="2"/>
          <w:numId w:val="485"/>
        </w:numPr>
        <w:rPr>
          <w:rFonts w:ascii="Arial" w:cs="Arial" w:eastAsia="Arial" w:hAnsi="Arial"/>
          <w:sz w:val="18"/>
          <w:szCs w:val="18"/>
          <w:color w:val="auto"/>
        </w:rPr>
      </w:pPr>
      <w:r>
        <w:rPr>
          <w:rFonts w:ascii="Arial" w:cs="Arial" w:eastAsia="Arial" w:hAnsi="Arial"/>
          <w:sz w:val="18"/>
          <w:szCs w:val="18"/>
          <w:color w:val="auto"/>
        </w:rPr>
        <w:t>Use, release to others, reproduce, distribute, or publish any data first produced or specifically used by the Contractor in the performance of this contract, unless provided otherwise in paragraph (d) of this clause;</w:t>
      </w:r>
    </w:p>
    <w:p>
      <w:pPr>
        <w:spacing w:after="0" w:line="169" w:lineRule="exact"/>
        <w:rPr>
          <w:rFonts w:ascii="Arial" w:cs="Arial" w:eastAsia="Arial" w:hAnsi="Arial"/>
          <w:sz w:val="18"/>
          <w:szCs w:val="18"/>
          <w:color w:val="auto"/>
        </w:rPr>
      </w:pPr>
    </w:p>
    <w:p>
      <w:pPr>
        <w:ind w:right="680" w:firstLine="651"/>
        <w:spacing w:after="0" w:line="277" w:lineRule="auto"/>
        <w:tabs>
          <w:tab w:leader="none" w:pos="975" w:val="left"/>
        </w:tabs>
        <w:numPr>
          <w:ilvl w:val="2"/>
          <w:numId w:val="485"/>
        </w:numPr>
        <w:rPr>
          <w:rFonts w:ascii="Arial" w:cs="Arial" w:eastAsia="Arial" w:hAnsi="Arial"/>
          <w:sz w:val="18"/>
          <w:szCs w:val="18"/>
          <w:color w:val="auto"/>
        </w:rPr>
      </w:pPr>
      <w:r>
        <w:rPr>
          <w:rFonts w:ascii="Arial" w:cs="Arial" w:eastAsia="Arial" w:hAnsi="Arial"/>
          <w:sz w:val="18"/>
          <w:szCs w:val="18"/>
          <w:color w:val="auto"/>
        </w:rPr>
        <w:t>Substantiate the use of, add, or correct limited rights, restricted rights, or copyright notices and to take other appropriate action, in accordance with paragraphs (e) and (f) of this clause; and</w:t>
      </w:r>
    </w:p>
    <w:p>
      <w:pPr>
        <w:spacing w:after="0" w:line="169" w:lineRule="exact"/>
        <w:rPr>
          <w:rFonts w:ascii="Arial" w:cs="Arial" w:eastAsia="Arial" w:hAnsi="Arial"/>
          <w:sz w:val="18"/>
          <w:szCs w:val="18"/>
          <w:color w:val="auto"/>
        </w:rPr>
      </w:pPr>
    </w:p>
    <w:p>
      <w:pPr>
        <w:ind w:right="160" w:firstLine="651"/>
        <w:spacing w:after="0" w:line="277" w:lineRule="auto"/>
        <w:tabs>
          <w:tab w:leader="none" w:pos="965" w:val="left"/>
        </w:tabs>
        <w:numPr>
          <w:ilvl w:val="2"/>
          <w:numId w:val="485"/>
        </w:numPr>
        <w:rPr>
          <w:rFonts w:ascii="Arial" w:cs="Arial" w:eastAsia="Arial" w:hAnsi="Arial"/>
          <w:sz w:val="18"/>
          <w:szCs w:val="18"/>
          <w:color w:val="auto"/>
        </w:rPr>
      </w:pPr>
      <w:r>
        <w:rPr>
          <w:rFonts w:ascii="Arial" w:cs="Arial" w:eastAsia="Arial" w:hAnsi="Arial"/>
          <w:sz w:val="18"/>
          <w:szCs w:val="18"/>
          <w:color w:val="auto"/>
        </w:rPr>
        <w:t>Protect from unauthorized disclosure and use those data that are limited rights data or restricted computer software to the extent provided in paragraph (g) of this clause.</w:t>
      </w:r>
    </w:p>
    <w:p>
      <w:pPr>
        <w:spacing w:after="0" w:line="169" w:lineRule="exact"/>
        <w:rPr>
          <w:rFonts w:ascii="Arial" w:cs="Arial" w:eastAsia="Arial" w:hAnsi="Arial"/>
          <w:sz w:val="18"/>
          <w:szCs w:val="18"/>
          <w:color w:val="auto"/>
        </w:rPr>
      </w:pPr>
    </w:p>
    <w:p>
      <w:pPr>
        <w:ind w:left="460" w:hanging="250"/>
        <w:spacing w:after="0"/>
        <w:tabs>
          <w:tab w:leader="none" w:pos="4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Copyright—</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Data first produced in the performance of this contract.</w:t>
      </w:r>
    </w:p>
    <w:p>
      <w:pPr>
        <w:spacing w:after="0" w:line="224" w:lineRule="exact"/>
        <w:rPr>
          <w:rFonts w:ascii="Arial" w:cs="Arial" w:eastAsia="Arial" w:hAnsi="Arial"/>
          <w:sz w:val="18"/>
          <w:szCs w:val="18"/>
          <w:color w:val="auto"/>
        </w:rPr>
      </w:pPr>
    </w:p>
    <w:p>
      <w:pPr>
        <w:ind w:right="160" w:firstLine="651"/>
        <w:spacing w:after="0" w:line="259" w:lineRule="auto"/>
        <w:tabs>
          <w:tab w:leader="none" w:pos="875" w:val="left"/>
        </w:tabs>
        <w:numPr>
          <w:ilvl w:val="2"/>
          <w:numId w:val="486"/>
        </w:numPr>
        <w:rPr>
          <w:rFonts w:ascii="Arial" w:cs="Arial" w:eastAsia="Arial" w:hAnsi="Arial"/>
          <w:sz w:val="18"/>
          <w:szCs w:val="18"/>
          <w:color w:val="auto"/>
        </w:rPr>
      </w:pPr>
      <w:r>
        <w:rPr>
          <w:rFonts w:ascii="Arial" w:cs="Arial" w:eastAsia="Arial" w:hAnsi="Arial"/>
          <w:sz w:val="18"/>
          <w:szCs w:val="18"/>
          <w:color w:val="auto"/>
        </w:rPr>
        <w:t>Unless provided otherwise in paragraph (d) of this clause, the Contractor may, without prior approval of the Contracting Officer, assert copyright in scientific and technical articles based on or containing data first produced in the performance of this contract and published in academic, technical or professional journals, symposia proceedings, or similar works. The prior, express written permission of the Contracting Officer is required to assert copyright in all other data first produced in the performance of this contract.</w:t>
      </w:r>
    </w:p>
    <w:p>
      <w:pPr>
        <w:spacing w:after="0" w:line="185" w:lineRule="exact"/>
        <w:rPr>
          <w:rFonts w:ascii="Arial" w:cs="Arial" w:eastAsia="Arial" w:hAnsi="Arial"/>
          <w:sz w:val="18"/>
          <w:szCs w:val="18"/>
          <w:color w:val="auto"/>
        </w:rPr>
      </w:pPr>
    </w:p>
    <w:p>
      <w:pPr>
        <w:ind w:right="100" w:firstLine="651"/>
        <w:spacing w:after="0" w:line="277" w:lineRule="auto"/>
        <w:tabs>
          <w:tab w:leader="none" w:pos="925" w:val="left"/>
        </w:tabs>
        <w:numPr>
          <w:ilvl w:val="2"/>
          <w:numId w:val="486"/>
        </w:numPr>
        <w:rPr>
          <w:rFonts w:ascii="Arial" w:cs="Arial" w:eastAsia="Arial" w:hAnsi="Arial"/>
          <w:sz w:val="18"/>
          <w:szCs w:val="18"/>
          <w:color w:val="auto"/>
        </w:rPr>
      </w:pPr>
      <w:r>
        <w:rPr>
          <w:rFonts w:ascii="Arial" w:cs="Arial" w:eastAsia="Arial" w:hAnsi="Arial"/>
          <w:sz w:val="18"/>
          <w:szCs w:val="18"/>
          <w:color w:val="auto"/>
        </w:rPr>
        <w:t>When authorized to assert copyright to the data, the Contractor shall affix the applicable copyright notices of 17 U.S.C. 401 or 402, and an acknowledgment of Government sponsorship (including contract number).</w:t>
      </w:r>
    </w:p>
    <w:p>
      <w:pPr>
        <w:spacing w:after="0" w:line="169" w:lineRule="exact"/>
        <w:rPr>
          <w:rFonts w:ascii="Arial" w:cs="Arial" w:eastAsia="Arial" w:hAnsi="Arial"/>
          <w:sz w:val="18"/>
          <w:szCs w:val="18"/>
          <w:color w:val="auto"/>
        </w:rPr>
      </w:pPr>
    </w:p>
    <w:p>
      <w:pPr>
        <w:ind w:right="20" w:firstLine="651"/>
        <w:spacing w:after="0" w:line="275" w:lineRule="auto"/>
        <w:tabs>
          <w:tab w:leader="none" w:pos="975" w:val="left"/>
        </w:tabs>
        <w:numPr>
          <w:ilvl w:val="2"/>
          <w:numId w:val="486"/>
        </w:numPr>
        <w:rPr>
          <w:rFonts w:ascii="Arial" w:cs="Arial" w:eastAsia="Arial" w:hAnsi="Arial"/>
          <w:sz w:val="17"/>
          <w:szCs w:val="17"/>
          <w:color w:val="auto"/>
        </w:rPr>
      </w:pPr>
      <w:r>
        <w:rPr>
          <w:rFonts w:ascii="Arial" w:cs="Arial" w:eastAsia="Arial" w:hAnsi="Arial"/>
          <w:sz w:val="17"/>
          <w:szCs w:val="17"/>
          <w:color w:val="auto"/>
        </w:rPr>
        <w:t>For data other than computer software, the Contractor grants to the Government, and others acting on its behalf, a paid- up, nonexclusive, irrevocable, worldwide license in such copyrighted data to reproduce, prepare derivative works, distribute copies to the public, and perform publicly and display publicly by or on behalf of the Government. For computer software, the Contractor grants to the Government, and others acting on its behalf, a paid- up, nonexclusive, irrevocable, worldwide license in such copyrighted computer software to reproduce, prepare derivative works, and perform publicly and display publicly (but not to distribute copies to the public) by or on behalf of the Government.</w:t>
      </w:r>
    </w:p>
    <w:p>
      <w:pPr>
        <w:spacing w:after="0" w:line="175" w:lineRule="exact"/>
        <w:rPr>
          <w:rFonts w:ascii="Arial" w:cs="Arial" w:eastAsia="Arial" w:hAnsi="Arial"/>
          <w:sz w:val="17"/>
          <w:szCs w:val="17"/>
          <w:color w:val="auto"/>
        </w:rPr>
      </w:pPr>
    </w:p>
    <w:p>
      <w:pPr>
        <w:ind w:right="180" w:firstLine="430"/>
        <w:spacing w:after="0" w:line="341" w:lineRule="auto"/>
        <w:tabs>
          <w:tab w:leader="none" w:pos="695" w:val="left"/>
        </w:tabs>
        <w:numPr>
          <w:ilvl w:val="1"/>
          <w:numId w:val="486"/>
        </w:numPr>
        <w:rPr>
          <w:rFonts w:ascii="Arial" w:cs="Arial" w:eastAsia="Arial" w:hAnsi="Arial"/>
          <w:sz w:val="16"/>
          <w:szCs w:val="16"/>
          <w:color w:val="auto"/>
        </w:rPr>
      </w:pPr>
      <w:r>
        <w:rPr>
          <w:rFonts w:ascii="Arial" w:cs="Arial" w:eastAsia="Arial" w:hAnsi="Arial"/>
          <w:sz w:val="16"/>
          <w:szCs w:val="16"/>
          <w:i w:val="1"/>
          <w:iCs w:val="1"/>
          <w:color w:val="auto"/>
        </w:rPr>
        <w:t>Data not first produced in the performance of this contract</w:t>
      </w:r>
      <w:r>
        <w:rPr>
          <w:rFonts w:ascii="Arial" w:cs="Arial" w:eastAsia="Arial" w:hAnsi="Arial"/>
          <w:sz w:val="16"/>
          <w:szCs w:val="16"/>
          <w:color w:val="auto"/>
        </w:rPr>
        <w:t>. The Contractor shall not, without the prior written permission of the Contracting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incorporate in data delivered under this contract any data not first produced in the performance of this contract unless the Contractor—</w:t>
      </w:r>
    </w:p>
    <w:p>
      <w:pPr>
        <w:spacing w:after="0" w:line="124" w:lineRule="exact"/>
        <w:rPr>
          <w:rFonts w:ascii="Arial" w:cs="Arial" w:eastAsia="Arial" w:hAnsi="Arial"/>
          <w:sz w:val="16"/>
          <w:szCs w:val="16"/>
          <w:color w:val="auto"/>
        </w:rPr>
      </w:pPr>
    </w:p>
    <w:p>
      <w:pPr>
        <w:ind w:left="860" w:hanging="209"/>
        <w:spacing w:after="0"/>
        <w:tabs>
          <w:tab w:leader="none" w:pos="860" w:val="left"/>
        </w:tabs>
        <w:numPr>
          <w:ilvl w:val="2"/>
          <w:numId w:val="486"/>
        </w:numPr>
        <w:rPr>
          <w:rFonts w:ascii="Arial" w:cs="Arial" w:eastAsia="Arial" w:hAnsi="Arial"/>
          <w:sz w:val="18"/>
          <w:szCs w:val="18"/>
          <w:color w:val="auto"/>
        </w:rPr>
      </w:pPr>
      <w:r>
        <w:rPr>
          <w:rFonts w:ascii="Arial" w:cs="Arial" w:eastAsia="Arial" w:hAnsi="Arial"/>
          <w:sz w:val="18"/>
          <w:szCs w:val="18"/>
          <w:color w:val="auto"/>
        </w:rPr>
        <w:t>Identifies the data; and</w:t>
      </w:r>
    </w:p>
    <w:p>
      <w:pPr>
        <w:spacing w:after="0" w:line="224" w:lineRule="exact"/>
        <w:rPr>
          <w:rFonts w:ascii="Arial" w:cs="Arial" w:eastAsia="Arial" w:hAnsi="Arial"/>
          <w:sz w:val="18"/>
          <w:szCs w:val="18"/>
          <w:color w:val="auto"/>
        </w:rPr>
      </w:pPr>
    </w:p>
    <w:p>
      <w:pPr>
        <w:ind w:firstLine="651"/>
        <w:spacing w:after="0" w:line="263" w:lineRule="auto"/>
        <w:tabs>
          <w:tab w:leader="none" w:pos="925" w:val="left"/>
        </w:tabs>
        <w:numPr>
          <w:ilvl w:val="2"/>
          <w:numId w:val="486"/>
        </w:numPr>
        <w:rPr>
          <w:rFonts w:ascii="Arial" w:cs="Arial" w:eastAsia="Arial" w:hAnsi="Arial"/>
          <w:sz w:val="18"/>
          <w:szCs w:val="18"/>
          <w:color w:val="auto"/>
        </w:rPr>
      </w:pPr>
      <w:r>
        <w:rPr>
          <w:rFonts w:ascii="Arial" w:cs="Arial" w:eastAsia="Arial" w:hAnsi="Arial"/>
          <w:sz w:val="18"/>
          <w:szCs w:val="18"/>
          <w:color w:val="auto"/>
        </w:rPr>
        <w:t>Grants to the Government, or acquires on its behalf, a license of the same scope as set forth in paragraph (c)(1) of this clause or, if such data are restricted computer software, the Government shall acquire a copyright license as set forth in paragraph (g)(4) of this clause (if included in this contract) or as otherwise provided in a collateral agreement incorporated in or made part of this contract.</w:t>
      </w:r>
    </w:p>
    <w:p>
      <w:pPr>
        <w:spacing w:after="0" w:line="182" w:lineRule="exact"/>
        <w:rPr>
          <w:rFonts w:ascii="Arial" w:cs="Arial" w:eastAsia="Arial" w:hAnsi="Arial"/>
          <w:sz w:val="18"/>
          <w:szCs w:val="18"/>
          <w:color w:val="auto"/>
        </w:rPr>
      </w:pPr>
    </w:p>
    <w:p>
      <w:pPr>
        <w:ind w:right="20" w:firstLine="430"/>
        <w:spacing w:after="0" w:line="277" w:lineRule="auto"/>
        <w:tabs>
          <w:tab w:leader="none" w:pos="695" w:val="left"/>
        </w:tabs>
        <w:numPr>
          <w:ilvl w:val="1"/>
          <w:numId w:val="486"/>
        </w:numPr>
        <w:rPr>
          <w:rFonts w:ascii="Arial" w:cs="Arial" w:eastAsia="Arial" w:hAnsi="Arial"/>
          <w:sz w:val="18"/>
          <w:szCs w:val="18"/>
          <w:color w:val="auto"/>
        </w:rPr>
      </w:pPr>
      <w:r>
        <w:rPr>
          <w:rFonts w:ascii="Arial" w:cs="Arial" w:eastAsia="Arial" w:hAnsi="Arial"/>
          <w:sz w:val="18"/>
          <w:szCs w:val="18"/>
          <w:i w:val="1"/>
          <w:iCs w:val="1"/>
          <w:color w:val="auto"/>
        </w:rPr>
        <w:t>Removal of copyright notices</w:t>
      </w:r>
      <w:r>
        <w:rPr>
          <w:rFonts w:ascii="Arial" w:cs="Arial" w:eastAsia="Arial" w:hAnsi="Arial"/>
          <w:sz w:val="18"/>
          <w:szCs w:val="18"/>
          <w:color w:val="auto"/>
        </w:rPr>
        <w:t>. The Government will not remove any authorized copyright notices placed on data pursuant to this paragraph (c),</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include such notices on all reproductions of the data.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 of 57</w:t>
      </w:r>
    </w:p>
    <w:p>
      <w:pPr>
        <w:sectPr>
          <w:pgSz w:w="11900" w:h="16838" w:orient="portrait"/>
          <w:cols w:equalWidth="0" w:num="1">
            <w:col w:w="10980"/>
          </w:cols>
          <w:pgMar w:left="460" w:top="273" w:right="459" w:bottom="1440" w:gutter="0" w:footer="0" w:header="0"/>
        </w:sectPr>
      </w:pPr>
    </w:p>
    <w:bookmarkStart w:id="540" w:name="page541"/>
    <w:bookmarkEnd w:id="540"/>
    <w:p>
      <w:pPr>
        <w:ind w:left="-20" w:right="120" w:firstLine="210"/>
        <w:spacing w:after="0" w:line="277" w:lineRule="auto"/>
        <w:tabs>
          <w:tab w:leader="none" w:pos="455"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publication, and use of data</w:t>
      </w:r>
      <w:r>
        <w:rPr>
          <w:rFonts w:ascii="Arial" w:cs="Arial" w:eastAsia="Arial" w:hAnsi="Arial"/>
          <w:sz w:val="18"/>
          <w:szCs w:val="18"/>
          <w:color w:val="auto"/>
        </w:rPr>
        <w:t>. The Contractor shall have the right to use, release to others, reproduce, distribute, or publish any data first</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or specifically used by the Contractor in the performance of this contract, except—</w:t>
      </w:r>
    </w:p>
    <w:p>
      <w:pPr>
        <w:spacing w:after="0" w:line="169" w:lineRule="exact"/>
        <w:rPr>
          <w:rFonts w:ascii="Arial" w:cs="Arial" w:eastAsia="Arial" w:hAnsi="Arial"/>
          <w:sz w:val="18"/>
          <w:szCs w:val="18"/>
          <w:color w:val="auto"/>
        </w:rPr>
      </w:pPr>
    </w:p>
    <w:p>
      <w:pPr>
        <w:ind w:left="660" w:hanging="250"/>
        <w:spacing w:after="0"/>
        <w:tabs>
          <w:tab w:leader="none" w:pos="66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As prohibited by Federal law or regulation (e.g., export control or national security laws or regulations);</w:t>
      </w:r>
    </w:p>
    <w:p>
      <w:pPr>
        <w:spacing w:after="0" w:line="224" w:lineRule="exact"/>
        <w:rPr>
          <w:rFonts w:ascii="Arial" w:cs="Arial" w:eastAsia="Arial" w:hAnsi="Arial"/>
          <w:sz w:val="18"/>
          <w:szCs w:val="18"/>
          <w:color w:val="auto"/>
        </w:rPr>
      </w:pPr>
    </w:p>
    <w:p>
      <w:pPr>
        <w:ind w:left="660" w:hanging="250"/>
        <w:spacing w:after="0"/>
        <w:tabs>
          <w:tab w:leader="none" w:pos="66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As expressly set forth in this contract; or</w:t>
      </w:r>
    </w:p>
    <w:p>
      <w:pPr>
        <w:spacing w:after="0" w:line="224" w:lineRule="exact"/>
        <w:rPr>
          <w:rFonts w:ascii="Arial" w:cs="Arial" w:eastAsia="Arial" w:hAnsi="Arial"/>
          <w:sz w:val="18"/>
          <w:szCs w:val="18"/>
          <w:color w:val="auto"/>
        </w:rPr>
      </w:pPr>
    </w:p>
    <w:p>
      <w:pPr>
        <w:ind w:left="-20" w:right="600" w:firstLine="430"/>
        <w:spacing w:after="0" w:line="341" w:lineRule="auto"/>
        <w:tabs>
          <w:tab w:leader="none" w:pos="675" w:val="left"/>
        </w:tabs>
        <w:numPr>
          <w:ilvl w:val="1"/>
          <w:numId w:val="487"/>
        </w:numPr>
        <w:rPr>
          <w:rFonts w:ascii="Arial" w:cs="Arial" w:eastAsia="Arial" w:hAnsi="Arial"/>
          <w:sz w:val="16"/>
          <w:szCs w:val="16"/>
          <w:color w:val="auto"/>
        </w:rPr>
      </w:pPr>
      <w:r>
        <w:rPr>
          <w:rFonts w:ascii="Arial" w:cs="Arial" w:eastAsia="Arial" w:hAnsi="Arial"/>
          <w:sz w:val="16"/>
          <w:szCs w:val="16"/>
          <w:color w:val="auto"/>
        </w:rPr>
        <w:t>If the Contractor receives or is given access to data necessary for the performance of this contract that contain restrictive markings, the Contractor shall treat the data in accordance with such markings unless specifically authorized otherwise in writing by the Contracting Officer.</w:t>
      </w:r>
    </w:p>
    <w:p>
      <w:pPr>
        <w:spacing w:after="0" w:line="124" w:lineRule="exact"/>
        <w:rPr>
          <w:rFonts w:ascii="Arial" w:cs="Arial" w:eastAsia="Arial" w:hAnsi="Arial"/>
          <w:sz w:val="16"/>
          <w:szCs w:val="16"/>
          <w:color w:val="auto"/>
        </w:rPr>
      </w:pPr>
    </w:p>
    <w:p>
      <w:pPr>
        <w:ind w:left="440" w:hanging="250"/>
        <w:spacing w:after="0"/>
        <w:tabs>
          <w:tab w:leader="none" w:pos="4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Unauthorized marking of data.</w:t>
      </w:r>
    </w:p>
    <w:p>
      <w:pPr>
        <w:spacing w:after="0" w:line="224" w:lineRule="exact"/>
        <w:rPr>
          <w:rFonts w:ascii="Arial" w:cs="Arial" w:eastAsia="Arial" w:hAnsi="Arial"/>
          <w:sz w:val="18"/>
          <w:szCs w:val="18"/>
          <w:color w:val="auto"/>
        </w:rPr>
      </w:pPr>
    </w:p>
    <w:p>
      <w:pPr>
        <w:ind w:left="-20" w:firstLine="430"/>
        <w:spacing w:after="0" w:line="256" w:lineRule="auto"/>
        <w:tabs>
          <w:tab w:leader="none" w:pos="675" w:val="left"/>
        </w:tabs>
        <w:numPr>
          <w:ilvl w:val="1"/>
          <w:numId w:val="487"/>
        </w:numPr>
        <w:rPr>
          <w:rFonts w:ascii="Arial" w:cs="Arial" w:eastAsia="Arial" w:hAnsi="Arial"/>
          <w:sz w:val="18"/>
          <w:szCs w:val="18"/>
          <w:color w:val="auto"/>
        </w:rPr>
      </w:pPr>
      <w:r>
        <w:rPr>
          <w:rFonts w:ascii="Arial" w:cs="Arial" w:eastAsia="Arial" w:hAnsi="Arial"/>
          <w:sz w:val="18"/>
          <w:szCs w:val="18"/>
          <w:color w:val="auto"/>
        </w:rPr>
        <w:t>Notwithstanding any other provisions of this contract concerning inspection or acceptance, if any data delivered under this contract are marked with the notices specified in paragraph (g)(3) or (g) (4) if included in this clause, and use of the notices is not authorized by this clause, or if the data bears any other restrictive or limiting markings not authorized by this contract, the Contracting Officer may at any time either return the data to the Contractor, or cancel or ignore the markings. However, pursuant to 41 U.S.C. 4703, the following procedures shall apply prior to canceling or ignoring the markings.</w:t>
      </w:r>
    </w:p>
    <w:p>
      <w:pPr>
        <w:spacing w:after="0" w:line="191" w:lineRule="exact"/>
        <w:rPr>
          <w:rFonts w:ascii="Arial" w:cs="Arial" w:eastAsia="Arial" w:hAnsi="Arial"/>
          <w:sz w:val="18"/>
          <w:szCs w:val="18"/>
          <w:color w:val="auto"/>
        </w:rPr>
      </w:pPr>
    </w:p>
    <w:p>
      <w:pPr>
        <w:ind w:left="-20" w:right="100" w:firstLine="651"/>
        <w:spacing w:after="0" w:line="277" w:lineRule="auto"/>
        <w:tabs>
          <w:tab w:leader="none" w:pos="855" w:val="left"/>
        </w:tabs>
        <w:numPr>
          <w:ilvl w:val="2"/>
          <w:numId w:val="487"/>
        </w:numPr>
        <w:rPr>
          <w:rFonts w:ascii="Arial" w:cs="Arial" w:eastAsia="Arial" w:hAnsi="Arial"/>
          <w:sz w:val="18"/>
          <w:szCs w:val="18"/>
          <w:color w:val="auto"/>
        </w:rPr>
      </w:pPr>
      <w:r>
        <w:rPr>
          <w:rFonts w:ascii="Arial" w:cs="Arial" w:eastAsia="Arial" w:hAnsi="Arial"/>
          <w:sz w:val="18"/>
          <w:szCs w:val="18"/>
          <w:color w:val="auto"/>
        </w:rPr>
        <w:t>The Contracting Officer will make written inquiry to the Contractor affording the Contractor 60 days from receipt of the inquiry to provide written justification to substantiate the propriety of the markings;</w:t>
      </w:r>
    </w:p>
    <w:p>
      <w:pPr>
        <w:spacing w:after="0" w:line="169" w:lineRule="exact"/>
        <w:rPr>
          <w:rFonts w:ascii="Arial" w:cs="Arial" w:eastAsia="Arial" w:hAnsi="Arial"/>
          <w:sz w:val="18"/>
          <w:szCs w:val="18"/>
          <w:color w:val="auto"/>
        </w:rPr>
      </w:pPr>
    </w:p>
    <w:p>
      <w:pPr>
        <w:ind w:left="-20" w:right="120" w:firstLine="651"/>
        <w:spacing w:after="0" w:line="286" w:lineRule="auto"/>
        <w:tabs>
          <w:tab w:leader="none" w:pos="905" w:val="left"/>
        </w:tabs>
        <w:numPr>
          <w:ilvl w:val="2"/>
          <w:numId w:val="487"/>
        </w:numPr>
        <w:rPr>
          <w:rFonts w:ascii="Arial" w:cs="Arial" w:eastAsia="Arial" w:hAnsi="Arial"/>
          <w:sz w:val="17"/>
          <w:szCs w:val="17"/>
          <w:color w:val="auto"/>
        </w:rPr>
      </w:pPr>
      <w:r>
        <w:rPr>
          <w:rFonts w:ascii="Arial" w:cs="Arial" w:eastAsia="Arial" w:hAnsi="Arial"/>
          <w:sz w:val="17"/>
          <w:szCs w:val="17"/>
          <w:color w:val="auto"/>
        </w:rPr>
        <w:t>If the Contractor fails to respond or fails to provide written justification to substantiate the propriety of the markings within the 60-day period (or a longer time approved in writing by the Contracting Officer for good cause shown), the Government shall have the right to cancel or ignore the markings at any time after said period and the data will no longer be made subject to any disclosure prohibitions.</w:t>
      </w:r>
    </w:p>
    <w:p>
      <w:pPr>
        <w:spacing w:after="0" w:line="164" w:lineRule="exact"/>
        <w:rPr>
          <w:rFonts w:ascii="Arial" w:cs="Arial" w:eastAsia="Arial" w:hAnsi="Arial"/>
          <w:sz w:val="17"/>
          <w:szCs w:val="17"/>
          <w:color w:val="auto"/>
        </w:rPr>
      </w:pPr>
    </w:p>
    <w:p>
      <w:pPr>
        <w:ind w:left="-20" w:right="40" w:firstLine="651"/>
        <w:spacing w:after="0" w:line="289" w:lineRule="auto"/>
        <w:tabs>
          <w:tab w:leader="none" w:pos="955" w:val="left"/>
        </w:tabs>
        <w:numPr>
          <w:ilvl w:val="2"/>
          <w:numId w:val="487"/>
        </w:numPr>
        <w:rPr>
          <w:rFonts w:ascii="Arial" w:cs="Arial" w:eastAsia="Arial" w:hAnsi="Arial"/>
          <w:sz w:val="16"/>
          <w:szCs w:val="16"/>
          <w:color w:val="auto"/>
        </w:rPr>
      </w:pPr>
      <w:r>
        <w:rPr>
          <w:rFonts w:ascii="Arial" w:cs="Arial" w:eastAsia="Arial" w:hAnsi="Arial"/>
          <w:sz w:val="16"/>
          <w:szCs w:val="16"/>
          <w:color w:val="auto"/>
        </w:rPr>
        <w:t>If the Contractor provides written justification to substantiate the propriety of the markings within the period set in paragraph (e)(1)(i) of this clause, the Contracting Officer will consider such written justification and determine whether or not the markings are to be cancelled or ignored. If the Contracting Officer determines that the markings are authorized, the Contractor will be so notified in writing. If the Contracting Officer determines, with concurrence of the head of the contracting activity, that the markings are not authorized, the Contracting Officer will furnish the Contractor a written determination, which determination will become the final agency decision regarding the appropriateness of the markings unless the Contractor files suit in a court of competent jurisdiction within 90 days of receipt of the Contracting Officer’s decision. The Government will continue to abide by the markings under this paragraph (e)(1)(iii) until final resolution of the matter either by the Contracting Officer’s determination becoming final (in which instance the Government will thereafter have the right to cancel or ignore the markings at any time and the data will no longer be made subject to any disclosure prohibitions), or by final disposition of the matter by court decision if suit is filed.</w:t>
      </w:r>
    </w:p>
    <w:p>
      <w:pPr>
        <w:spacing w:after="0" w:line="164" w:lineRule="exact"/>
        <w:rPr>
          <w:rFonts w:ascii="Arial" w:cs="Arial" w:eastAsia="Arial" w:hAnsi="Arial"/>
          <w:sz w:val="16"/>
          <w:szCs w:val="16"/>
          <w:color w:val="auto"/>
        </w:rPr>
      </w:pPr>
    </w:p>
    <w:p>
      <w:pPr>
        <w:ind w:left="-20" w:right="800" w:firstLine="430"/>
        <w:spacing w:after="0" w:line="307" w:lineRule="auto"/>
        <w:tabs>
          <w:tab w:leader="none" w:pos="675" w:val="left"/>
        </w:tabs>
        <w:numPr>
          <w:ilvl w:val="1"/>
          <w:numId w:val="487"/>
        </w:numPr>
        <w:rPr>
          <w:rFonts w:ascii="Arial" w:cs="Arial" w:eastAsia="Arial" w:hAnsi="Arial"/>
          <w:sz w:val="17"/>
          <w:szCs w:val="17"/>
          <w:color w:val="auto"/>
        </w:rPr>
      </w:pPr>
      <w:r>
        <w:rPr>
          <w:rFonts w:ascii="Arial" w:cs="Arial" w:eastAsia="Arial" w:hAnsi="Arial"/>
          <w:sz w:val="17"/>
          <w:szCs w:val="17"/>
          <w:color w:val="auto"/>
        </w:rPr>
        <w:t>The time limits in the procedures set forth in paragraph (e)(1) of this clause may be modified in accordance with agency regulations implementing the Freedom of Information Act (5 U.S.C. 552) if necessary to respond to a request thereunder.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 of 57</w:t>
      </w:r>
    </w:p>
    <w:p>
      <w:pPr>
        <w:sectPr>
          <w:pgSz w:w="11900" w:h="16838" w:orient="portrait"/>
          <w:cols w:equalWidth="0" w:num="1">
            <w:col w:w="10940"/>
          </w:cols>
          <w:pgMar w:left="480" w:top="274" w:right="479" w:bottom="1440" w:gutter="0" w:footer="0" w:header="0"/>
        </w:sectPr>
      </w:pPr>
    </w:p>
    <w:bookmarkStart w:id="541" w:name="page542"/>
    <w:bookmarkEnd w:id="541"/>
    <w:p>
      <w:pPr>
        <w:ind w:left="-120" w:firstLine="430"/>
        <w:spacing w:after="0" w:line="286" w:lineRule="auto"/>
        <w:tabs>
          <w:tab w:leader="none" w:pos="575" w:val="left"/>
        </w:tabs>
        <w:numPr>
          <w:ilvl w:val="1"/>
          <w:numId w:val="4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the Government’s action occurs as the result of final disposition of the matter by a court of competent jurisdiction, the Contractor is not precluded by paragraph (e) of the clause from bringing a claim, in accordance with the Disputes clause of this contract, that may arise as the result of the Government removing or ignoring authorized markings on data delivered under this contract.</w:t>
      </w:r>
    </w:p>
    <w:p>
      <w:pPr>
        <w:spacing w:after="0" w:line="164" w:lineRule="exact"/>
        <w:rPr>
          <w:rFonts w:ascii="Arial" w:cs="Arial" w:eastAsia="Arial" w:hAnsi="Arial"/>
          <w:sz w:val="17"/>
          <w:szCs w:val="17"/>
          <w:color w:val="auto"/>
        </w:rPr>
      </w:pPr>
    </w:p>
    <w:p>
      <w:pPr>
        <w:ind w:left="320" w:hanging="230"/>
        <w:spacing w:after="0"/>
        <w:tabs>
          <w:tab w:leader="none" w:pos="3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Omitted or incorrect markings.</w:t>
      </w:r>
    </w:p>
    <w:p>
      <w:pPr>
        <w:spacing w:after="0" w:line="224" w:lineRule="exact"/>
        <w:rPr>
          <w:rFonts w:ascii="Arial" w:cs="Arial" w:eastAsia="Arial" w:hAnsi="Arial"/>
          <w:sz w:val="18"/>
          <w:szCs w:val="18"/>
          <w:color w:val="auto"/>
        </w:rPr>
      </w:pPr>
    </w:p>
    <w:p>
      <w:pPr>
        <w:ind w:left="-120" w:right="540" w:firstLine="430"/>
        <w:spacing w:after="0" w:line="277" w:lineRule="auto"/>
        <w:tabs>
          <w:tab w:leader="none" w:pos="575" w:val="left"/>
        </w:tabs>
        <w:numPr>
          <w:ilvl w:val="1"/>
          <w:numId w:val="489"/>
        </w:numPr>
        <w:rPr>
          <w:rFonts w:ascii="Arial" w:cs="Arial" w:eastAsia="Arial" w:hAnsi="Arial"/>
          <w:sz w:val="18"/>
          <w:szCs w:val="18"/>
          <w:color w:val="auto"/>
        </w:rPr>
      </w:pPr>
      <w:r>
        <w:rPr>
          <w:rFonts w:ascii="Arial" w:cs="Arial" w:eastAsia="Arial" w:hAnsi="Arial"/>
          <w:sz w:val="18"/>
          <w:szCs w:val="18"/>
          <w:color w:val="auto"/>
        </w:rPr>
        <w:t>Data delivered to the Government without any restrictive markings shall be deemed to have been furnished with unlimited rights. The Government is not liable for the disclosure, use, or reproduction of such data.</w:t>
      </w:r>
    </w:p>
    <w:p>
      <w:pPr>
        <w:spacing w:after="0" w:line="169" w:lineRule="exact"/>
        <w:rPr>
          <w:rFonts w:ascii="Arial" w:cs="Arial" w:eastAsia="Arial" w:hAnsi="Arial"/>
          <w:sz w:val="18"/>
          <w:szCs w:val="18"/>
          <w:color w:val="auto"/>
        </w:rPr>
      </w:pPr>
    </w:p>
    <w:p>
      <w:pPr>
        <w:ind w:left="-120" w:right="200" w:firstLine="430"/>
        <w:spacing w:after="0" w:line="286" w:lineRule="auto"/>
        <w:tabs>
          <w:tab w:leader="none" w:pos="575" w:val="left"/>
        </w:tabs>
        <w:numPr>
          <w:ilvl w:val="1"/>
          <w:numId w:val="489"/>
        </w:numPr>
        <w:rPr>
          <w:rFonts w:ascii="Arial" w:cs="Arial" w:eastAsia="Arial" w:hAnsi="Arial"/>
          <w:sz w:val="17"/>
          <w:szCs w:val="17"/>
          <w:color w:val="auto"/>
        </w:rPr>
      </w:pPr>
      <w:r>
        <w:rPr>
          <w:rFonts w:ascii="Arial" w:cs="Arial" w:eastAsia="Arial" w:hAnsi="Arial"/>
          <w:sz w:val="17"/>
          <w:szCs w:val="17"/>
          <w:color w:val="auto"/>
        </w:rPr>
        <w:t>If the unmarked data has not been disclosed without restriction outside the Government, the Contractor may request, within 6 months (or a longer time approved by the Contracting Officer in writing for good cause shown) after delivery of the data, permission to have authorized notices placed on the data at the Contractor’s expense. The Contracting Officer may agree to do so if the Contractor—</w:t>
      </w:r>
    </w:p>
    <w:p>
      <w:pPr>
        <w:spacing w:after="0" w:line="164" w:lineRule="exact"/>
        <w:rPr>
          <w:rFonts w:ascii="Arial" w:cs="Arial" w:eastAsia="Arial" w:hAnsi="Arial"/>
          <w:sz w:val="17"/>
          <w:szCs w:val="17"/>
          <w:color w:val="auto"/>
        </w:rPr>
      </w:pPr>
    </w:p>
    <w:p>
      <w:pPr>
        <w:ind w:left="740" w:hanging="209"/>
        <w:spacing w:after="0"/>
        <w:tabs>
          <w:tab w:leader="none" w:pos="74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Identifies the data to which the omitted notice is to be applied;</w:t>
      </w:r>
    </w:p>
    <w:p>
      <w:pPr>
        <w:spacing w:after="0" w:line="224" w:lineRule="exact"/>
        <w:rPr>
          <w:rFonts w:ascii="Arial" w:cs="Arial" w:eastAsia="Arial" w:hAnsi="Arial"/>
          <w:sz w:val="18"/>
          <w:szCs w:val="18"/>
          <w:color w:val="auto"/>
        </w:rPr>
      </w:pPr>
    </w:p>
    <w:p>
      <w:pPr>
        <w:ind w:left="800" w:hanging="269"/>
        <w:spacing w:after="0"/>
        <w:tabs>
          <w:tab w:leader="none" w:pos="80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Demonstrates that the omission of the notice was inadvertent;</w:t>
      </w:r>
    </w:p>
    <w:p>
      <w:pPr>
        <w:spacing w:after="0" w:line="224" w:lineRule="exact"/>
        <w:rPr>
          <w:rFonts w:ascii="Arial" w:cs="Arial" w:eastAsia="Arial" w:hAnsi="Arial"/>
          <w:sz w:val="18"/>
          <w:szCs w:val="18"/>
          <w:color w:val="auto"/>
        </w:rPr>
      </w:pPr>
    </w:p>
    <w:p>
      <w:pPr>
        <w:ind w:left="840" w:hanging="309"/>
        <w:spacing w:after="0"/>
        <w:tabs>
          <w:tab w:leader="none" w:pos="84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Establishes that the proposed notice is authorized; and</w:t>
      </w:r>
    </w:p>
    <w:p>
      <w:pPr>
        <w:spacing w:after="0" w:line="224" w:lineRule="exact"/>
        <w:rPr>
          <w:rFonts w:ascii="Arial" w:cs="Arial" w:eastAsia="Arial" w:hAnsi="Arial"/>
          <w:sz w:val="18"/>
          <w:szCs w:val="18"/>
          <w:color w:val="auto"/>
        </w:rPr>
      </w:pPr>
    </w:p>
    <w:p>
      <w:pPr>
        <w:ind w:left="-120" w:right="160" w:firstLine="651"/>
        <w:spacing w:after="0" w:line="277" w:lineRule="auto"/>
        <w:tabs>
          <w:tab w:leader="none" w:pos="845" w:val="left"/>
        </w:tabs>
        <w:numPr>
          <w:ilvl w:val="2"/>
          <w:numId w:val="489"/>
        </w:numPr>
        <w:rPr>
          <w:rFonts w:ascii="Arial" w:cs="Arial" w:eastAsia="Arial" w:hAnsi="Arial"/>
          <w:sz w:val="18"/>
          <w:szCs w:val="18"/>
          <w:color w:val="auto"/>
        </w:rPr>
      </w:pPr>
      <w:r>
        <w:rPr>
          <w:rFonts w:ascii="Arial" w:cs="Arial" w:eastAsia="Arial" w:hAnsi="Arial"/>
          <w:sz w:val="18"/>
          <w:szCs w:val="18"/>
          <w:color w:val="auto"/>
        </w:rPr>
        <w:t>Acknowledges that the Government has no liability for the disclosure, use, or reproduction of any data made prior to the addition of the notice or resulting from the omission of the notice.</w:t>
      </w:r>
    </w:p>
    <w:p>
      <w:pPr>
        <w:spacing w:after="0" w:line="169" w:lineRule="exact"/>
        <w:rPr>
          <w:rFonts w:ascii="Arial" w:cs="Arial" w:eastAsia="Arial" w:hAnsi="Arial"/>
          <w:sz w:val="18"/>
          <w:szCs w:val="18"/>
          <w:color w:val="auto"/>
        </w:rPr>
      </w:pPr>
    </w:p>
    <w:p>
      <w:pPr>
        <w:ind w:left="560" w:hanging="250"/>
        <w:spacing w:after="0"/>
        <w:tabs>
          <w:tab w:leader="none" w:pos="56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If data has been marked with an incorrect notice, the Contracting Officer may—</w:t>
      </w:r>
    </w:p>
    <w:p>
      <w:pPr>
        <w:spacing w:after="0" w:line="224" w:lineRule="exact"/>
        <w:rPr>
          <w:rFonts w:ascii="Arial" w:cs="Arial" w:eastAsia="Arial" w:hAnsi="Arial"/>
          <w:sz w:val="18"/>
          <w:szCs w:val="18"/>
          <w:color w:val="auto"/>
        </w:rPr>
      </w:pPr>
    </w:p>
    <w:p>
      <w:pPr>
        <w:ind w:left="-120" w:right="160" w:firstLine="651"/>
        <w:spacing w:after="0" w:line="277" w:lineRule="auto"/>
        <w:tabs>
          <w:tab w:leader="none" w:pos="755" w:val="left"/>
        </w:tabs>
        <w:numPr>
          <w:ilvl w:val="2"/>
          <w:numId w:val="489"/>
        </w:numPr>
        <w:rPr>
          <w:rFonts w:ascii="Arial" w:cs="Arial" w:eastAsia="Arial" w:hAnsi="Arial"/>
          <w:sz w:val="18"/>
          <w:szCs w:val="18"/>
          <w:color w:val="auto"/>
        </w:rPr>
      </w:pPr>
      <w:r>
        <w:rPr>
          <w:rFonts w:ascii="Arial" w:cs="Arial" w:eastAsia="Arial" w:hAnsi="Arial"/>
          <w:sz w:val="18"/>
          <w:szCs w:val="18"/>
          <w:color w:val="auto"/>
        </w:rPr>
        <w:t>Permit correction of the notice at the Contractor’s expense if the Contractor identifies the data and demonstrates that the correct notice is authorized; or</w:t>
      </w:r>
    </w:p>
    <w:p>
      <w:pPr>
        <w:spacing w:after="0" w:line="169" w:lineRule="exact"/>
        <w:rPr>
          <w:rFonts w:ascii="Arial" w:cs="Arial" w:eastAsia="Arial" w:hAnsi="Arial"/>
          <w:sz w:val="18"/>
          <w:szCs w:val="18"/>
          <w:color w:val="auto"/>
        </w:rPr>
      </w:pPr>
    </w:p>
    <w:p>
      <w:pPr>
        <w:ind w:left="800" w:hanging="269"/>
        <w:spacing w:after="0"/>
        <w:tabs>
          <w:tab w:leader="none" w:pos="80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Correct any incorrect notices.</w:t>
      </w:r>
    </w:p>
    <w:p>
      <w:pPr>
        <w:spacing w:after="0" w:line="224" w:lineRule="exact"/>
        <w:rPr>
          <w:rFonts w:ascii="Arial" w:cs="Arial" w:eastAsia="Arial" w:hAnsi="Arial"/>
          <w:sz w:val="18"/>
          <w:szCs w:val="18"/>
          <w:color w:val="auto"/>
        </w:rPr>
      </w:pPr>
    </w:p>
    <w:p>
      <w:pPr>
        <w:ind w:left="340" w:hanging="250"/>
        <w:spacing w:after="0"/>
        <w:tabs>
          <w:tab w:leader="none" w:pos="34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Protection of limited rights data and restricted computer software.</w:t>
      </w:r>
    </w:p>
    <w:p>
      <w:pPr>
        <w:spacing w:after="0" w:line="224" w:lineRule="exact"/>
        <w:rPr>
          <w:rFonts w:ascii="Arial" w:cs="Arial" w:eastAsia="Arial" w:hAnsi="Arial"/>
          <w:sz w:val="18"/>
          <w:szCs w:val="18"/>
          <w:color w:val="auto"/>
        </w:rPr>
      </w:pPr>
    </w:p>
    <w:p>
      <w:pPr>
        <w:ind w:left="-120" w:right="460" w:firstLine="430"/>
        <w:spacing w:after="0" w:line="277" w:lineRule="auto"/>
        <w:tabs>
          <w:tab w:leader="none" w:pos="575"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Contractor may withhold from delivery qualifying limited rights data or restricted computer software that are not data identified in paragraphs (b)(1)(i), (ii), and (iii) of this clause. As a condition to this withholding, the Contractor shall—</w:t>
      </w:r>
    </w:p>
    <w:p>
      <w:pPr>
        <w:spacing w:after="0" w:line="169" w:lineRule="exact"/>
        <w:rPr>
          <w:rFonts w:ascii="Arial" w:cs="Arial" w:eastAsia="Arial" w:hAnsi="Arial"/>
          <w:sz w:val="18"/>
          <w:szCs w:val="18"/>
          <w:color w:val="auto"/>
        </w:rPr>
      </w:pPr>
    </w:p>
    <w:p>
      <w:pPr>
        <w:ind w:left="740" w:hanging="209"/>
        <w:spacing w:after="0"/>
        <w:tabs>
          <w:tab w:leader="none" w:pos="74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Identify the data being withheld; and</w:t>
      </w:r>
    </w:p>
    <w:p>
      <w:pPr>
        <w:spacing w:after="0" w:line="224" w:lineRule="exact"/>
        <w:rPr>
          <w:rFonts w:ascii="Arial" w:cs="Arial" w:eastAsia="Arial" w:hAnsi="Arial"/>
          <w:sz w:val="18"/>
          <w:szCs w:val="18"/>
          <w:color w:val="auto"/>
        </w:rPr>
      </w:pPr>
    </w:p>
    <w:p>
      <w:pPr>
        <w:ind w:left="800" w:hanging="269"/>
        <w:spacing w:after="0"/>
        <w:tabs>
          <w:tab w:leader="none" w:pos="80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Furnish form, fit, and function data instead.</w:t>
      </w:r>
    </w:p>
    <w:p>
      <w:pPr>
        <w:spacing w:after="0" w:line="224" w:lineRule="exact"/>
        <w:rPr>
          <w:rFonts w:ascii="Arial" w:cs="Arial" w:eastAsia="Arial" w:hAnsi="Arial"/>
          <w:sz w:val="18"/>
          <w:szCs w:val="18"/>
          <w:color w:val="auto"/>
        </w:rPr>
      </w:pPr>
    </w:p>
    <w:p>
      <w:pPr>
        <w:ind w:left="-120" w:right="240" w:firstLine="430"/>
        <w:spacing w:after="0" w:line="277" w:lineRule="auto"/>
        <w:tabs>
          <w:tab w:leader="none" w:pos="575" w:val="left"/>
        </w:tabs>
        <w:numPr>
          <w:ilvl w:val="1"/>
          <w:numId w:val="489"/>
        </w:numPr>
        <w:rPr>
          <w:rFonts w:ascii="Arial" w:cs="Arial" w:eastAsia="Arial" w:hAnsi="Arial"/>
          <w:sz w:val="18"/>
          <w:szCs w:val="18"/>
          <w:color w:val="auto"/>
        </w:rPr>
      </w:pPr>
      <w:r>
        <w:rPr>
          <w:rFonts w:ascii="Arial" w:cs="Arial" w:eastAsia="Arial" w:hAnsi="Arial"/>
          <w:sz w:val="18"/>
          <w:szCs w:val="18"/>
          <w:color w:val="auto"/>
        </w:rPr>
        <w:t>Limited rights data that are formatted as a computer database for delivery to the Government shall be treated as limited rights data and not restricted computer software.</w:t>
      </w:r>
    </w:p>
    <w:p>
      <w:pPr>
        <w:spacing w:after="0" w:line="169" w:lineRule="exact"/>
        <w:rPr>
          <w:rFonts w:ascii="Arial" w:cs="Arial" w:eastAsia="Arial" w:hAnsi="Arial"/>
          <w:sz w:val="18"/>
          <w:szCs w:val="18"/>
          <w:color w:val="auto"/>
        </w:rPr>
      </w:pPr>
    </w:p>
    <w:p>
      <w:pPr>
        <w:ind w:left="560" w:hanging="250"/>
        <w:spacing w:after="0"/>
        <w:tabs>
          <w:tab w:leader="none" w:pos="56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4" w:lineRule="exact"/>
        <w:rPr>
          <w:rFonts w:ascii="Arial" w:cs="Arial" w:eastAsia="Arial" w:hAnsi="Arial"/>
          <w:sz w:val="18"/>
          <w:szCs w:val="18"/>
          <w:color w:val="auto"/>
        </w:rPr>
      </w:pPr>
    </w:p>
    <w:p>
      <w:pPr>
        <w:ind w:left="-120" w:right="40" w:firstLine="210"/>
        <w:spacing w:after="0" w:line="259" w:lineRule="auto"/>
        <w:tabs>
          <w:tab w:leader="none" w:pos="355" w:val="left"/>
        </w:tabs>
        <w:numPr>
          <w:ilvl w:val="0"/>
          <w:numId w:val="489"/>
        </w:numPr>
        <w:rPr>
          <w:rFonts w:ascii="Arial" w:cs="Arial" w:eastAsia="Arial" w:hAnsi="Arial"/>
          <w:sz w:val="18"/>
          <w:szCs w:val="18"/>
          <w:color w:val="auto"/>
        </w:rPr>
      </w:pPr>
      <w:r>
        <w:rPr>
          <w:rFonts w:ascii="Arial" w:cs="Arial" w:eastAsia="Arial" w:hAnsi="Arial"/>
          <w:sz w:val="18"/>
          <w:szCs w:val="18"/>
          <w:i w:val="1"/>
          <w:iCs w:val="1"/>
          <w:color w:val="auto"/>
        </w:rPr>
        <w:t>Subcontracting</w:t>
      </w:r>
      <w:r>
        <w:rPr>
          <w:rFonts w:ascii="Arial" w:cs="Arial" w:eastAsia="Arial" w:hAnsi="Arial"/>
          <w:sz w:val="18"/>
          <w:szCs w:val="18"/>
          <w:color w:val="auto"/>
        </w:rPr>
        <w:t>. The Contractor shall obtain from its subcontractors all data and rights therein necessary to fulfill the Contractor’s obligations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Government under this contract. If a subcontractor refuses to accept terms affording the Government those rights, the Contractor shall promptly notify the Contracting Officer of the refusal and shall not proceed with the subcontract award without authorization in writing from the Contracting Officer.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 of 57</w:t>
      </w:r>
    </w:p>
    <w:p>
      <w:pPr>
        <w:sectPr>
          <w:pgSz w:w="11900" w:h="16838" w:orient="portrait"/>
          <w:cols w:equalWidth="0" w:num="1">
            <w:col w:w="10740"/>
          </w:cols>
          <w:pgMar w:left="580" w:top="274" w:right="579" w:bottom="1440" w:gutter="0" w:footer="0" w:header="0"/>
        </w:sectPr>
      </w:pPr>
    </w:p>
    <w:bookmarkStart w:id="542" w:name="page543"/>
    <w:bookmarkEnd w:id="542"/>
    <w:p>
      <w:pPr>
        <w:ind w:right="40" w:firstLine="210"/>
        <w:spacing w:after="0" w:line="277" w:lineRule="auto"/>
        <w:tabs>
          <w:tab w:leader="none" w:pos="435" w:val="left"/>
        </w:tabs>
        <w:numPr>
          <w:ilvl w:val="0"/>
          <w:numId w:val="4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Relationship to patents or other rights</w:t>
      </w:r>
      <w:r>
        <w:rPr>
          <w:rFonts w:ascii="Arial" w:cs="Arial" w:eastAsia="Arial" w:hAnsi="Arial"/>
          <w:sz w:val="18"/>
          <w:szCs w:val="18"/>
          <w:color w:val="auto"/>
        </w:rPr>
        <w:t>. Nothing contained in this clause shall imply a license to the Government under any patent or be construed</w:t>
      </w:r>
      <w:r>
        <w:rPr>
          <w:rFonts w:ascii="Arial" w:cs="Arial" w:eastAsia="Arial" w:hAnsi="Arial"/>
          <w:sz w:val="18"/>
          <w:szCs w:val="18"/>
          <w:i w:val="1"/>
          <w:iCs w:val="1"/>
          <w:color w:val="auto"/>
        </w:rPr>
        <w:t xml:space="preserve"> </w:t>
      </w:r>
      <w:r>
        <w:rPr>
          <w:rFonts w:ascii="Arial" w:cs="Arial" w:eastAsia="Arial" w:hAnsi="Arial"/>
          <w:sz w:val="18"/>
          <w:szCs w:val="18"/>
          <w:color w:val="auto"/>
        </w:rPr>
        <w:t>as affecting the scope of any license or other right otherwise granted to the Government.</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C.16 52.227-16 ADDITIONAL DATA REQUIREMENTS (JUN 1987)</w:t>
      </w:r>
    </w:p>
    <w:p>
      <w:pPr>
        <w:spacing w:after="0" w:line="121" w:lineRule="exact"/>
        <w:rPr>
          <w:sz w:val="20"/>
          <w:szCs w:val="20"/>
          <w:color w:val="auto"/>
        </w:rPr>
      </w:pPr>
    </w:p>
    <w:p>
      <w:pPr>
        <w:ind w:right="140" w:firstLine="210"/>
        <w:spacing w:after="0" w:line="311" w:lineRule="auto"/>
        <w:tabs>
          <w:tab w:leader="none" w:pos="46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In addition to the data (as defined in the clause at 52.227-14, Rights in Data—General clause or other equivalent included in this contract) specified elsewhere in this contract to be delivered, the Contracting Officer may, at any time during contract performance or within a period of 3 years after acceptance of all items to be delivered under this contract, order any data first produced or specifically used in the performance of this contract.</w:t>
      </w:r>
    </w:p>
    <w:p>
      <w:pPr>
        <w:spacing w:after="0" w:line="148" w:lineRule="exact"/>
        <w:rPr>
          <w:rFonts w:ascii="Arial" w:cs="Arial" w:eastAsia="Arial" w:hAnsi="Arial"/>
          <w:sz w:val="16"/>
          <w:szCs w:val="16"/>
          <w:color w:val="auto"/>
        </w:rPr>
      </w:pPr>
    </w:p>
    <w:p>
      <w:pPr>
        <w:ind w:firstLine="210"/>
        <w:spacing w:after="0" w:line="311" w:lineRule="auto"/>
        <w:tabs>
          <w:tab w:leader="none" w:pos="47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Rights in Data—General clause or other equivalent included in this contract is applicable to all data ordered under this Additional Data Requirements clause. Nothing contained in this clause shall require the Contractor to deliver any data the withholding of which is authorized by the Rights in Data— General or other equivalent clause of this contract, or data which are specifically identified in this contract as not subject to this clause.</w:t>
      </w:r>
    </w:p>
    <w:p>
      <w:pPr>
        <w:spacing w:after="0" w:line="148" w:lineRule="exact"/>
        <w:rPr>
          <w:rFonts w:ascii="Arial" w:cs="Arial" w:eastAsia="Arial" w:hAnsi="Arial"/>
          <w:sz w:val="16"/>
          <w:szCs w:val="16"/>
          <w:color w:val="auto"/>
        </w:rPr>
      </w:pPr>
    </w:p>
    <w:p>
      <w:pPr>
        <w:ind w:right="680" w:firstLine="210"/>
        <w:spacing w:after="0" w:line="277" w:lineRule="auto"/>
        <w:tabs>
          <w:tab w:leader="none" w:pos="46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When data are to be delivered under this clause, the Contractor will be compensated for converting the data into the prescribed form, for reproduction, and for delivery.</w:t>
      </w:r>
    </w:p>
    <w:p>
      <w:pPr>
        <w:spacing w:after="0" w:line="169" w:lineRule="exact"/>
        <w:rPr>
          <w:rFonts w:ascii="Arial" w:cs="Arial" w:eastAsia="Arial" w:hAnsi="Arial"/>
          <w:sz w:val="18"/>
          <w:szCs w:val="18"/>
          <w:color w:val="auto"/>
        </w:rPr>
      </w:pPr>
    </w:p>
    <w:p>
      <w:pPr>
        <w:ind w:right="120" w:firstLine="210"/>
        <w:spacing w:after="0" w:line="277" w:lineRule="auto"/>
        <w:tabs>
          <w:tab w:leader="none" w:pos="47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Contracting Officer may release the Contractor from the requirements of this clause for specifically identified data items at any time during the 3-year period set forth in paragraph (a) of this clause.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C.17 52.227-17 RIGHTS IN DATA—SPECIAL WORKS (DEC 2007)</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clause—</w:t>
      </w:r>
    </w:p>
    <w:p>
      <w:pPr>
        <w:spacing w:after="0" w:line="225" w:lineRule="exact"/>
        <w:rPr>
          <w:sz w:val="20"/>
          <w:szCs w:val="20"/>
          <w:color w:val="auto"/>
        </w:rPr>
      </w:pPr>
    </w:p>
    <w:p>
      <w:pPr>
        <w:ind w:right="80" w:firstLine="220"/>
        <w:spacing w:after="0" w:line="263" w:lineRule="auto"/>
        <w:rPr>
          <w:sz w:val="20"/>
          <w:szCs w:val="20"/>
          <w:color w:val="auto"/>
        </w:rPr>
      </w:pPr>
      <w:r>
        <w:rPr>
          <w:rFonts w:ascii="Arial" w:cs="Arial" w:eastAsia="Arial" w:hAnsi="Arial"/>
          <w:sz w:val="18"/>
          <w:szCs w:val="18"/>
          <w:color w:val="auto"/>
        </w:rPr>
        <w:t>“Data” means recorded information, regardless of form or the media on which it may be recorded. The term includes technical data and computer software. The term does not include information incidental to contract administration, such as financial, administrative, cost or pricing, or management information.</w:t>
      </w:r>
    </w:p>
    <w:p>
      <w:pPr>
        <w:spacing w:after="0" w:line="183" w:lineRule="exact"/>
        <w:rPr>
          <w:sz w:val="20"/>
          <w:szCs w:val="20"/>
          <w:color w:val="auto"/>
        </w:rPr>
      </w:pPr>
    </w:p>
    <w:p>
      <w:pPr>
        <w:ind w:right="360" w:firstLine="220"/>
        <w:spacing w:after="0" w:line="277" w:lineRule="auto"/>
        <w:rPr>
          <w:sz w:val="20"/>
          <w:szCs w:val="20"/>
          <w:color w:val="auto"/>
        </w:rPr>
      </w:pPr>
      <w:r>
        <w:rPr>
          <w:rFonts w:ascii="Arial" w:cs="Arial" w:eastAsia="Arial" w:hAnsi="Arial"/>
          <w:sz w:val="18"/>
          <w:szCs w:val="18"/>
          <w:color w:val="auto"/>
        </w:rPr>
        <w:t>“Unlimited rights” means the rights of the Government to use, disclose, reproduce, prepare derivative works, distribute copies to the public, and perform publicly and display publicly, in any manner and for any purpose, and to have or permit others to do so.</w:t>
      </w:r>
    </w:p>
    <w:p>
      <w:pPr>
        <w:spacing w:after="0" w:line="170" w:lineRule="exact"/>
        <w:rPr>
          <w:sz w:val="20"/>
          <w:szCs w:val="20"/>
          <w:color w:val="auto"/>
        </w:rPr>
      </w:pPr>
    </w:p>
    <w:p>
      <w:pPr>
        <w:ind w:left="460" w:hanging="250"/>
        <w:spacing w:after="0"/>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Allocation of Rights.</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Government shall have—</w:t>
      </w:r>
    </w:p>
    <w:p>
      <w:pPr>
        <w:spacing w:after="0" w:line="224" w:lineRule="exact"/>
        <w:rPr>
          <w:rFonts w:ascii="Arial" w:cs="Arial" w:eastAsia="Arial" w:hAnsi="Arial"/>
          <w:sz w:val="18"/>
          <w:szCs w:val="18"/>
          <w:color w:val="auto"/>
        </w:rPr>
      </w:pPr>
    </w:p>
    <w:p>
      <w:pPr>
        <w:ind w:right="600" w:firstLine="651"/>
        <w:spacing w:after="0" w:line="277" w:lineRule="auto"/>
        <w:tabs>
          <w:tab w:leader="none" w:pos="875" w:val="left"/>
        </w:tabs>
        <w:numPr>
          <w:ilvl w:val="2"/>
          <w:numId w:val="492"/>
        </w:numPr>
        <w:rPr>
          <w:rFonts w:ascii="Arial" w:cs="Arial" w:eastAsia="Arial" w:hAnsi="Arial"/>
          <w:sz w:val="18"/>
          <w:szCs w:val="18"/>
          <w:color w:val="auto"/>
        </w:rPr>
      </w:pPr>
      <w:r>
        <w:rPr>
          <w:rFonts w:ascii="Arial" w:cs="Arial" w:eastAsia="Arial" w:hAnsi="Arial"/>
          <w:sz w:val="18"/>
          <w:szCs w:val="18"/>
          <w:color w:val="auto"/>
        </w:rPr>
        <w:t>Unlimited rights in all data delivered under this contract, and in all data first produced in the performance of this contract, except as provided in paragraph (c) of this clause.</w:t>
      </w:r>
    </w:p>
    <w:p>
      <w:pPr>
        <w:spacing w:after="0" w:line="169" w:lineRule="exact"/>
        <w:rPr>
          <w:rFonts w:ascii="Arial" w:cs="Arial" w:eastAsia="Arial" w:hAnsi="Arial"/>
          <w:sz w:val="18"/>
          <w:szCs w:val="18"/>
          <w:color w:val="auto"/>
        </w:rPr>
      </w:pPr>
    </w:p>
    <w:p>
      <w:pPr>
        <w:ind w:right="80" w:firstLine="651"/>
        <w:spacing w:after="0" w:line="277" w:lineRule="auto"/>
        <w:tabs>
          <w:tab w:leader="none" w:pos="925" w:val="left"/>
        </w:tabs>
        <w:numPr>
          <w:ilvl w:val="2"/>
          <w:numId w:val="492"/>
        </w:numPr>
        <w:rPr>
          <w:rFonts w:ascii="Arial" w:cs="Arial" w:eastAsia="Arial" w:hAnsi="Arial"/>
          <w:sz w:val="18"/>
          <w:szCs w:val="18"/>
          <w:color w:val="auto"/>
        </w:rPr>
      </w:pPr>
      <w:r>
        <w:rPr>
          <w:rFonts w:ascii="Arial" w:cs="Arial" w:eastAsia="Arial" w:hAnsi="Arial"/>
          <w:sz w:val="18"/>
          <w:szCs w:val="18"/>
          <w:color w:val="auto"/>
        </w:rPr>
        <w:t>The right to limit assertion of copyright in data first produced in the performance of this contract, and to obtain assignment of copyright in that data, in accordance with paragraph (c)(1) of this clause.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48 of 57</w:t>
      </w:r>
    </w:p>
    <w:p>
      <w:pPr>
        <w:sectPr>
          <w:pgSz w:w="11900" w:h="16838" w:orient="portrait"/>
          <w:cols w:equalWidth="0" w:num="1">
            <w:col w:w="10940"/>
          </w:cols>
          <w:pgMar w:left="460" w:top="274" w:right="499" w:bottom="1440" w:gutter="0" w:footer="0" w:header="0"/>
        </w:sectPr>
      </w:pPr>
    </w:p>
    <w:bookmarkStart w:id="543" w:name="page544"/>
    <w:bookmarkEnd w:id="543"/>
    <w:p>
      <w:pPr>
        <w:ind w:left="940" w:hanging="309"/>
        <w:spacing w:after="0"/>
        <w:tabs>
          <w:tab w:leader="none" w:pos="940" w:val="left"/>
        </w:tabs>
        <w:numPr>
          <w:ilvl w:val="2"/>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to limit the release and use of certain data in accordance with paragraph (d) of this clause.</w:t>
      </w:r>
    </w:p>
    <w:p>
      <w:pPr>
        <w:spacing w:after="0" w:line="224" w:lineRule="exact"/>
        <w:rPr>
          <w:rFonts w:ascii="Arial" w:cs="Arial" w:eastAsia="Arial" w:hAnsi="Arial"/>
          <w:sz w:val="18"/>
          <w:szCs w:val="18"/>
          <w:color w:val="auto"/>
        </w:rPr>
      </w:pPr>
    </w:p>
    <w:p>
      <w:pPr>
        <w:ind w:left="-20" w:right="300" w:firstLine="430"/>
        <w:spacing w:after="0" w:line="277" w:lineRule="auto"/>
        <w:tabs>
          <w:tab w:leader="none" w:pos="675"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Contractor shall have, to the extent permission is granted in accordance with paragraph (c)(1) of this clause, the right to assert claim to copyright subsisting in data first produced in the performance of this contract.</w:t>
      </w:r>
    </w:p>
    <w:p>
      <w:pPr>
        <w:spacing w:after="0" w:line="169" w:lineRule="exact"/>
        <w:rPr>
          <w:rFonts w:ascii="Arial" w:cs="Arial" w:eastAsia="Arial" w:hAnsi="Arial"/>
          <w:sz w:val="18"/>
          <w:szCs w:val="18"/>
          <w:color w:val="auto"/>
        </w:rPr>
      </w:pPr>
    </w:p>
    <w:p>
      <w:pPr>
        <w:ind w:left="440" w:hanging="250"/>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Copyright—</w:t>
      </w:r>
    </w:p>
    <w:p>
      <w:pPr>
        <w:spacing w:after="0" w:line="224" w:lineRule="exact"/>
        <w:rPr>
          <w:rFonts w:ascii="Arial" w:cs="Arial" w:eastAsia="Arial" w:hAnsi="Arial"/>
          <w:sz w:val="18"/>
          <w:szCs w:val="18"/>
          <w:color w:val="auto"/>
        </w:rPr>
      </w:pPr>
    </w:p>
    <w:p>
      <w:pPr>
        <w:ind w:left="660" w:hanging="250"/>
        <w:spacing w:after="0"/>
        <w:tabs>
          <w:tab w:leader="none" w:pos="6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Data first produced in the performance of this contract.</w:t>
      </w:r>
    </w:p>
    <w:p>
      <w:pPr>
        <w:spacing w:after="0" w:line="224" w:lineRule="exact"/>
        <w:rPr>
          <w:rFonts w:ascii="Arial" w:cs="Arial" w:eastAsia="Arial" w:hAnsi="Arial"/>
          <w:sz w:val="18"/>
          <w:szCs w:val="18"/>
          <w:color w:val="auto"/>
        </w:rPr>
      </w:pPr>
    </w:p>
    <w:p>
      <w:pPr>
        <w:ind w:left="-20" w:right="160" w:firstLine="651"/>
        <w:spacing w:after="0" w:line="293" w:lineRule="auto"/>
        <w:tabs>
          <w:tab w:leader="none" w:pos="855" w:val="left"/>
        </w:tabs>
        <w:numPr>
          <w:ilvl w:val="2"/>
          <w:numId w:val="495"/>
        </w:numPr>
        <w:rPr>
          <w:rFonts w:ascii="Arial" w:cs="Arial" w:eastAsia="Arial" w:hAnsi="Arial"/>
          <w:sz w:val="16"/>
          <w:szCs w:val="16"/>
          <w:color w:val="auto"/>
        </w:rPr>
      </w:pPr>
      <w:r>
        <w:rPr>
          <w:rFonts w:ascii="Arial" w:cs="Arial" w:eastAsia="Arial" w:hAnsi="Arial"/>
          <w:sz w:val="16"/>
          <w:szCs w:val="16"/>
          <w:color w:val="auto"/>
        </w:rPr>
        <w:t xml:space="preserve">The Contractor shall not assert or authorize others to assert any claim to copyright subsisting in any data first produced in the performance of this contract without prior written permission of the Contracting Officer. When copyright is asserted, the Contractor shall affix the appropriate copyright notice of 17 </w:t>
      </w:r>
      <w:r>
        <w:rPr>
          <w:rFonts w:ascii="Arial" w:cs="Arial" w:eastAsia="Arial" w:hAnsi="Arial"/>
          <w:sz w:val="16"/>
          <w:szCs w:val="16"/>
          <w:i w:val="1"/>
          <w:iCs w:val="1"/>
          <w:color w:val="auto"/>
        </w:rPr>
        <w:t>U.S.C. 401 or 402</w:t>
      </w:r>
      <w:r>
        <w:rPr>
          <w:rFonts w:ascii="Arial" w:cs="Arial" w:eastAsia="Arial" w:hAnsi="Arial"/>
          <w:sz w:val="16"/>
          <w:szCs w:val="16"/>
          <w:color w:val="auto"/>
        </w:rPr>
        <w:t xml:space="preserve"> and acknowledgment of Government sponsorship (including contract number) to the data when delivered to the Government, as well as when the data are published or deposited for registration as a published work in the U.S. Copyright Office. The Contractor grants to the Government, and others acting on its behalf, a paid-up, nonexclusive, irrevocable, worldwide license for all delivered data to reproduce, prepare derivative works, distribute copies to the public, and perform publicly and display publicly, by or on behalf of the Government.</w:t>
      </w:r>
    </w:p>
    <w:p>
      <w:pPr>
        <w:spacing w:after="0" w:line="163" w:lineRule="exact"/>
        <w:rPr>
          <w:sz w:val="20"/>
          <w:szCs w:val="20"/>
          <w:color w:val="auto"/>
        </w:rPr>
      </w:pPr>
    </w:p>
    <w:p>
      <w:pPr>
        <w:ind w:left="-20" w:firstLine="651"/>
        <w:spacing w:after="0" w:line="263" w:lineRule="auto"/>
        <w:tabs>
          <w:tab w:leader="none" w:pos="905" w:val="left"/>
        </w:tabs>
        <w:numPr>
          <w:ilvl w:val="2"/>
          <w:numId w:val="496"/>
        </w:numPr>
        <w:rPr>
          <w:rFonts w:ascii="Arial" w:cs="Arial" w:eastAsia="Arial" w:hAnsi="Arial"/>
          <w:sz w:val="18"/>
          <w:szCs w:val="18"/>
          <w:color w:val="auto"/>
        </w:rPr>
      </w:pPr>
      <w:r>
        <w:rPr>
          <w:rFonts w:ascii="Arial" w:cs="Arial" w:eastAsia="Arial" w:hAnsi="Arial"/>
          <w:sz w:val="18"/>
          <w:szCs w:val="18"/>
          <w:color w:val="auto"/>
        </w:rPr>
        <w:t>If the Government desires to obtain copyright in data first produced in the performance of this contract and permission has not been granted as set forth in paragraph (c)(1)(i) of this clause, the Contracting Officer shall direct the Contractor to assign (with or without registration), or obtain the assignment of, the copyright to the Government or its designated assignee.</w:t>
      </w:r>
    </w:p>
    <w:p>
      <w:pPr>
        <w:spacing w:after="0" w:line="182" w:lineRule="exact"/>
        <w:rPr>
          <w:rFonts w:ascii="Arial" w:cs="Arial" w:eastAsia="Arial" w:hAnsi="Arial"/>
          <w:sz w:val="18"/>
          <w:szCs w:val="18"/>
          <w:color w:val="auto"/>
        </w:rPr>
      </w:pPr>
    </w:p>
    <w:p>
      <w:pPr>
        <w:ind w:left="-20" w:right="140" w:firstLine="430"/>
        <w:spacing w:after="0" w:line="259" w:lineRule="auto"/>
        <w:tabs>
          <w:tab w:leader="none" w:pos="675" w:val="left"/>
        </w:tabs>
        <w:numPr>
          <w:ilvl w:val="1"/>
          <w:numId w:val="497"/>
        </w:numPr>
        <w:rPr>
          <w:rFonts w:ascii="Arial" w:cs="Arial" w:eastAsia="Arial" w:hAnsi="Arial"/>
          <w:sz w:val="18"/>
          <w:szCs w:val="18"/>
          <w:color w:val="auto"/>
        </w:rPr>
      </w:pPr>
      <w:r>
        <w:rPr>
          <w:rFonts w:ascii="Arial" w:cs="Arial" w:eastAsia="Arial" w:hAnsi="Arial"/>
          <w:sz w:val="18"/>
          <w:szCs w:val="18"/>
          <w:i w:val="1"/>
          <w:iCs w:val="1"/>
          <w:color w:val="auto"/>
        </w:rPr>
        <w:t>Data not first produced in the performance of this contract</w:t>
      </w:r>
      <w:r>
        <w:rPr>
          <w:rFonts w:ascii="Arial" w:cs="Arial" w:eastAsia="Arial" w:hAnsi="Arial"/>
          <w:sz w:val="18"/>
          <w:szCs w:val="18"/>
          <w:color w:val="auto"/>
        </w:rPr>
        <w:t>. The Contractor shall not, without prior written permission of the Contracting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incorporate in data delivered under this contract any data not first produced in the performance of this contract and that contain the copyright notice of 17 U.S.C. 401 or 402, unless the Contractor identifies such data and grants to the Government, or acquires on its behalf, a license of the same scope as set forth in paragraph (c)(1) of this clause.</w:t>
      </w:r>
    </w:p>
    <w:p>
      <w:pPr>
        <w:spacing w:after="0" w:line="185" w:lineRule="exact"/>
        <w:rPr>
          <w:rFonts w:ascii="Arial" w:cs="Arial" w:eastAsia="Arial" w:hAnsi="Arial"/>
          <w:sz w:val="18"/>
          <w:szCs w:val="18"/>
          <w:color w:val="auto"/>
        </w:rPr>
      </w:pPr>
    </w:p>
    <w:p>
      <w:pPr>
        <w:ind w:left="-20" w:right="540" w:firstLine="210"/>
        <w:spacing w:after="0" w:line="263" w:lineRule="auto"/>
        <w:tabs>
          <w:tab w:leader="none" w:pos="455" w:val="left"/>
        </w:tabs>
        <w:numPr>
          <w:ilvl w:val="0"/>
          <w:numId w:val="498"/>
        </w:numPr>
        <w:rPr>
          <w:rFonts w:ascii="Arial" w:cs="Arial" w:eastAsia="Arial" w:hAnsi="Arial"/>
          <w:sz w:val="18"/>
          <w:szCs w:val="18"/>
          <w:color w:val="auto"/>
        </w:rPr>
      </w:pPr>
      <w:r>
        <w:rPr>
          <w:rFonts w:ascii="Arial" w:cs="Arial" w:eastAsia="Arial" w:hAnsi="Arial"/>
          <w:sz w:val="18"/>
          <w:szCs w:val="18"/>
          <w:i w:val="1"/>
          <w:iCs w:val="1"/>
          <w:color w:val="auto"/>
        </w:rPr>
        <w:t>Release and use restrictions</w:t>
      </w:r>
      <w:r>
        <w:rPr>
          <w:rFonts w:ascii="Arial" w:cs="Arial" w:eastAsia="Arial" w:hAnsi="Arial"/>
          <w:sz w:val="18"/>
          <w:szCs w:val="18"/>
          <w:color w:val="auto"/>
        </w:rPr>
        <w:t>. Except as otherwise specifically provided for in this contract, the Contractor shall not use, release, reproduce,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or publish any data first produced in the performance of this contract, nor authorize others to do so, without written permission of the Contracting Officer.</w:t>
      </w:r>
    </w:p>
    <w:p>
      <w:pPr>
        <w:spacing w:after="0" w:line="182" w:lineRule="exact"/>
        <w:rPr>
          <w:rFonts w:ascii="Arial" w:cs="Arial" w:eastAsia="Arial" w:hAnsi="Arial"/>
          <w:sz w:val="18"/>
          <w:szCs w:val="18"/>
          <w:color w:val="auto"/>
        </w:rPr>
      </w:pPr>
    </w:p>
    <w:p>
      <w:pPr>
        <w:ind w:left="-20" w:firstLine="210"/>
        <w:spacing w:after="0" w:line="272" w:lineRule="auto"/>
        <w:tabs>
          <w:tab w:leader="none" w:pos="444" w:val="left"/>
        </w:tabs>
        <w:numPr>
          <w:ilvl w:val="0"/>
          <w:numId w:val="498"/>
        </w:numPr>
        <w:rPr>
          <w:rFonts w:ascii="Arial" w:cs="Arial" w:eastAsia="Arial" w:hAnsi="Arial"/>
          <w:sz w:val="17"/>
          <w:szCs w:val="17"/>
          <w:color w:val="auto"/>
        </w:rPr>
      </w:pPr>
      <w:r>
        <w:rPr>
          <w:rFonts w:ascii="Arial" w:cs="Arial" w:eastAsia="Arial" w:hAnsi="Arial"/>
          <w:sz w:val="17"/>
          <w:szCs w:val="17"/>
          <w:i w:val="1"/>
          <w:iCs w:val="1"/>
          <w:color w:val="auto"/>
        </w:rPr>
        <w:t>Indemnity</w:t>
      </w:r>
      <w:r>
        <w:rPr>
          <w:rFonts w:ascii="Arial" w:cs="Arial" w:eastAsia="Arial" w:hAnsi="Arial"/>
          <w:sz w:val="17"/>
          <w:szCs w:val="17"/>
          <w:color w:val="auto"/>
        </w:rPr>
        <w:t>. The Contractor shall indemnify the Government and its officers, agents, and employees acting for the Government against any</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including costs and expenses, incurred as the result of the violation of trade secrets, copyrights, or right of privacy or publicity, arising out of the creation, delivery, publication, or use of any data furnished under this contract; or any libelous or other unlawful matter contained in such data. The provisions of this paragraph do not apply unless the Government provides notice to the Contractor as soon as practicable of any claim or suit, affords the Contractor an opportunity under applicable laws, rules, or regulations to participate in the defense of the claim or suit, and obtains the Contractor’s consent to the settlement of any claim or suit other than as required by final decree of a court of competent jurisdiction; and these provisions do not apply to material furnished to the Contractor by the Government and incorporated in data to which this clause applies.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 of 57</w:t>
      </w:r>
    </w:p>
    <w:p>
      <w:pPr>
        <w:sectPr>
          <w:pgSz w:w="11900" w:h="16838" w:orient="portrait"/>
          <w:cols w:equalWidth="0" w:num="1">
            <w:col w:w="10960"/>
          </w:cols>
          <w:pgMar w:left="480" w:top="273" w:right="459" w:bottom="1440" w:gutter="0" w:footer="0" w:header="0"/>
        </w:sectPr>
      </w:pPr>
    </w:p>
    <w:bookmarkStart w:id="544" w:name="page545"/>
    <w:bookmarkEnd w:id="544"/>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FAR</w:t>
            </w:r>
          </w:p>
        </w:tc>
        <w:tc>
          <w:tcPr>
            <w:tcW w:w="4720" w:type="dxa"/>
            <w:vAlign w:val="bottom"/>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Title</w:t>
            </w:r>
          </w:p>
        </w:tc>
        <w:tc>
          <w:tcPr>
            <w:tcW w:w="3380" w:type="dxa"/>
            <w:vAlign w:val="bottom"/>
            <w:vMerge w:val="restart"/>
          </w:tcPr>
          <w:p>
            <w:pPr>
              <w:spacing w:after="0"/>
              <w:rPr>
                <w:sz w:val="14"/>
                <w:szCs w:val="14"/>
                <w:color w:val="auto"/>
              </w:rPr>
            </w:pPr>
          </w:p>
        </w:tc>
        <w:tc>
          <w:tcPr>
            <w:tcW w:w="1860" w:type="dxa"/>
            <w:vAlign w:val="bottom"/>
            <w:gridSpan w:val="3"/>
            <w:vMerge w:val="restart"/>
          </w:tcPr>
          <w:p>
            <w:pPr>
              <w:jc w:val="center"/>
              <w:ind w:left="999"/>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79"/>
              </w:rPr>
              <w:t>52.</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720" w:type="dxa"/>
            <w:vAlign w:val="bottom"/>
            <w:vMerge w:val="restart"/>
          </w:tcPr>
          <w:p>
            <w:pPr>
              <w:ind w:left="480"/>
              <w:spacing w:after="0"/>
              <w:rPr>
                <w:sz w:val="20"/>
                <w:szCs w:val="20"/>
                <w:color w:val="auto"/>
              </w:rPr>
            </w:pPr>
            <w:r>
              <w:rPr>
                <w:rFonts w:ascii="Arial" w:cs="Arial" w:eastAsia="Arial" w:hAnsi="Arial"/>
                <w:sz w:val="18"/>
                <w:szCs w:val="18"/>
                <w:color w:val="auto"/>
                <w:w w:val="96"/>
              </w:rPr>
              <w:t>PROVIDING ACCELERATED PAYMENTS TO SMALL</w:t>
            </w:r>
          </w:p>
        </w:tc>
        <w:tc>
          <w:tcPr>
            <w:tcW w:w="300" w:type="dxa"/>
            <w:vAlign w:val="bottom"/>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720" w:type="dxa"/>
            <w:vAlign w:val="bottom"/>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232-40</w:t>
            </w:r>
          </w:p>
        </w:tc>
        <w:tc>
          <w:tcPr>
            <w:tcW w:w="4720" w:type="dxa"/>
            <w:vAlign w:val="bottom"/>
            <w:vMerge w:val="continue"/>
          </w:tcPr>
          <w:p>
            <w:pPr>
              <w:spacing w:after="0"/>
              <w:rPr>
                <w:sz w:val="19"/>
                <w:szCs w:val="19"/>
                <w:color w:val="auto"/>
              </w:rPr>
            </w:pPr>
          </w:p>
        </w:tc>
        <w:tc>
          <w:tcPr>
            <w:tcW w:w="3680" w:type="dxa"/>
            <w:vAlign w:val="bottom"/>
            <w:gridSpan w:val="2"/>
          </w:tcPr>
          <w:p>
            <w:pPr>
              <w:ind w:left="40"/>
              <w:spacing w:after="0"/>
              <w:rPr>
                <w:sz w:val="20"/>
                <w:szCs w:val="20"/>
                <w:color w:val="auto"/>
              </w:rPr>
            </w:pPr>
            <w:r>
              <w:rPr>
                <w:rFonts w:ascii="Arial" w:cs="Arial" w:eastAsia="Arial" w:hAnsi="Arial"/>
                <w:sz w:val="18"/>
                <w:szCs w:val="18"/>
                <w:color w:val="auto"/>
              </w:rPr>
              <w:t>BUSINESS SUBCONTRACTORS</w:t>
            </w:r>
          </w:p>
        </w:tc>
        <w:tc>
          <w:tcPr>
            <w:tcW w:w="1860" w:type="dxa"/>
            <w:vAlign w:val="bottom"/>
            <w:gridSpan w:val="3"/>
          </w:tcPr>
          <w:p>
            <w:pPr>
              <w:jc w:val="center"/>
              <w:ind w:left="999"/>
              <w:spacing w:after="0"/>
              <w:rPr>
                <w:sz w:val="20"/>
                <w:szCs w:val="20"/>
                <w:color w:val="auto"/>
              </w:rPr>
            </w:pPr>
            <w:r>
              <w:rPr>
                <w:rFonts w:ascii="Arial" w:cs="Arial" w:eastAsia="Arial" w:hAnsi="Arial"/>
                <w:sz w:val="18"/>
                <w:szCs w:val="18"/>
                <w:color w:val="auto"/>
                <w:w w:val="93"/>
              </w:rPr>
              <w:t>DEC 2013</w:t>
            </w:r>
          </w:p>
        </w:tc>
        <w:tc>
          <w:tcPr>
            <w:tcW w:w="0" w:type="dxa"/>
            <w:vAlign w:val="bottom"/>
          </w:tcPr>
          <w:p>
            <w:pPr>
              <w:spacing w:after="0"/>
              <w:rPr>
                <w:sz w:val="1"/>
                <w:szCs w:val="1"/>
                <w:color w:val="auto"/>
              </w:rPr>
            </w:pPr>
          </w:p>
        </w:tc>
      </w:tr>
      <w:tr>
        <w:trPr>
          <w:trHeight w:val="417"/>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0" w:type="dxa"/>
            <w:vAlign w:val="bottom"/>
            <w:gridSpan w:val="3"/>
          </w:tcPr>
          <w:p>
            <w:pPr>
              <w:ind w:left="3600"/>
              <w:spacing w:after="0"/>
              <w:rPr>
                <w:sz w:val="20"/>
                <w:szCs w:val="20"/>
                <w:color w:val="auto"/>
              </w:rPr>
            </w:pPr>
            <w:r>
              <w:rPr>
                <w:rFonts w:ascii="Arial" w:cs="Arial" w:eastAsia="Arial" w:hAnsi="Arial"/>
                <w:sz w:val="18"/>
                <w:szCs w:val="18"/>
                <w:color w:val="auto"/>
              </w:rPr>
              <w:t>(End of Addendum to 52.212-4)</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20"/>
        <w:spacing w:after="0" w:line="281" w:lineRule="auto"/>
        <w:rPr>
          <w:sz w:val="20"/>
          <w:szCs w:val="20"/>
          <w:color w:val="auto"/>
        </w:rPr>
      </w:pPr>
      <w:r>
        <w:rPr>
          <w:rFonts w:ascii="Arial" w:cs="Arial" w:eastAsia="Arial" w:hAnsi="Arial"/>
          <w:sz w:val="18"/>
          <w:szCs w:val="18"/>
          <w:b w:val="1"/>
          <w:bCs w:val="1"/>
          <w:color w:val="auto"/>
        </w:rPr>
        <w:t>C.18 52.212-5 CONTRACT TERMS AND CONDITIONS REQUIRED TO IMPLEMENT STATUTES OR EXECUTIVE ORDERS— COMMERCIAL ITEMS (JAN 2017)</w:t>
      </w:r>
    </w:p>
    <w:p>
      <w:pPr>
        <w:spacing w:after="0" w:line="59" w:lineRule="exact"/>
        <w:rPr>
          <w:sz w:val="20"/>
          <w:szCs w:val="20"/>
          <w:color w:val="auto"/>
        </w:rPr>
      </w:pPr>
    </w:p>
    <w:p>
      <w:pPr>
        <w:ind w:right="660" w:firstLine="210"/>
        <w:spacing w:after="0" w:line="277" w:lineRule="auto"/>
        <w:tabs>
          <w:tab w:leader="none" w:pos="46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169" w:lineRule="exact"/>
        <w:rPr>
          <w:rFonts w:ascii="Arial" w:cs="Arial" w:eastAsia="Arial" w:hAnsi="Arial"/>
          <w:sz w:val="18"/>
          <w:szCs w:val="18"/>
          <w:color w:val="auto"/>
        </w:rPr>
      </w:pPr>
    </w:p>
    <w:p>
      <w:pPr>
        <w:jc w:val="both"/>
        <w:ind w:right="160" w:firstLine="430"/>
        <w:spacing w:after="0" w:line="263" w:lineRule="auto"/>
        <w:tabs>
          <w:tab w:leader="none" w:pos="695" w:val="left"/>
        </w:tabs>
        <w:numPr>
          <w:ilvl w:val="1"/>
          <w:numId w:val="499"/>
        </w:numPr>
        <w:rPr>
          <w:rFonts w:ascii="Arial" w:cs="Arial" w:eastAsia="Arial" w:hAnsi="Arial"/>
          <w:sz w:val="18"/>
          <w:szCs w:val="18"/>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82" w:lineRule="exact"/>
        <w:rPr>
          <w:rFonts w:ascii="Arial" w:cs="Arial" w:eastAsia="Arial" w:hAnsi="Arial"/>
          <w:sz w:val="18"/>
          <w:szCs w:val="18"/>
          <w:color w:val="auto"/>
        </w:rPr>
      </w:pPr>
    </w:p>
    <w:p>
      <w:pPr>
        <w:ind w:left="680" w:hanging="250"/>
        <w:spacing w:after="0"/>
        <w:tabs>
          <w:tab w:leader="none" w:pos="6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52.209-10, Prohibition on Contracting with Inverted Domestic Corporations (NOV 2015).</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52.233-3, Protest After Award (Aug 1996) (31 U.S.C. 3553).</w:t>
      </w:r>
    </w:p>
    <w:p>
      <w:pPr>
        <w:spacing w:after="0" w:line="224" w:lineRule="exact"/>
        <w:rPr>
          <w:rFonts w:ascii="Arial" w:cs="Arial" w:eastAsia="Arial" w:hAnsi="Arial"/>
          <w:sz w:val="18"/>
          <w:szCs w:val="18"/>
          <w:color w:val="auto"/>
        </w:rPr>
      </w:pPr>
    </w:p>
    <w:p>
      <w:pPr>
        <w:ind w:left="680" w:hanging="250"/>
        <w:spacing w:after="0"/>
        <w:tabs>
          <w:tab w:leader="none" w:pos="6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52.233-4, Applicable Law for Breach of Contract Claim (Oct 2004) (Public Laws 108-77 and 108-78 (19 U.S.C. 3805 note)).</w:t>
      </w:r>
    </w:p>
    <w:p>
      <w:pPr>
        <w:spacing w:after="0" w:line="224" w:lineRule="exact"/>
        <w:rPr>
          <w:rFonts w:ascii="Arial" w:cs="Arial" w:eastAsia="Arial" w:hAnsi="Arial"/>
          <w:sz w:val="18"/>
          <w:szCs w:val="18"/>
          <w:color w:val="auto"/>
        </w:rPr>
      </w:pPr>
    </w:p>
    <w:p>
      <w:pPr>
        <w:ind w:right="280" w:firstLine="210"/>
        <w:spacing w:after="0" w:line="307" w:lineRule="auto"/>
        <w:tabs>
          <w:tab w:leader="none" w:pos="475" w:val="left"/>
        </w:tabs>
        <w:numPr>
          <w:ilvl w:val="0"/>
          <w:numId w:val="499"/>
        </w:numPr>
        <w:rPr>
          <w:rFonts w:ascii="Arial" w:cs="Arial" w:eastAsia="Arial" w:hAnsi="Arial"/>
          <w:sz w:val="17"/>
          <w:szCs w:val="17"/>
          <w:color w:val="auto"/>
        </w:rPr>
      </w:pPr>
      <w:r>
        <w:rPr>
          <w:rFonts w:ascii="Arial" w:cs="Arial" w:eastAsia="Arial" w:hAnsi="Arial"/>
          <w:sz w:val="17"/>
          <w:szCs w:val="17"/>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w:t>
      </w:r>
    </w:p>
    <w:p>
      <w:pPr>
        <w:spacing w:after="0" w:line="147" w:lineRule="exact"/>
        <w:rPr>
          <w:sz w:val="20"/>
          <w:szCs w:val="20"/>
          <w:color w:val="auto"/>
        </w:rPr>
      </w:pPr>
    </w:p>
    <w:p>
      <w:pPr>
        <w:ind w:left="500" w:hanging="290"/>
        <w:spacing w:after="0"/>
        <w:tabs>
          <w:tab w:leader="none" w:pos="5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(1) 52.203-6, Restrictions on Subcontractor Sales to the Government (Sept 2006), with Alternate I (Oct 1995) (41 U.S.C. 4704 and 10 U.S.C.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2402).</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 (2) 52.203-13, Contractor Code of Business Ethics and Conduct (OCT 2015) (41 U.S.C. 3509).</w:t>
      </w:r>
    </w:p>
    <w:p>
      <w:pPr>
        <w:spacing w:after="0" w:line="225" w:lineRule="exact"/>
        <w:rPr>
          <w:sz w:val="20"/>
          <w:szCs w:val="20"/>
          <w:color w:val="auto"/>
        </w:rPr>
      </w:pPr>
    </w:p>
    <w:p>
      <w:pPr>
        <w:ind w:right="300" w:firstLine="210"/>
        <w:spacing w:after="0" w:line="277" w:lineRule="auto"/>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(3) 52.203-15, Whistleblower Protections under the American Recovery and Reinvestment Act of 2009 (JUN 2010) (Section 1553 of Pub. L. 111-5). (Applies to contracts funded by the American Recovery and Reinvestment Act of 2009.)</w:t>
      </w:r>
    </w:p>
    <w:p>
      <w:pPr>
        <w:spacing w:after="0" w:line="170" w:lineRule="exact"/>
        <w:rPr>
          <w:sz w:val="20"/>
          <w:szCs w:val="20"/>
          <w:color w:val="auto"/>
        </w:rPr>
      </w:pPr>
    </w:p>
    <w:p>
      <w:pPr>
        <w:ind w:left="220" w:right="340" w:hanging="10"/>
        <w:spacing w:after="0" w:line="500" w:lineRule="auto"/>
        <w:tabs>
          <w:tab w:leader="none" w:pos="51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(4) 52.204–10, Reporting Executive Compensation and First-Tier Subcontract Awards (OCT 2016) (Pub. L. 109–282) (31 U.S.C. 6101 note). [ ] (5) [Reserved]</w:t>
      </w:r>
    </w:p>
    <w:p>
      <w:pPr>
        <w:ind w:left="220"/>
        <w:spacing w:after="0"/>
        <w:rPr>
          <w:rFonts w:ascii="Arial" w:cs="Arial" w:eastAsia="Arial" w:hAnsi="Arial"/>
          <w:sz w:val="18"/>
          <w:szCs w:val="18"/>
          <w:color w:val="auto"/>
        </w:rPr>
      </w:pPr>
      <w:r>
        <w:rPr>
          <w:rFonts w:ascii="Arial" w:cs="Arial" w:eastAsia="Arial" w:hAnsi="Arial"/>
          <w:sz w:val="18"/>
          <w:szCs w:val="18"/>
          <w:color w:val="auto"/>
        </w:rPr>
        <w:t>[  ] (6) 52.204–14, Service Contract Reporting Requirements (OCT 2016) (Pub. L. 111–117, section 743 of Div. C).</w:t>
      </w:r>
    </w:p>
    <w:p>
      <w:pPr>
        <w:spacing w:after="0" w:line="225" w:lineRule="exact"/>
        <w:rPr>
          <w:sz w:val="20"/>
          <w:szCs w:val="20"/>
          <w:color w:val="auto"/>
        </w:rPr>
      </w:pPr>
    </w:p>
    <w:p>
      <w:pPr>
        <w:ind w:left="460" w:hanging="250"/>
        <w:spacing w:after="0"/>
        <w:tabs>
          <w:tab w:leader="none" w:pos="46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 (7) 52.204–15, Service Contract Reporting Requirements for Indefinite-Delivery Contracts (OCT 2016) (Pub. L. 111–117, section 743 of Div.</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 of 57</w:t>
      </w:r>
    </w:p>
    <w:p>
      <w:pPr>
        <w:sectPr>
          <w:pgSz w:w="11900" w:h="16838" w:orient="portrait"/>
          <w:cols w:equalWidth="0" w:num="1">
            <w:col w:w="11000"/>
          </w:cols>
          <w:pgMar w:left="460" w:top="253" w:right="439" w:bottom="1440" w:gutter="0" w:footer="0" w:header="0"/>
        </w:sectPr>
      </w:pPr>
    </w:p>
    <w:bookmarkStart w:id="545" w:name="page546"/>
    <w:bookmarkEnd w:id="545"/>
    <w:p>
      <w:pPr>
        <w:ind w:left="-210" w:right="100" w:firstLine="210"/>
        <w:spacing w:after="0" w:line="277" w:lineRule="auto"/>
        <w:tabs>
          <w:tab w:leader="none" w:pos="304" w:val="left"/>
        </w:tabs>
        <w:numPr>
          <w:ilvl w:val="0"/>
          <w:numId w:val="5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52.209-6, Protecting the Government’s Interest When Subcontracting with Contractors Debarred, Suspended, or Proposed for Debarment. (OCT 2015) (31 U.S.C. 6101 note).</w:t>
      </w:r>
    </w:p>
    <w:p>
      <w:pPr>
        <w:spacing w:after="0" w:line="170" w:lineRule="exact"/>
        <w:rPr>
          <w:sz w:val="20"/>
          <w:szCs w:val="20"/>
          <w:color w:val="auto"/>
        </w:rPr>
      </w:pPr>
    </w:p>
    <w:p>
      <w:pPr>
        <w:ind w:left="10" w:right="1640" w:hanging="10"/>
        <w:spacing w:after="0" w:line="500" w:lineRule="auto"/>
        <w:tabs>
          <w:tab w:leader="none" w:pos="30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(9) 52.209-9, Updates of Publicly Available Information Regarding Responsibility Matters (Jul 2013) (41 U.S.C. 2313). [ ] (10) [Reserved]</w:t>
      </w:r>
    </w:p>
    <w:p>
      <w:pPr>
        <w:ind w:left="10" w:right="2860"/>
        <w:spacing w:after="0" w:line="500" w:lineRule="auto"/>
        <w:rPr>
          <w:rFonts w:ascii="Arial" w:cs="Arial" w:eastAsia="Arial" w:hAnsi="Arial"/>
          <w:sz w:val="18"/>
          <w:szCs w:val="18"/>
          <w:color w:val="auto"/>
        </w:rPr>
      </w:pPr>
      <w:r>
        <w:rPr>
          <w:rFonts w:ascii="Arial" w:cs="Arial" w:eastAsia="Arial" w:hAnsi="Arial"/>
          <w:sz w:val="18"/>
          <w:szCs w:val="18"/>
          <w:color w:val="auto"/>
        </w:rPr>
        <w:t>[ ] (11)(i) 52.219-3, Notice of HUBZone Set-Aside or Sole-Source Award (NOV 2011) (15 U.S.C. 657a). [ ] (ii) Alternate I (NOV 2011) of 52.219-3.</w:t>
      </w:r>
    </w:p>
    <w:p>
      <w:pPr>
        <w:spacing w:after="0" w:line="1" w:lineRule="exact"/>
        <w:rPr>
          <w:sz w:val="20"/>
          <w:szCs w:val="20"/>
          <w:color w:val="auto"/>
        </w:rPr>
      </w:pPr>
    </w:p>
    <w:p>
      <w:pPr>
        <w:ind w:left="-210" w:firstLine="210"/>
        <w:spacing w:after="0" w:line="277" w:lineRule="auto"/>
        <w:tabs>
          <w:tab w:leader="none" w:pos="249"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(12)(i) 52.219-4, Notice of Price Evaluation Preference for HUBZone Small Business Concerns (OCT 2014) (if the offeror elects to waive the preference, it shall so indicate in its offer) (15 U.S.C. 657a).</w:t>
      </w:r>
    </w:p>
    <w:p>
      <w:pPr>
        <w:spacing w:after="0" w:line="170" w:lineRule="exact"/>
        <w:rPr>
          <w:sz w:val="20"/>
          <w:szCs w:val="20"/>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 Alternate I (JAN 2011) of 52.219-4.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(13) [Reserved]</w:t>
      </w:r>
    </w:p>
    <w:p>
      <w:pPr>
        <w:spacing w:after="0" w:line="224"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[X] (14)(i) 52.219-6, Notice of Total Small Business Set-Aside (NOV 2011) (15 U.S.C. 644).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 Alternate I (NOV 2011).</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(iii) Alternate II (NOV 2011).</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(15)(i) 52.219-7, Notice of Partial Small Business Set-Aside (June 2003) (15 U.S.C. 644).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 Alternate I (Oct 1995) of 52.219-7.</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(iii) Alternate II (Mar 2004) of 52.219-7.</w:t>
      </w:r>
    </w:p>
    <w:p>
      <w:pPr>
        <w:spacing w:after="0" w:line="224"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[X] (16) 52.219-8, Utilization of Small Business Concerns (NOV 2016) (15 U.S.C. 637(d)(2) and (3)).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(17)(i) 52.219-9, Small Business Subcontracting Plan (JAN 2017) (15 U.S.C. 637(d)(4)).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 Alternate I (NOV 2016) of 52.219-9.</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(iii) Alternate II (NOV 2016) of 52.219-9.</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(iv) Alternate III (NOV 2016) of 52.219-9.</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(v) Alternate IV (NOV 2016) of 52.219-9.</w:t>
      </w:r>
    </w:p>
    <w:p>
      <w:pPr>
        <w:spacing w:after="0" w:line="224"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[X] (18) 52.219-13, Notice of Set-Aside of Orders (NOV 2011) (15 U.S.C. 644(r)).</w:t>
      </w:r>
    </w:p>
    <w:p>
      <w:pPr>
        <w:spacing w:after="0" w:line="224"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[X] (19) 52.219-14, Limitations on Subcontracting (JAN 2017) (15 U.S.C. 637(a)(14)).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(20) 52.219-16, Liquidated Damages—Subcontracting Plan (Jan 1999) (15 U.S.C. 637(d)(4)(F)(i)).</w:t>
      </w:r>
    </w:p>
    <w:p>
      <w:pPr>
        <w:spacing w:after="0" w:line="225" w:lineRule="exact"/>
        <w:rPr>
          <w:sz w:val="20"/>
          <w:szCs w:val="20"/>
          <w:color w:val="auto"/>
        </w:rPr>
      </w:pPr>
    </w:p>
    <w:p>
      <w:pPr>
        <w:ind w:left="4790" w:right="1780" w:hanging="4790"/>
        <w:spacing w:after="0" w:line="449" w:lineRule="auto"/>
        <w:tabs>
          <w:tab w:leader="none" w:pos="24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(21) 52.219-27, Notice of Service-Disabled Veteran-Owned Small Business Set-Aside (NOV 2011) (15 U.S.C. 657f). Page 51 of 57</w:t>
      </w:r>
    </w:p>
    <w:p>
      <w:pPr>
        <w:sectPr>
          <w:pgSz w:w="11900" w:h="16838" w:orient="portrait"/>
          <w:cols w:equalWidth="0" w:num="1">
            <w:col w:w="10570"/>
          </w:cols>
          <w:pgMar w:left="670" w:top="274" w:right="659" w:bottom="1440" w:gutter="0" w:footer="0" w:header="0"/>
        </w:sectPr>
      </w:pPr>
    </w:p>
    <w:bookmarkStart w:id="546" w:name="page547"/>
    <w:bookmarkEnd w:id="546"/>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(22) 52.219-28, Post Award Small Business Program Rerepresentation (Jul 2013) (15 U.S.C 632(a)(2)).</w:t>
      </w:r>
    </w:p>
    <w:p>
      <w:pPr>
        <w:spacing w:after="0" w:line="225" w:lineRule="exact"/>
        <w:rPr>
          <w:sz w:val="20"/>
          <w:szCs w:val="20"/>
          <w:color w:val="auto"/>
        </w:rPr>
      </w:pPr>
    </w:p>
    <w:p>
      <w:pPr>
        <w:ind w:left="460" w:hanging="250"/>
        <w:spacing w:after="0"/>
        <w:tabs>
          <w:tab w:leader="none" w:pos="46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 (23) 52.219-29, Notice of Set-Aside for, or Sole Source Award to, Economically Disadvantaged Women-Owned Small Business Concerns (DEC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 (15 U.S.C. 637(m)).</w:t>
      </w:r>
    </w:p>
    <w:p>
      <w:pPr>
        <w:spacing w:after="0" w:line="210" w:lineRule="exact"/>
        <w:rPr>
          <w:sz w:val="20"/>
          <w:szCs w:val="20"/>
          <w:color w:val="auto"/>
        </w:rPr>
      </w:pPr>
    </w:p>
    <w:p>
      <w:pPr>
        <w:ind w:right="60" w:firstLine="210"/>
        <w:spacing w:after="0" w:line="277" w:lineRule="auto"/>
        <w:tabs>
          <w:tab w:leader="none" w:pos="4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(24) 52.219-30, Notice of Set-Aside for, or Sole Source Award to, Women-Owned Small Business Concerns Eligible Under the Women-Owned Small Business Program (DEC 2015) (15 U.S.C. 637(m)).</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 (25) 52.222-3, Convict Labor (June 2003) (E.O. 11755).</w:t>
      </w:r>
    </w:p>
    <w:p>
      <w:pPr>
        <w:spacing w:after="0" w:line="225" w:lineRule="exact"/>
        <w:rPr>
          <w:sz w:val="20"/>
          <w:szCs w:val="20"/>
          <w:color w:val="auto"/>
        </w:rPr>
      </w:pPr>
    </w:p>
    <w:p>
      <w:pPr>
        <w:ind w:left="220" w:right="3020" w:hanging="10"/>
        <w:spacing w:after="0" w:line="500" w:lineRule="auto"/>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(26) 52.222–19, Child Labor—Cooperation with Authorities and Remedies (OCT 2016) (E.O. 13126). [X] (27) 52.222-21, Prohibition of Segregated Facilities (APR 2015).</w:t>
      </w:r>
    </w:p>
    <w:p>
      <w:pPr>
        <w:ind w:left="220"/>
        <w:spacing w:after="0"/>
        <w:rPr>
          <w:rFonts w:ascii="Arial" w:cs="Arial" w:eastAsia="Arial" w:hAnsi="Arial"/>
          <w:sz w:val="18"/>
          <w:szCs w:val="18"/>
          <w:color w:val="auto"/>
        </w:rPr>
      </w:pPr>
      <w:r>
        <w:rPr>
          <w:rFonts w:ascii="Arial" w:cs="Arial" w:eastAsia="Arial" w:hAnsi="Arial"/>
          <w:sz w:val="18"/>
          <w:szCs w:val="18"/>
          <w:color w:val="auto"/>
        </w:rPr>
        <w:t>[X] (28) 52.222–26, Equal Opportunity (SEP 2016) (E.O. 11246).</w:t>
      </w:r>
    </w:p>
    <w:p>
      <w:pPr>
        <w:spacing w:after="0" w:line="22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[X] (29) 52.222-35, Equal Opportunity for Veterans (OCT 2015) (38 U.S.C. 4212).</w:t>
      </w:r>
    </w:p>
    <w:p>
      <w:pPr>
        <w:spacing w:after="0" w:line="22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[X] (30) 52.222-36, Equal Opportunity for Workers with Disabilities (JUL 2014) (29 U.S.C. 793).</w:t>
      </w:r>
    </w:p>
    <w:p>
      <w:pPr>
        <w:spacing w:after="0" w:line="22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[X] (31) 52.222-37, Employment Reports on Veterans (FEB 2016) (38 U.S.C. 4212).</w:t>
      </w:r>
    </w:p>
    <w:p>
      <w:pPr>
        <w:spacing w:after="0" w:line="22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[X] (32) 52.222-40, Notification of Employee Rights Under the National Labor Relations Act (DEC 2010) (E.O. 13496).</w:t>
      </w:r>
    </w:p>
    <w:p>
      <w:pPr>
        <w:spacing w:after="0" w:line="22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[X] (33)(i) 52.222-50, Combating Trafficking in Persons (MAR 2015) (22 U.S.C. chapter 78 and E.O. 13627).</w:t>
      </w:r>
    </w:p>
    <w:p>
      <w:pPr>
        <w:spacing w:after="0" w:line="224" w:lineRule="exact"/>
        <w:rPr>
          <w:rFonts w:ascii="Arial" w:cs="Arial" w:eastAsia="Arial" w:hAnsi="Arial"/>
          <w:sz w:val="18"/>
          <w:szCs w:val="18"/>
          <w:color w:val="auto"/>
        </w:rPr>
      </w:pPr>
    </w:p>
    <w:p>
      <w:pPr>
        <w:ind w:left="460" w:hanging="250"/>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(ii) Alternate I (MAR 2015) of 52.222-50 (22 U.S.C. chapter 78 and E.O. 13627).</w:t>
      </w:r>
    </w:p>
    <w:p>
      <w:pPr>
        <w:spacing w:after="0" w:line="225" w:lineRule="exact"/>
        <w:rPr>
          <w:sz w:val="20"/>
          <w:szCs w:val="20"/>
          <w:color w:val="auto"/>
        </w:rPr>
      </w:pPr>
    </w:p>
    <w:p>
      <w:pPr>
        <w:ind w:right="280" w:firstLine="210"/>
        <w:spacing w:after="0" w:line="277" w:lineRule="auto"/>
        <w:tabs>
          <w:tab w:leader="none" w:pos="51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(34) 52.222-54, Employment Eligibility Verification (OCT 2015). (E. O. 12989). (Not applicable to the acquisition of commercially available off-the-shelf items or certain other types of commercial items as prescribed in 22.1803.)</w:t>
      </w:r>
    </w:p>
    <w:p>
      <w:pPr>
        <w:spacing w:after="0" w:line="170" w:lineRule="exact"/>
        <w:rPr>
          <w:sz w:val="20"/>
          <w:szCs w:val="20"/>
          <w:color w:val="auto"/>
        </w:rPr>
      </w:pPr>
    </w:p>
    <w:p>
      <w:pPr>
        <w:ind w:right="20" w:firstLine="210"/>
        <w:spacing w:after="0" w:line="341" w:lineRule="auto"/>
        <w:tabs>
          <w:tab w:leader="none" w:pos="4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(35) 52.222-59, Compliance with Labor Laws (Executive Order 13673) (OCT 2016). (Applies at $50 million for solicitations and resultant contracts issued from October 25, 2016 through April 24, 2017; applies at $500,000 for solicitations and resultant contracts issued after April 24, 2017).</w:t>
      </w:r>
    </w:p>
    <w:p>
      <w:pPr>
        <w:spacing w:after="0" w:line="121" w:lineRule="exact"/>
        <w:rPr>
          <w:sz w:val="20"/>
          <w:szCs w:val="20"/>
          <w:color w:val="auto"/>
        </w:rPr>
      </w:pPr>
    </w:p>
    <w:p>
      <w:pPr>
        <w:jc w:val="both"/>
        <w:ind w:right="40" w:firstLine="220"/>
        <w:spacing w:after="0" w:line="266" w:lineRule="auto"/>
        <w:rPr>
          <w:sz w:val="20"/>
          <w:szCs w:val="20"/>
          <w:color w:val="auto"/>
        </w:rPr>
      </w:pPr>
      <w:r>
        <w:rPr>
          <w:rFonts w:ascii="Arial" w:cs="Arial" w:eastAsia="Arial" w:hAnsi="Arial"/>
          <w:sz w:val="18"/>
          <w:szCs w:val="18"/>
          <w:b w:val="1"/>
          <w:bCs w:val="1"/>
          <w:color w:val="auto"/>
        </w:rPr>
        <w:t>Note to paragraph (b)(35)</w:t>
      </w:r>
      <w:r>
        <w:rPr>
          <w:rFonts w:ascii="Arial" w:cs="Arial" w:eastAsia="Arial" w:hAnsi="Arial"/>
          <w:sz w:val="18"/>
          <w:szCs w:val="18"/>
          <w:color w:val="auto"/>
        </w:rPr>
        <w:t>: By a court order issued on October 24, 2016, 52.222-59 is enjoined indefinitely as of the date of the order. The enjoined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paragraph will become effective immediately if the court terminates the injunction. At that time, DoD, GSA, and NASA will publish a document in the </w:t>
      </w:r>
      <w:r>
        <w:rPr>
          <w:rFonts w:ascii="Arial" w:cs="Arial" w:eastAsia="Arial" w:hAnsi="Arial"/>
          <w:sz w:val="18"/>
          <w:szCs w:val="18"/>
          <w:b w:val="1"/>
          <w:bCs w:val="1"/>
          <w:color w:val="auto"/>
        </w:rPr>
        <w:t xml:space="preserve">Federal Register </w:t>
      </w:r>
      <w:r>
        <w:rPr>
          <w:rFonts w:ascii="Arial" w:cs="Arial" w:eastAsia="Arial" w:hAnsi="Arial"/>
          <w:sz w:val="18"/>
          <w:szCs w:val="18"/>
          <w:color w:val="auto"/>
        </w:rPr>
        <w:t>advising the public of the termination of the injunction.</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 (36) 52.222-60, Paycheck Transparency (Executive Order 13673) (OCT 2016).</w:t>
      </w:r>
    </w:p>
    <w:p>
      <w:pPr>
        <w:spacing w:after="0" w:line="225" w:lineRule="exact"/>
        <w:rPr>
          <w:sz w:val="20"/>
          <w:szCs w:val="20"/>
          <w:color w:val="auto"/>
        </w:rPr>
      </w:pPr>
    </w:p>
    <w:p>
      <w:pPr>
        <w:ind w:right="240" w:firstLine="210"/>
        <w:spacing w:after="0" w:line="277" w:lineRule="auto"/>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(37)(i) 52.223-9, Estimate of Percentage of Recovered Material Content for EPA-Designated Items (May 2008) (42 U.S.C.6962(c)(3)(A)(ii)). (Not applicable to the acquisition of commercially available off-the-shelf items.)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 of 57</w:t>
      </w:r>
    </w:p>
    <w:p>
      <w:pPr>
        <w:sectPr>
          <w:pgSz w:w="11900" w:h="16838" w:orient="portrait"/>
          <w:cols w:equalWidth="0" w:num="1">
            <w:col w:w="10960"/>
          </w:cols>
          <w:pgMar w:left="460" w:top="274" w:right="479" w:bottom="1440" w:gutter="0" w:footer="0" w:header="0"/>
        </w:sectPr>
      </w:pPr>
    </w:p>
    <w:bookmarkStart w:id="547" w:name="page548"/>
    <w:bookmarkEnd w:id="547"/>
    <w:p>
      <w:pPr>
        <w:ind w:left="10"/>
        <w:spacing w:after="0"/>
        <w:tabs>
          <w:tab w:leader="none" w:pos="22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6"/>
          <w:szCs w:val="16"/>
          <w:color w:val="auto"/>
        </w:rPr>
        <w:t>] (38) 52.223-11, Ozone-Depleting Substances and High Global Warming Potential Hydrofluorocarbons (JUN 2016) (E.O. 13693).</w:t>
      </w:r>
    </w:p>
    <w:p>
      <w:pPr>
        <w:spacing w:after="0" w:line="225" w:lineRule="exact"/>
        <w:rPr>
          <w:sz w:val="20"/>
          <w:szCs w:val="20"/>
          <w:color w:val="auto"/>
        </w:rPr>
      </w:pPr>
    </w:p>
    <w:p>
      <w:pPr>
        <w:ind w:left="10"/>
        <w:spacing w:after="0"/>
        <w:tabs>
          <w:tab w:leader="none" w:pos="229"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(39) 52.223-12, Maintenance, Service, Repair, or Disposal of Refrigeration Equipment and Air Conditioners (JUN 2016) (E.O. 13693).</w:t>
      </w:r>
    </w:p>
    <w:p>
      <w:pPr>
        <w:spacing w:after="0" w:line="225" w:lineRule="exact"/>
        <w:rPr>
          <w:sz w:val="20"/>
          <w:szCs w:val="20"/>
          <w:color w:val="auto"/>
        </w:rPr>
      </w:pPr>
    </w:p>
    <w:p>
      <w:pPr>
        <w:ind w:left="-210" w:right="180" w:firstLine="210"/>
        <w:spacing w:after="0" w:line="277" w:lineRule="auto"/>
        <w:tabs>
          <w:tab w:leader="none" w:pos="249"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(ii) Alternate I (MAY 2008) of 52.223-9 (42 U.S.C. 6962(i)(2)(C)). (Not applicable to the acquisition of commercially available off-the-shelf items.)</w:t>
      </w:r>
    </w:p>
    <w:p>
      <w:pPr>
        <w:spacing w:after="0" w:line="170" w:lineRule="exact"/>
        <w:rPr>
          <w:sz w:val="20"/>
          <w:szCs w:val="20"/>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(40)(i) 52.223-13, Acquisition of EPEAT</w:t>
      </w:r>
      <w:r>
        <w:rPr>
          <w:rFonts w:ascii="Arial" w:cs="Arial" w:eastAsia="Arial" w:hAnsi="Arial"/>
          <w:sz w:val="15"/>
          <w:szCs w:val="15"/>
          <w:color w:val="auto"/>
        </w:rPr>
        <w:t>®</w:t>
      </w:r>
      <w:r>
        <w:rPr>
          <w:rFonts w:ascii="Arial" w:cs="Arial" w:eastAsia="Arial" w:hAnsi="Arial"/>
          <w:sz w:val="18"/>
          <w:szCs w:val="18"/>
          <w:color w:val="auto"/>
        </w:rPr>
        <w:t>-Registered Imaging Equipment (JUN 2014) (E.O.s 13423 and 13514).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(ii) Alternate I (OCT 2015) of 52.223-13.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(41)(i) 52.223-14, Acquisition of EPEAT</w:t>
      </w:r>
      <w:r>
        <w:rPr>
          <w:rFonts w:ascii="Arial" w:cs="Arial" w:eastAsia="Arial" w:hAnsi="Arial"/>
          <w:sz w:val="15"/>
          <w:szCs w:val="15"/>
          <w:color w:val="auto"/>
        </w:rPr>
        <w:t>®</w:t>
      </w:r>
      <w:r>
        <w:rPr>
          <w:rFonts w:ascii="Arial" w:cs="Arial" w:eastAsia="Arial" w:hAnsi="Arial"/>
          <w:sz w:val="18"/>
          <w:szCs w:val="18"/>
          <w:color w:val="auto"/>
        </w:rPr>
        <w:t>-Registered Televisions (JUN 2014) (E.O.s 13423 and 13514).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(ii) Alternate I (JUN 2014) of 52.223-14.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(42) 52.223-15, Energy Efficiency in Energy-Consuming Products (DEC 2007)(42 U.S.C. 8259b).</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(43)(i) 52.223-16, Acquisition of EPEAT</w:t>
      </w:r>
      <w:r>
        <w:rPr>
          <w:rFonts w:ascii="Arial" w:cs="Arial" w:eastAsia="Arial" w:hAnsi="Arial"/>
          <w:sz w:val="15"/>
          <w:szCs w:val="15"/>
          <w:color w:val="auto"/>
        </w:rPr>
        <w:t>®</w:t>
      </w:r>
      <w:r>
        <w:rPr>
          <w:rFonts w:ascii="Arial" w:cs="Arial" w:eastAsia="Arial" w:hAnsi="Arial"/>
          <w:sz w:val="18"/>
          <w:szCs w:val="18"/>
          <w:color w:val="auto"/>
        </w:rPr>
        <w:t>-Registered Personal Computer Products (OCT 2015) (E.O.s 13423 and 13514).</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(ii) Alternate I (JUN 2014) of 52.223-16.</w:t>
      </w:r>
    </w:p>
    <w:p>
      <w:pPr>
        <w:spacing w:after="0" w:line="224"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[X] (44) 52.223-18, Encouraging Contractor Policies to Ban Text Messaging While Driving (AUG 2011)</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(45) 52.223-20, Aerosols (JUN 2016) (E.O. 13693).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(46) 52.223-21, Foams (JUN 2016) (E.O. 13693).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(47) (i) 52.224-3, Privacy Training (JAN 2017) (5 U.S.C. 552a).</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(ii) Alternate I (JAN 2017) of 52.224-3.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(48) 52.225-1, Buy American—Supplies (MAY 2014) (41 U.S.C. chapter 83).</w:t>
      </w:r>
    </w:p>
    <w:p>
      <w:pPr>
        <w:spacing w:after="0" w:line="225" w:lineRule="exact"/>
        <w:rPr>
          <w:sz w:val="20"/>
          <w:szCs w:val="20"/>
          <w:color w:val="auto"/>
        </w:rPr>
      </w:pPr>
    </w:p>
    <w:p>
      <w:pPr>
        <w:ind w:left="-210" w:firstLine="210"/>
        <w:spacing w:after="0" w:line="263" w:lineRule="auto"/>
        <w:tabs>
          <w:tab w:leader="none" w:pos="249"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(49)(i) 52.225-3, Buy American—Free Trade Agreements—Israeli Trade Act (MAY 2014) (41 U.S.C. chapter 83, 19 U.S.C. 3301 note, 19 U.S.C. 2112 note, 19 U.S.C. 3805 note, 19 U.S.C. 4001 note, Pub. L. 103-182, 108-77, 108-78, 108-286, 108-302, 109-53, 109-169, 109-283, 110-138, 112-41, 112¬42, and 112-43.</w:t>
      </w:r>
    </w:p>
    <w:p>
      <w:pPr>
        <w:spacing w:after="0" w:line="183" w:lineRule="exact"/>
        <w:rPr>
          <w:sz w:val="20"/>
          <w:szCs w:val="20"/>
          <w:color w:val="auto"/>
        </w:rPr>
      </w:pPr>
    </w:p>
    <w:p>
      <w:pPr>
        <w:ind w:left="250" w:hanging="250"/>
        <w:spacing w:after="0"/>
        <w:tabs>
          <w:tab w:leader="none" w:pos="25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(ii) Alternate I (MAY 2014) of 52.225-3.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(iii) Alternate II (MAY 2014) of 52.225-3.</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(iv) Alternate III (MAY 2014) of 52.225-3.</w:t>
      </w:r>
    </w:p>
    <w:p>
      <w:pPr>
        <w:spacing w:after="0" w:line="225" w:lineRule="exact"/>
        <w:rPr>
          <w:sz w:val="20"/>
          <w:szCs w:val="20"/>
          <w:color w:val="auto"/>
        </w:rPr>
      </w:pPr>
    </w:p>
    <w:p>
      <w:pPr>
        <w:ind w:left="4790" w:right="3540" w:hanging="4790"/>
        <w:spacing w:after="0" w:line="449" w:lineRule="auto"/>
        <w:tabs>
          <w:tab w:leader="none" w:pos="24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(50) 52.225–5, Trade Agreements (OCT 2016) (19 U.S.C. 2501, et seq., 19 U.S.C. 3301 note). Page 53 of 57</w:t>
      </w:r>
    </w:p>
    <w:p>
      <w:pPr>
        <w:sectPr>
          <w:pgSz w:w="11900" w:h="16838" w:orient="portrait"/>
          <w:cols w:equalWidth="0" w:num="1">
            <w:col w:w="10670"/>
          </w:cols>
          <w:pgMar w:left="670" w:top="274" w:right="559" w:bottom="1440" w:gutter="0" w:footer="0" w:header="0"/>
        </w:sectPr>
      </w:pPr>
    </w:p>
    <w:bookmarkStart w:id="548" w:name="page549"/>
    <w:bookmarkEnd w:id="548"/>
    <w:p>
      <w:pPr>
        <w:ind w:left="-40" w:firstLine="210"/>
        <w:spacing w:after="0" w:line="277" w:lineRule="auto"/>
        <w:tabs>
          <w:tab w:leader="none" w:pos="475" w:val="left"/>
        </w:tabs>
        <w:numPr>
          <w:ilvl w:val="0"/>
          <w:numId w:val="5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 52.225-13, Restrictions on Certain Foreign Purchases (JUN 2008) (E.O.’s, proclamations, and statutes administered by the Office of Foreign Assets Control of the Department of the Treasury).</w:t>
      </w:r>
    </w:p>
    <w:p>
      <w:pPr>
        <w:spacing w:after="0" w:line="170" w:lineRule="exact"/>
        <w:rPr>
          <w:sz w:val="20"/>
          <w:szCs w:val="20"/>
          <w:color w:val="auto"/>
        </w:rPr>
      </w:pPr>
    </w:p>
    <w:p>
      <w:pPr>
        <w:ind w:left="-40" w:right="340" w:firstLine="210"/>
        <w:spacing w:after="0" w:line="277" w:lineRule="auto"/>
        <w:tabs>
          <w:tab w:leader="none" w:pos="4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(52) 52.225–26, Contractors Performing Private Security Functions Outside the United States (OCT 2016) (Section 862, as amended, of the National Defense Authorization Act for Fiscal Year 2008; 10 U.S.C. 2302 Note).</w:t>
      </w:r>
    </w:p>
    <w:p>
      <w:pPr>
        <w:spacing w:after="0" w:line="170" w:lineRule="exact"/>
        <w:rPr>
          <w:sz w:val="20"/>
          <w:szCs w:val="20"/>
          <w:color w:val="auto"/>
        </w:rPr>
      </w:pPr>
    </w:p>
    <w:p>
      <w:pPr>
        <w:ind w:left="18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(53) 52.226-4, Notice of Disaster or Emergency Area Set-Aside (Nov 2007) (42 U.S.C. 5150).</w:t>
      </w:r>
    </w:p>
    <w:p>
      <w:pPr>
        <w:spacing w:after="0" w:line="225" w:lineRule="exact"/>
        <w:rPr>
          <w:sz w:val="20"/>
          <w:szCs w:val="20"/>
          <w:color w:val="auto"/>
        </w:rPr>
      </w:pPr>
    </w:p>
    <w:p>
      <w:pPr>
        <w:ind w:left="18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(54) 52.226-5, Restrictions on Subcontracting Outside Disaster or Emergency Area (Nov 2007) (42 U.S.C. 5150).</w:t>
      </w:r>
    </w:p>
    <w:p>
      <w:pPr>
        <w:spacing w:after="0" w:line="225" w:lineRule="exact"/>
        <w:rPr>
          <w:sz w:val="20"/>
          <w:szCs w:val="20"/>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(55) 52.232-29, Terms for Financing of Purchases of Commercial Items (Feb 2002) (41 U.S.C. 4505, 10 U.S.C. 2307(f)).</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(56) 52.232-30, Installment Payments for Commercial Items (JAN 2017) (41 U.S.C. 4505, 10 U.S.C. 2307(f)).</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(57) 52.232-33, Payment by Electronic Funds Transfer—System for Award Management (Jul 2013) (31 U.S.C. 3332).</w:t>
      </w:r>
    </w:p>
    <w:p>
      <w:pPr>
        <w:spacing w:after="0" w:line="224"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[X] (58) 52.232-34, Payment by Electronic Funds Transfer—Other than System for Award Management (Jul 2013) (31 U.S.C. 3332).</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(59) 52.232-36, Payment by Third Party (MAY 2014) (31 U.S.C. 3332).</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(60) 52.239-1, Privacy or Security Safeguards (Aug 1996) (5 U.S.C. 552a).</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(61) 52.242-5, Payments to Small Business Subcontractors (JAN 2017)(15 U.S.C. 637(d)(12)).</w:t>
      </w:r>
    </w:p>
    <w:p>
      <w:pPr>
        <w:spacing w:after="0" w:line="224" w:lineRule="exact"/>
        <w:rPr>
          <w:rFonts w:ascii="Arial" w:cs="Arial" w:eastAsia="Arial" w:hAnsi="Arial"/>
          <w:sz w:val="18"/>
          <w:szCs w:val="18"/>
          <w:color w:val="auto"/>
        </w:rPr>
      </w:pPr>
    </w:p>
    <w:p>
      <w:pPr>
        <w:ind w:left="420" w:hanging="250"/>
        <w:spacing w:after="0"/>
        <w:tabs>
          <w:tab w:leader="none" w:pos="42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 (62)(i) 52.247-64, Preference for Privately Owned U.S.-Flag Commercial Vessels (Feb 2006) (46 U.S.C. Appx. 1241(b) and 10 U.S.C. 2631).</w:t>
      </w:r>
    </w:p>
    <w:p>
      <w:pPr>
        <w:spacing w:after="0" w:line="247" w:lineRule="exact"/>
        <w:rPr>
          <w:rFonts w:ascii="Arial" w:cs="Arial" w:eastAsia="Arial" w:hAnsi="Arial"/>
          <w:sz w:val="16"/>
          <w:szCs w:val="16"/>
          <w:color w:val="auto"/>
        </w:rPr>
      </w:pPr>
    </w:p>
    <w:p>
      <w:pPr>
        <w:ind w:left="420" w:hanging="250"/>
        <w:spacing w:after="0"/>
        <w:tabs>
          <w:tab w:leader="none" w:pos="4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(ii) Alternate I (Apr 2003) of 52.247-64.</w:t>
      </w:r>
    </w:p>
    <w:p>
      <w:pPr>
        <w:spacing w:after="0" w:line="225" w:lineRule="exact"/>
        <w:rPr>
          <w:sz w:val="20"/>
          <w:szCs w:val="20"/>
          <w:color w:val="auto"/>
        </w:rPr>
      </w:pPr>
    </w:p>
    <w:p>
      <w:pPr>
        <w:ind w:left="-40" w:right="480" w:firstLine="210"/>
        <w:spacing w:after="0" w:line="263" w:lineRule="auto"/>
        <w:tabs>
          <w:tab w:leader="none" w:pos="42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pPr>
        <w:spacing w:after="0" w:line="183" w:lineRule="exact"/>
        <w:rPr>
          <w:sz w:val="20"/>
          <w:szCs w:val="20"/>
          <w:color w:val="auto"/>
        </w:rPr>
      </w:pPr>
    </w:p>
    <w:p>
      <w:pPr>
        <w:ind w:left="420" w:hanging="250"/>
        <w:spacing w:after="0"/>
        <w:tabs>
          <w:tab w:leader="none" w:pos="4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(1) 52.222-17, Nondisplacement of Qualified Workers (MAY 2014) (E.O. 13495).</w:t>
      </w:r>
    </w:p>
    <w:p>
      <w:pPr>
        <w:spacing w:after="0" w:line="224"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[X] (2) 52.222-41, Service Contract Labor Standards (MAY 2014) (41 U.S.C. chapter 67).</w:t>
      </w:r>
    </w:p>
    <w:p>
      <w:pPr>
        <w:spacing w:after="0" w:line="224"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[X] (3) 52.222-42, Statement of Equivalent Rates for Federal Hires (MAY 2014) (29 U.S.C. 206 and 41 U.S.C. chapter 67).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right="80" w:firstLine="210"/>
        <w:spacing w:after="0" w:line="277" w:lineRule="auto"/>
        <w:tabs>
          <w:tab w:leader="none" w:pos="47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(4) 52.222-43, Fair Labor Standards Act and Service Contract Labor Standards—Price Adjustment (Multiple Year and Option Contracts) (MAY 2014) (29 U.S.C. 206 and 41 U.S.C. chapter 67).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 of 57</w:t>
      </w:r>
    </w:p>
    <w:p>
      <w:pPr>
        <w:sectPr>
          <w:pgSz w:w="11900" w:h="16838" w:orient="portrait"/>
          <w:cols w:equalWidth="0" w:num="1">
            <w:col w:w="10920"/>
          </w:cols>
          <w:pgMar w:left="500" w:top="273" w:right="479" w:bottom="1440" w:gutter="0" w:footer="0" w:header="0"/>
        </w:sectPr>
      </w:pPr>
    </w:p>
    <w:bookmarkStart w:id="549" w:name="page550"/>
    <w:bookmarkEnd w:id="549"/>
    <w:p>
      <w:pPr>
        <w:ind w:right="180" w:firstLine="210"/>
        <w:spacing w:after="0" w:line="277" w:lineRule="auto"/>
        <w:tabs>
          <w:tab w:leader="none" w:pos="4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(5) 52.222-44, Fair Labor Standards Act and Service Contract Labor Standards—Price Adjustment (MAY 2014) (29 U.S.C 206 and 41 U.S.C. chapter 67).</w:t>
      </w:r>
    </w:p>
    <w:p>
      <w:pPr>
        <w:spacing w:after="0" w:line="170" w:lineRule="exact"/>
        <w:rPr>
          <w:sz w:val="20"/>
          <w:szCs w:val="20"/>
          <w:color w:val="auto"/>
        </w:rPr>
      </w:pPr>
    </w:p>
    <w:p>
      <w:pPr>
        <w:ind w:right="300" w:firstLine="210"/>
        <w:spacing w:after="0" w:line="277" w:lineRule="auto"/>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(6) 52.222-51, Exemption from Application of the Service Contract Labor Standards to Contracts for Maintenance, Calibration, or Repair of Certain Equipment—Requirements (MAY 2014) (41 U.S.C. chapter 67).</w:t>
      </w:r>
    </w:p>
    <w:p>
      <w:pPr>
        <w:spacing w:after="0" w:line="170" w:lineRule="exact"/>
        <w:rPr>
          <w:sz w:val="20"/>
          <w:szCs w:val="20"/>
          <w:color w:val="auto"/>
        </w:rPr>
      </w:pPr>
    </w:p>
    <w:p>
      <w:pPr>
        <w:ind w:left="460" w:hanging="250"/>
        <w:spacing w:after="0"/>
        <w:tabs>
          <w:tab w:leader="none" w:pos="4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(7) 52.222-53, Exemption from Application of the Service Contract Labor Standards to Contracts for Certain Services—Requirements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2014) (41 U.S.C. chapter 67).</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 (8) 52.222-55, Minimum Wages Under Executive Order 13658 (DEC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 (9) 52.222-62, Paid Sick Leave Under Executive Order 13706 (JAN 2017) (E.O. 13706).</w:t>
      </w:r>
    </w:p>
    <w:p>
      <w:pPr>
        <w:spacing w:after="0" w:line="225" w:lineRule="exact"/>
        <w:rPr>
          <w:sz w:val="20"/>
          <w:szCs w:val="20"/>
          <w:color w:val="auto"/>
        </w:rPr>
      </w:pPr>
    </w:p>
    <w:p>
      <w:pPr>
        <w:ind w:left="460" w:hanging="250"/>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(10) 52.226-6, Promoting Excess Food Donation to Nonprofit Organizations (MAY 2014) (42 U.S.C. 1792).</w:t>
      </w:r>
    </w:p>
    <w:p>
      <w:pPr>
        <w:spacing w:after="0" w:line="224" w:lineRule="exact"/>
        <w:rPr>
          <w:rFonts w:ascii="Arial" w:cs="Arial" w:eastAsia="Arial" w:hAnsi="Arial"/>
          <w:sz w:val="18"/>
          <w:szCs w:val="18"/>
          <w:color w:val="auto"/>
        </w:rPr>
      </w:pPr>
    </w:p>
    <w:p>
      <w:pPr>
        <w:ind w:left="460" w:hanging="250"/>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(11) 52.237-11, Accepting and Dispensing of $1 Coin (SEP 2008) (31 U.S.C. 5112(p)(1)).</w:t>
      </w:r>
    </w:p>
    <w:p>
      <w:pPr>
        <w:spacing w:after="0" w:line="225" w:lineRule="exact"/>
        <w:rPr>
          <w:sz w:val="20"/>
          <w:szCs w:val="20"/>
          <w:color w:val="auto"/>
        </w:rPr>
      </w:pPr>
    </w:p>
    <w:p>
      <w:pPr>
        <w:ind w:right="120" w:firstLine="210"/>
        <w:spacing w:after="0" w:line="263" w:lineRule="auto"/>
        <w:tabs>
          <w:tab w:leader="none" w:pos="47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Comptroller General Examination of Record. The Contractor shall comply with the provisions of this paragraph (d) if this contract was awarded using other than sealed bid, is in excess of the simplified acquisition threshold, and does not contain the clause at 52.215-2, Audit and Records— Negotiation.</w:t>
      </w:r>
    </w:p>
    <w:p>
      <w:pPr>
        <w:spacing w:after="0" w:line="182" w:lineRule="exact"/>
        <w:rPr>
          <w:rFonts w:ascii="Arial" w:cs="Arial" w:eastAsia="Arial" w:hAnsi="Arial"/>
          <w:sz w:val="18"/>
          <w:szCs w:val="18"/>
          <w:color w:val="auto"/>
        </w:rPr>
      </w:pPr>
    </w:p>
    <w:p>
      <w:pPr>
        <w:ind w:right="300" w:firstLine="430"/>
        <w:spacing w:after="0" w:line="277" w:lineRule="auto"/>
        <w:tabs>
          <w:tab w:leader="none" w:pos="695"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69" w:lineRule="exact"/>
        <w:rPr>
          <w:rFonts w:ascii="Arial" w:cs="Arial" w:eastAsia="Arial" w:hAnsi="Arial"/>
          <w:sz w:val="18"/>
          <w:szCs w:val="18"/>
          <w:color w:val="auto"/>
        </w:rPr>
      </w:pPr>
    </w:p>
    <w:p>
      <w:pPr>
        <w:ind w:right="60" w:firstLine="430"/>
        <w:spacing w:after="0" w:line="296" w:lineRule="auto"/>
        <w:tabs>
          <w:tab w:leader="none" w:pos="695" w:val="left"/>
        </w:tabs>
        <w:numPr>
          <w:ilvl w:val="1"/>
          <w:numId w:val="530"/>
        </w:numPr>
        <w:rPr>
          <w:rFonts w:ascii="Arial" w:cs="Arial" w:eastAsia="Arial" w:hAnsi="Arial"/>
          <w:sz w:val="16"/>
          <w:szCs w:val="16"/>
          <w:color w:val="auto"/>
        </w:rPr>
      </w:pPr>
      <w:r>
        <w:rPr>
          <w:rFonts w:ascii="Arial" w:cs="Arial" w:eastAsia="Arial" w:hAnsi="Arial"/>
          <w:sz w:val="16"/>
          <w:szCs w:val="16"/>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160" w:lineRule="exact"/>
        <w:rPr>
          <w:rFonts w:ascii="Arial" w:cs="Arial" w:eastAsia="Arial" w:hAnsi="Arial"/>
          <w:sz w:val="16"/>
          <w:szCs w:val="16"/>
          <w:color w:val="auto"/>
        </w:rPr>
      </w:pPr>
    </w:p>
    <w:p>
      <w:pPr>
        <w:ind w:right="100" w:firstLine="430"/>
        <w:spacing w:after="0" w:line="263" w:lineRule="auto"/>
        <w:tabs>
          <w:tab w:leader="none" w:pos="695"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83" w:lineRule="exact"/>
        <w:rPr>
          <w:sz w:val="20"/>
          <w:szCs w:val="20"/>
          <w:color w:val="auto"/>
        </w:rPr>
      </w:pPr>
    </w:p>
    <w:p>
      <w:pPr>
        <w:ind w:firstLine="220"/>
        <w:spacing w:after="0" w:line="263" w:lineRule="auto"/>
        <w:rPr>
          <w:sz w:val="20"/>
          <w:szCs w:val="20"/>
          <w:color w:val="auto"/>
        </w:rPr>
      </w:pPr>
      <w:r>
        <w:rPr>
          <w:rFonts w:ascii="Arial" w:cs="Arial" w:eastAsia="Arial" w:hAnsi="Arial"/>
          <w:sz w:val="18"/>
          <w:szCs w:val="18"/>
          <w:color w:val="auto"/>
        </w:rPr>
        <w:t>(e)(1) 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pPr>
        <w:spacing w:after="0" w:line="183" w:lineRule="exact"/>
        <w:rPr>
          <w:sz w:val="20"/>
          <w:szCs w:val="20"/>
          <w:color w:val="auto"/>
        </w:rPr>
      </w:pPr>
    </w:p>
    <w:p>
      <w:pPr>
        <w:ind w:left="860" w:hanging="209"/>
        <w:spacing w:after="0"/>
        <w:tabs>
          <w:tab w:leader="none" w:pos="8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52.203-13, Contractor Code of Business Ethics and Conduct (OCT 2015) (41 U.S.C. 3509).</w:t>
      </w:r>
    </w:p>
    <w:p>
      <w:pPr>
        <w:spacing w:after="0" w:line="224" w:lineRule="exact"/>
        <w:rPr>
          <w:rFonts w:ascii="Arial" w:cs="Arial" w:eastAsia="Arial" w:hAnsi="Arial"/>
          <w:sz w:val="18"/>
          <w:szCs w:val="18"/>
          <w:color w:val="auto"/>
        </w:rPr>
      </w:pPr>
    </w:p>
    <w:p>
      <w:pPr>
        <w:ind w:right="280" w:firstLine="651"/>
        <w:spacing w:after="0" w:line="263" w:lineRule="auto"/>
        <w:tabs>
          <w:tab w:leader="none" w:pos="92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55 of 57</w:t>
      </w:r>
    </w:p>
    <w:p>
      <w:pPr>
        <w:sectPr>
          <w:pgSz w:w="11900" w:h="16838" w:orient="portrait"/>
          <w:cols w:equalWidth="0" w:num="1">
            <w:col w:w="10960"/>
          </w:cols>
          <w:pgMar w:left="460" w:top="274" w:right="479" w:bottom="1440" w:gutter="0" w:footer="0" w:header="0"/>
        </w:sectPr>
      </w:pPr>
    </w:p>
    <w:bookmarkStart w:id="550" w:name="page551"/>
    <w:bookmarkEnd w:id="550"/>
    <w:p>
      <w:pPr>
        <w:ind w:right="660" w:firstLine="651"/>
        <w:spacing w:after="0" w:line="277" w:lineRule="auto"/>
        <w:tabs>
          <w:tab w:leader="none" w:pos="975" w:val="left"/>
        </w:tabs>
        <w:numPr>
          <w:ilvl w:val="0"/>
          <w:numId w:val="5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52.219-8, Utilization of Small Business Concerns (NOV 2016) (15 U.S.C. 637(d)(2) and (3)), in all subcontracts that offer further subcontracting opportunities.</w:t>
      </w:r>
    </w:p>
    <w:p>
      <w:pPr>
        <w:spacing w:after="0" w:line="169" w:lineRule="exact"/>
        <w:rPr>
          <w:rFonts w:ascii="Arial" w:cs="Arial" w:eastAsia="Arial" w:hAnsi="Arial"/>
          <w:sz w:val="18"/>
          <w:szCs w:val="18"/>
          <w:color w:val="auto"/>
        </w:rPr>
      </w:pPr>
    </w:p>
    <w:p>
      <w:pPr>
        <w:ind w:right="260" w:firstLine="651"/>
        <w:spacing w:after="0" w:line="277" w:lineRule="auto"/>
        <w:tabs>
          <w:tab w:leader="none" w:pos="96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52.222-17, Nondisplacement of Qualified Workers (MAY 2014) (E.O. 13495). Flow down required in accordance with paragraph (l) of FAR clause 52.222-17.</w:t>
      </w:r>
    </w:p>
    <w:p>
      <w:pPr>
        <w:spacing w:after="0" w:line="169" w:lineRule="exact"/>
        <w:rPr>
          <w:rFonts w:ascii="Arial" w:cs="Arial" w:eastAsia="Arial" w:hAnsi="Arial"/>
          <w:sz w:val="18"/>
          <w:szCs w:val="18"/>
          <w:color w:val="auto"/>
        </w:rPr>
      </w:pPr>
    </w:p>
    <w:p>
      <w:pPr>
        <w:ind w:left="900" w:hanging="249"/>
        <w:spacing w:after="0"/>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52.222-21, Prohibition of Segregated Facilities (APR 2015).</w:t>
      </w:r>
    </w:p>
    <w:p>
      <w:pPr>
        <w:spacing w:after="0" w:line="224" w:lineRule="exact"/>
        <w:rPr>
          <w:rFonts w:ascii="Arial" w:cs="Arial" w:eastAsia="Arial" w:hAnsi="Arial"/>
          <w:sz w:val="18"/>
          <w:szCs w:val="18"/>
          <w:color w:val="auto"/>
        </w:rPr>
      </w:pPr>
    </w:p>
    <w:p>
      <w:pPr>
        <w:ind w:left="960" w:hanging="309"/>
        <w:spacing w:after="0"/>
        <w:tabs>
          <w:tab w:leader="none" w:pos="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52.222–26, Equal Opportunity (SEP 2016) (E.O. 11246).</w:t>
      </w:r>
    </w:p>
    <w:p>
      <w:pPr>
        <w:spacing w:after="0" w:line="224" w:lineRule="exact"/>
        <w:rPr>
          <w:rFonts w:ascii="Arial" w:cs="Arial" w:eastAsia="Arial" w:hAnsi="Arial"/>
          <w:sz w:val="18"/>
          <w:szCs w:val="18"/>
          <w:color w:val="auto"/>
        </w:rPr>
      </w:pPr>
    </w:p>
    <w:p>
      <w:pPr>
        <w:ind w:left="1000" w:hanging="349"/>
        <w:spacing w:after="0"/>
        <w:tabs>
          <w:tab w:leader="none" w:pos="10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52.222-35, Equal Opportunity for Veterans (OCT 2015) (38 U.S.C. 4212).</w:t>
      </w:r>
    </w:p>
    <w:p>
      <w:pPr>
        <w:spacing w:after="0" w:line="224" w:lineRule="exact"/>
        <w:rPr>
          <w:rFonts w:ascii="Arial" w:cs="Arial" w:eastAsia="Arial" w:hAnsi="Arial"/>
          <w:sz w:val="18"/>
          <w:szCs w:val="18"/>
          <w:color w:val="auto"/>
        </w:rPr>
      </w:pPr>
    </w:p>
    <w:p>
      <w:pPr>
        <w:ind w:left="1060" w:hanging="409"/>
        <w:spacing w:after="0"/>
        <w:tabs>
          <w:tab w:leader="none" w:pos="10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52.222-36, Equal Opportunity for Workers with Disabilities (JUL 2014) (29 U.S.C. 793).</w:t>
      </w:r>
    </w:p>
    <w:p>
      <w:pPr>
        <w:spacing w:after="0" w:line="224" w:lineRule="exact"/>
        <w:rPr>
          <w:rFonts w:ascii="Arial" w:cs="Arial" w:eastAsia="Arial" w:hAnsi="Arial"/>
          <w:sz w:val="18"/>
          <w:szCs w:val="18"/>
          <w:color w:val="auto"/>
        </w:rPr>
      </w:pPr>
    </w:p>
    <w:p>
      <w:pPr>
        <w:ind w:left="960" w:hanging="309"/>
        <w:spacing w:after="0"/>
        <w:tabs>
          <w:tab w:leader="none" w:pos="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52.222-37, Employment Reports on Veterans (FEB 2016) (38 U.S.C. 4212).</w:t>
      </w:r>
    </w:p>
    <w:p>
      <w:pPr>
        <w:spacing w:after="0" w:line="224" w:lineRule="exact"/>
        <w:rPr>
          <w:rFonts w:ascii="Arial" w:cs="Arial" w:eastAsia="Arial" w:hAnsi="Arial"/>
          <w:sz w:val="18"/>
          <w:szCs w:val="18"/>
          <w:color w:val="auto"/>
        </w:rPr>
      </w:pPr>
    </w:p>
    <w:p>
      <w:pPr>
        <w:ind w:right="300" w:firstLine="651"/>
        <w:spacing w:after="0" w:line="277" w:lineRule="auto"/>
        <w:tabs>
          <w:tab w:leader="none" w:pos="91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52.222-40, Notification of Employee Rights Under the National Labor Relations Act (DEC 2010) (E.O. 13496). Flow down required in accordance with paragraph (f) of FAR clause 52.222-40.</w:t>
      </w:r>
    </w:p>
    <w:p>
      <w:pPr>
        <w:spacing w:after="0" w:line="169" w:lineRule="exact"/>
        <w:rPr>
          <w:rFonts w:ascii="Arial" w:cs="Arial" w:eastAsia="Arial" w:hAnsi="Arial"/>
          <w:sz w:val="18"/>
          <w:szCs w:val="18"/>
          <w:color w:val="auto"/>
        </w:rPr>
      </w:pPr>
    </w:p>
    <w:p>
      <w:pPr>
        <w:ind w:left="960" w:hanging="309"/>
        <w:spacing w:after="0"/>
        <w:tabs>
          <w:tab w:leader="none" w:pos="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52.222-41, Service Contract Labor Standards (MAY 2014) (41 U.S.C. chapter 67).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(xii)(A) 52.222-50, Combating Trafficking in Persons (MAR 2015) (22 U.S.C. chapter 78 and E.O. 13627).</w:t>
      </w:r>
    </w:p>
    <w:p>
      <w:pPr>
        <w:spacing w:after="0" w:line="225" w:lineRule="exact"/>
        <w:rPr>
          <w:sz w:val="20"/>
          <w:szCs w:val="20"/>
          <w:color w:val="auto"/>
        </w:rPr>
      </w:pPr>
    </w:p>
    <w:p>
      <w:pPr>
        <w:ind w:left="1140" w:hanging="269"/>
        <w:spacing w:after="0"/>
        <w:tabs>
          <w:tab w:leader="none" w:pos="11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Alternate I (MAR 2015) of 52.222-50 (22 U.S.C. chapter 78 and E.O. 13627).</w:t>
      </w:r>
    </w:p>
    <w:p>
      <w:pPr>
        <w:spacing w:after="0" w:line="224" w:lineRule="exact"/>
        <w:rPr>
          <w:rFonts w:ascii="Arial" w:cs="Arial" w:eastAsia="Arial" w:hAnsi="Arial"/>
          <w:sz w:val="18"/>
          <w:szCs w:val="18"/>
          <w:color w:val="auto"/>
        </w:rPr>
      </w:pPr>
    </w:p>
    <w:p>
      <w:pPr>
        <w:ind w:right="60" w:firstLine="651"/>
        <w:spacing w:after="0" w:line="277" w:lineRule="auto"/>
        <w:tabs>
          <w:tab w:leader="none" w:pos="106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52.222-51, Exemption from Application of the Service Contract Labor Standards to Contracts for Maintenance, Calibration, or Repair of Certain Equipment—Requirements (MAY 2014) (41 U.S.C. chapter 67).</w:t>
      </w:r>
    </w:p>
    <w:p>
      <w:pPr>
        <w:spacing w:after="0" w:line="169" w:lineRule="exact"/>
        <w:rPr>
          <w:rFonts w:ascii="Arial" w:cs="Arial" w:eastAsia="Arial" w:hAnsi="Arial"/>
          <w:sz w:val="18"/>
          <w:szCs w:val="18"/>
          <w:color w:val="auto"/>
        </w:rPr>
      </w:pPr>
    </w:p>
    <w:p>
      <w:pPr>
        <w:ind w:firstLine="651"/>
        <w:spacing w:after="0" w:line="277" w:lineRule="auto"/>
        <w:tabs>
          <w:tab w:leader="none" w:pos="105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52.222-53, Exemption from Application of the Service Contract Labor Standards to Contracts for Certain Services—Requirements (MAY 2014) (41 U.S.C. chapter 67).</w:t>
      </w:r>
    </w:p>
    <w:p>
      <w:pPr>
        <w:spacing w:after="0" w:line="169" w:lineRule="exact"/>
        <w:rPr>
          <w:rFonts w:ascii="Arial" w:cs="Arial" w:eastAsia="Arial" w:hAnsi="Arial"/>
          <w:sz w:val="18"/>
          <w:szCs w:val="18"/>
          <w:color w:val="auto"/>
        </w:rPr>
      </w:pPr>
    </w:p>
    <w:p>
      <w:pPr>
        <w:ind w:left="1000" w:hanging="349"/>
        <w:spacing w:after="0"/>
        <w:tabs>
          <w:tab w:leader="none" w:pos="10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52.222-54, Employment Eligibility Verification (OCT 2015) (E. O. 12989).</w:t>
      </w:r>
    </w:p>
    <w:p>
      <w:pPr>
        <w:spacing w:after="0" w:line="224" w:lineRule="exact"/>
        <w:rPr>
          <w:rFonts w:ascii="Arial" w:cs="Arial" w:eastAsia="Arial" w:hAnsi="Arial"/>
          <w:sz w:val="18"/>
          <w:szCs w:val="18"/>
          <w:color w:val="auto"/>
        </w:rPr>
      </w:pPr>
    </w:p>
    <w:p>
      <w:pPr>
        <w:ind w:left="1040" w:hanging="389"/>
        <w:spacing w:after="0"/>
        <w:tabs>
          <w:tab w:leader="none" w:pos="10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52.222-55, Minimum Wages Under Executive Order 13658 (DEC 2015).</w:t>
      </w:r>
    </w:p>
    <w:p>
      <w:pPr>
        <w:spacing w:after="0" w:line="224" w:lineRule="exact"/>
        <w:rPr>
          <w:rFonts w:ascii="Arial" w:cs="Arial" w:eastAsia="Arial" w:hAnsi="Arial"/>
          <w:sz w:val="18"/>
          <w:szCs w:val="18"/>
          <w:color w:val="auto"/>
        </w:rPr>
      </w:pPr>
    </w:p>
    <w:p>
      <w:pPr>
        <w:ind w:right="20" w:firstLine="651"/>
        <w:spacing w:after="0" w:line="341" w:lineRule="auto"/>
        <w:tabs>
          <w:tab w:leader="none" w:pos="110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52.222-59, Compliance with Labor Laws (Executive Order 13673) (OCT 2016) (Applies at $50 million for solicitations and resultant contracts issued from October 25, 2016 through April 24, 2017; applies at $500,000 for solicitations and resultant contracts issued after April 24, 2017).</w:t>
      </w:r>
    </w:p>
    <w:p>
      <w:pPr>
        <w:spacing w:after="0" w:line="121"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Note to paragraph (e)(1)(xvii)</w:t>
      </w:r>
      <w:r>
        <w:rPr>
          <w:rFonts w:ascii="Arial" w:cs="Arial" w:eastAsia="Arial" w:hAnsi="Arial"/>
          <w:sz w:val="18"/>
          <w:szCs w:val="18"/>
          <w:color w:val="auto"/>
        </w:rPr>
        <w:t>: By a court order issued on October 24, 2016, 52.222-59 is enjoined indefinitely as of the date of the order.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enjoined paragraph will become effective immediately if the court terminates the injunction. At that time, DoD, GSA, and NASA will publish a document in the </w:t>
      </w:r>
      <w:r>
        <w:rPr>
          <w:rFonts w:ascii="Arial" w:cs="Arial" w:eastAsia="Arial" w:hAnsi="Arial"/>
          <w:sz w:val="18"/>
          <w:szCs w:val="18"/>
          <w:b w:val="1"/>
          <w:bCs w:val="1"/>
          <w:color w:val="auto"/>
        </w:rPr>
        <w:t>Federal Register</w:t>
      </w:r>
      <w:r>
        <w:rPr>
          <w:rFonts w:ascii="Arial" w:cs="Arial" w:eastAsia="Arial" w:hAnsi="Arial"/>
          <w:sz w:val="18"/>
          <w:szCs w:val="18"/>
          <w:color w:val="auto"/>
        </w:rPr>
        <w:t xml:space="preserve"> advising the public of the termination of the injunction.</w:t>
      </w:r>
    </w:p>
    <w:p>
      <w:pPr>
        <w:spacing w:after="0" w:line="179" w:lineRule="exact"/>
        <w:rPr>
          <w:sz w:val="20"/>
          <w:szCs w:val="20"/>
          <w:color w:val="auto"/>
        </w:rPr>
      </w:pPr>
    </w:p>
    <w:p>
      <w:pPr>
        <w:ind w:left="1140" w:hanging="489"/>
        <w:spacing w:after="0"/>
        <w:tabs>
          <w:tab w:leader="none" w:pos="11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52.222-60, Paycheck Transparency (Executive Order 13673) (OCT 2016)).</w:t>
      </w:r>
    </w:p>
    <w:p>
      <w:pPr>
        <w:spacing w:after="0" w:line="224" w:lineRule="exact"/>
        <w:rPr>
          <w:rFonts w:ascii="Arial" w:cs="Arial" w:eastAsia="Arial" w:hAnsi="Arial"/>
          <w:sz w:val="18"/>
          <w:szCs w:val="18"/>
          <w:color w:val="auto"/>
        </w:rPr>
      </w:pPr>
    </w:p>
    <w:p>
      <w:pPr>
        <w:ind w:left="5000" w:right="3820" w:hanging="4349"/>
        <w:spacing w:after="0" w:line="449" w:lineRule="auto"/>
        <w:tabs>
          <w:tab w:leader="none" w:pos="104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52.222-62 Paid Sick Leave Under Executive Order 13706 (JAN 2017) (E.O. 13706). Page 56 of 57</w:t>
      </w:r>
    </w:p>
    <w:p>
      <w:pPr>
        <w:sectPr>
          <w:pgSz w:w="11900" w:h="16838" w:orient="portrait"/>
          <w:cols w:equalWidth="0" w:num="1">
            <w:col w:w="10960"/>
          </w:cols>
          <w:pgMar w:left="460" w:top="274" w:right="479" w:bottom="1440" w:gutter="0" w:footer="0" w:header="0"/>
        </w:sectPr>
      </w:pPr>
    </w:p>
    <w:bookmarkStart w:id="551" w:name="page552"/>
    <w:bookmarkEnd w:id="551"/>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(xx)(A) 52.224-3, Privacy Training (JAN 2017) (5 U.S.C. 552a).</w:t>
      </w:r>
    </w:p>
    <w:p>
      <w:pPr>
        <w:spacing w:after="0" w:line="225" w:lineRule="exact"/>
        <w:rPr>
          <w:sz w:val="20"/>
          <w:szCs w:val="20"/>
          <w:color w:val="auto"/>
        </w:rPr>
      </w:pPr>
    </w:p>
    <w:p>
      <w:pPr>
        <w:ind w:left="1160" w:hanging="289"/>
        <w:spacing w:after="0"/>
        <w:tabs>
          <w:tab w:leader="none" w:pos="1160" w:val="left"/>
        </w:tabs>
        <w:numPr>
          <w:ilvl w:val="2"/>
          <w:numId w:val="536"/>
        </w:numPr>
        <w:rPr>
          <w:rFonts w:ascii="Arial" w:cs="Arial" w:eastAsia="Arial" w:hAnsi="Arial"/>
          <w:sz w:val="18"/>
          <w:szCs w:val="18"/>
          <w:color w:val="auto"/>
        </w:rPr>
      </w:pPr>
      <w:r>
        <w:rPr>
          <w:rFonts w:ascii="Arial" w:cs="Arial" w:eastAsia="Arial" w:hAnsi="Arial"/>
          <w:sz w:val="18"/>
          <w:szCs w:val="18"/>
          <w:color w:val="auto"/>
        </w:rPr>
        <w:t>Alternate I (JAN 2017) of 52.224-3.</w:t>
      </w:r>
    </w:p>
    <w:p>
      <w:pPr>
        <w:spacing w:after="0" w:line="224" w:lineRule="exact"/>
        <w:rPr>
          <w:rFonts w:ascii="Arial" w:cs="Arial" w:eastAsia="Arial" w:hAnsi="Arial"/>
          <w:sz w:val="18"/>
          <w:szCs w:val="18"/>
          <w:color w:val="auto"/>
        </w:rPr>
      </w:pPr>
    </w:p>
    <w:p>
      <w:pPr>
        <w:ind w:right="80" w:firstLine="651"/>
        <w:spacing w:after="0" w:line="277" w:lineRule="auto"/>
        <w:tabs>
          <w:tab w:leader="none" w:pos="1055" w:val="left"/>
        </w:tabs>
        <w:numPr>
          <w:ilvl w:val="1"/>
          <w:numId w:val="537"/>
        </w:numPr>
        <w:rPr>
          <w:rFonts w:ascii="Arial" w:cs="Arial" w:eastAsia="Arial" w:hAnsi="Arial"/>
          <w:sz w:val="18"/>
          <w:szCs w:val="18"/>
          <w:color w:val="auto"/>
        </w:rPr>
      </w:pPr>
      <w:r>
        <w:rPr>
          <w:rFonts w:ascii="Arial" w:cs="Arial" w:eastAsia="Arial" w:hAnsi="Arial"/>
          <w:sz w:val="18"/>
          <w:szCs w:val="18"/>
          <w:color w:val="auto"/>
        </w:rPr>
        <w:t>52.225–26, Contractors Performing Private Security Functions Outside the United States (OCT 2016) (Section 862, as amended, of the National Defense Authorization Act for Fiscal Year 2008; 10 U.S.C. 2302 Note).</w:t>
      </w:r>
    </w:p>
    <w:p>
      <w:pPr>
        <w:spacing w:after="0" w:line="169" w:lineRule="exact"/>
        <w:rPr>
          <w:rFonts w:ascii="Arial" w:cs="Arial" w:eastAsia="Arial" w:hAnsi="Arial"/>
          <w:sz w:val="18"/>
          <w:szCs w:val="18"/>
          <w:color w:val="auto"/>
        </w:rPr>
      </w:pPr>
    </w:p>
    <w:p>
      <w:pPr>
        <w:ind w:right="600" w:firstLine="651"/>
        <w:spacing w:after="0" w:line="277" w:lineRule="auto"/>
        <w:tabs>
          <w:tab w:leader="none" w:pos="1105" w:val="left"/>
        </w:tabs>
        <w:numPr>
          <w:ilvl w:val="1"/>
          <w:numId w:val="537"/>
        </w:numPr>
        <w:rPr>
          <w:rFonts w:ascii="Arial" w:cs="Arial" w:eastAsia="Arial" w:hAnsi="Arial"/>
          <w:sz w:val="18"/>
          <w:szCs w:val="18"/>
          <w:color w:val="auto"/>
        </w:rPr>
      </w:pPr>
      <w:r>
        <w:rPr>
          <w:rFonts w:ascii="Arial" w:cs="Arial" w:eastAsia="Arial" w:hAnsi="Arial"/>
          <w:sz w:val="18"/>
          <w:szCs w:val="18"/>
          <w:color w:val="auto"/>
        </w:rPr>
        <w:t>52.226-6, Promoting Excess Food Donation to Nonprofit Organizations (MAY 2014) (42 U.S.C. 1792). Flow down required in accordance with paragraph (e) of FAR clause 52.226-6.</w:t>
      </w:r>
    </w:p>
    <w:p>
      <w:pPr>
        <w:spacing w:after="0" w:line="169" w:lineRule="exact"/>
        <w:rPr>
          <w:rFonts w:ascii="Arial" w:cs="Arial" w:eastAsia="Arial" w:hAnsi="Arial"/>
          <w:sz w:val="18"/>
          <w:szCs w:val="18"/>
          <w:color w:val="auto"/>
        </w:rPr>
      </w:pPr>
    </w:p>
    <w:p>
      <w:pPr>
        <w:ind w:right="20" w:firstLine="651"/>
        <w:spacing w:after="0" w:line="277" w:lineRule="auto"/>
        <w:tabs>
          <w:tab w:leader="none" w:pos="1155" w:val="left"/>
        </w:tabs>
        <w:numPr>
          <w:ilvl w:val="1"/>
          <w:numId w:val="537"/>
        </w:numPr>
        <w:rPr>
          <w:rFonts w:ascii="Arial" w:cs="Arial" w:eastAsia="Arial" w:hAnsi="Arial"/>
          <w:sz w:val="18"/>
          <w:szCs w:val="18"/>
          <w:color w:val="auto"/>
        </w:rPr>
      </w:pPr>
      <w:r>
        <w:rPr>
          <w:rFonts w:ascii="Arial" w:cs="Arial" w:eastAsia="Arial" w:hAnsi="Arial"/>
          <w:sz w:val="18"/>
          <w:szCs w:val="18"/>
          <w:color w:val="auto"/>
        </w:rPr>
        <w:t>52.247-64, Preference for Privately Owned U.S.-Flag Commercial Vessels (Feb 2006) (46 U.S.C. Appx. 1241(b) and 10 U.S.C. 2631). Flow down required in accordance with paragraph (d) of FAR clause 52.247-64.</w:t>
      </w:r>
    </w:p>
    <w:p>
      <w:pPr>
        <w:spacing w:after="0" w:line="169" w:lineRule="exact"/>
        <w:rPr>
          <w:rFonts w:ascii="Arial" w:cs="Arial" w:eastAsia="Arial" w:hAnsi="Arial"/>
          <w:sz w:val="18"/>
          <w:szCs w:val="18"/>
          <w:color w:val="auto"/>
        </w:rPr>
      </w:pPr>
    </w:p>
    <w:p>
      <w:pPr>
        <w:ind w:firstLine="430"/>
        <w:spacing w:after="0" w:line="277" w:lineRule="auto"/>
        <w:tabs>
          <w:tab w:leader="none" w:pos="69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While not required, the Contractor may include in its subcontracts for commercial items a minimal number of additional clauses necessary to satisfy its contractual obligations.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(End of Clause)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C.19 MANDATORY WRITTEN DISCLOSURES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Mandatory written disclosures required by FAR clause 52.203-13 to the Department of Veterans Affairs, Office of Inspector General (OIG) must be made electronically through the VA OIG Hotline at http://www.va.gov/oig/contacts/hotline.asp and clicking on “FAR clause 52.203-13 Reporting.” If you experience difficulty accessing the website, call the Hotline at 1-800-488-8244 for further instructions.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57 of 57</w:t>
      </w:r>
    </w:p>
    <w:p>
      <w:pPr>
        <w:sectPr>
          <w:pgSz w:w="11900" w:h="16838" w:orient="portrait"/>
          <w:cols w:equalWidth="0" w:num="1">
            <w:col w:w="10840"/>
          </w:cols>
          <w:pgMar w:left="460" w:top="274" w:right="59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89445" cy="7194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989445"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 w:right="320" w:hanging="10"/>
        <w:spacing w:after="0" w:line="281" w:lineRule="auto"/>
        <w:tabs>
          <w:tab w:leader="none" w:pos="444"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16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QUOTATION FOR SUPPLY OF GENETIC ANALYSIS PRODUCTS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gridSpan w:val="2"/>
          </w:tcPr>
          <w:p>
            <w:pPr>
              <w:jc w:val="center"/>
              <w:ind w:right="1750"/>
              <w:spacing w:after="0"/>
              <w:rPr>
                <w:sz w:val="20"/>
                <w:szCs w:val="20"/>
                <w:color w:val="auto"/>
              </w:rPr>
            </w:pPr>
            <w:r>
              <w:rPr>
                <w:rFonts w:ascii="Arial" w:cs="Arial" w:eastAsia="Arial" w:hAnsi="Arial"/>
                <w:sz w:val="18"/>
                <w:szCs w:val="18"/>
                <w:color w:val="auto"/>
                <w:w w:val="89"/>
              </w:rPr>
              <w:t>Prepared by:</w:t>
            </w:r>
          </w:p>
        </w:tc>
        <w:tc>
          <w:tcPr>
            <w:tcW w:w="2740" w:type="dxa"/>
            <w:vAlign w:val="bottom"/>
          </w:tcPr>
          <w:p>
            <w:pPr>
              <w:spacing w:after="0"/>
              <w:rPr>
                <w:sz w:val="20"/>
                <w:szCs w:val="20"/>
                <w:color w:val="auto"/>
              </w:rPr>
            </w:pPr>
          </w:p>
        </w:tc>
      </w:tr>
      <w:tr>
        <w:trPr>
          <w:trHeight w:val="417"/>
        </w:trPr>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color w:val="auto"/>
                <w:w w:val="96"/>
              </w:rPr>
              <w:t>Illumina, Inc.</w:t>
            </w:r>
          </w:p>
        </w:tc>
        <w:tc>
          <w:tcPr>
            <w:tcW w:w="274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color w:val="auto"/>
                <w:w w:val="93"/>
              </w:rPr>
              <w:t>5200 Illumina Way</w:t>
            </w:r>
          </w:p>
        </w:tc>
        <w:tc>
          <w:tcPr>
            <w:tcW w:w="274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color w:val="auto"/>
                <w:w w:val="91"/>
              </w:rPr>
              <w:t>San Diego CA 92122</w:t>
            </w:r>
          </w:p>
        </w:tc>
        <w:tc>
          <w:tcPr>
            <w:tcW w:w="2740" w:type="dxa"/>
            <w:vAlign w:val="bottom"/>
          </w:tcPr>
          <w:p>
            <w:pPr>
              <w:spacing w:after="0"/>
              <w:rPr>
                <w:sz w:val="20"/>
                <w:szCs w:val="20"/>
                <w:color w:val="auto"/>
              </w:rPr>
            </w:pPr>
          </w:p>
        </w:tc>
      </w:tr>
      <w:tr>
        <w:trPr>
          <w:trHeight w:val="432"/>
        </w:trPr>
        <w:tc>
          <w:tcPr>
            <w:tcW w:w="276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Arial" w:cs="Arial" w:eastAsia="Arial" w:hAnsi="Arial"/>
                <w:sz w:val="18"/>
                <w:szCs w:val="18"/>
                <w:color w:val="auto"/>
                <w:w w:val="93"/>
              </w:rPr>
              <w:t>Hereinafter referred to as “Illumina”</w:t>
            </w:r>
          </w:p>
        </w:tc>
        <w:tc>
          <w:tcPr>
            <w:tcW w:w="274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color w:val="auto"/>
                <w:w w:val="89"/>
              </w:rPr>
              <w:t>Prepared for:</w:t>
            </w:r>
          </w:p>
        </w:tc>
        <w:tc>
          <w:tcPr>
            <w:tcW w:w="274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80" w:type="dxa"/>
            <w:vAlign w:val="bottom"/>
            <w:gridSpan w:val="2"/>
          </w:tcPr>
          <w:p>
            <w:pPr>
              <w:jc w:val="center"/>
              <w:ind w:right="1770"/>
              <w:spacing w:after="0"/>
              <w:rPr>
                <w:sz w:val="20"/>
                <w:szCs w:val="20"/>
                <w:color w:val="auto"/>
              </w:rPr>
            </w:pPr>
            <w:r>
              <w:rPr>
                <w:rFonts w:ascii="Arial" w:cs="Arial" w:eastAsia="Arial" w:hAnsi="Arial"/>
                <w:sz w:val="18"/>
                <w:szCs w:val="18"/>
                <w:b w:val="1"/>
                <w:bCs w:val="1"/>
                <w:color w:val="auto"/>
                <w:w w:val="85"/>
              </w:rPr>
              <w:t>Personalis</w:t>
            </w:r>
          </w:p>
        </w:tc>
        <w:tc>
          <w:tcPr>
            <w:tcW w:w="274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Arial" w:cs="Arial" w:eastAsia="Arial" w:hAnsi="Arial"/>
                <w:sz w:val="18"/>
                <w:szCs w:val="18"/>
                <w:color w:val="auto"/>
                <w:w w:val="92"/>
              </w:rPr>
              <w:t>Hereinafter referred to as “ Personalis ” or “Customer”</w:t>
            </w:r>
          </w:p>
        </w:tc>
        <w:tc>
          <w:tcPr>
            <w:tcW w:w="2740" w:type="dxa"/>
            <w:vAlign w:val="bottom"/>
          </w:tcPr>
          <w:p>
            <w:pPr>
              <w:spacing w:after="0"/>
              <w:rPr>
                <w:sz w:val="24"/>
                <w:szCs w:val="24"/>
                <w:color w:val="auto"/>
              </w:rPr>
            </w:pPr>
          </w:p>
        </w:tc>
      </w:tr>
      <w:tr>
        <w:trPr>
          <w:trHeight w:val="243"/>
        </w:trPr>
        <w:tc>
          <w:tcPr>
            <w:tcW w:w="2760" w:type="dxa"/>
            <w:vAlign w:val="bottom"/>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r>
      <w:tr>
        <w:trPr>
          <w:trHeight w:val="250"/>
        </w:trPr>
        <w:tc>
          <w:tcPr>
            <w:tcW w:w="2760" w:type="dxa"/>
            <w:vAlign w:val="bottom"/>
            <w:tcBorders>
              <w:right w:val="single" w:sz="8" w:color="auto"/>
            </w:tcBorders>
          </w:tcPr>
          <w:p>
            <w:pPr>
              <w:spacing w:after="0"/>
              <w:rPr>
                <w:sz w:val="21"/>
                <w:szCs w:val="21"/>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Quotation Number:</w:t>
            </w:r>
          </w:p>
        </w:tc>
        <w:tc>
          <w:tcPr>
            <w:tcW w:w="88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1"/>
                <w:szCs w:val="21"/>
                <w:color w:val="auto"/>
              </w:rPr>
            </w:pPr>
          </w:p>
        </w:tc>
      </w:tr>
      <w:tr>
        <w:trPr>
          <w:trHeight w:val="337"/>
        </w:trPr>
        <w:tc>
          <w:tcPr>
            <w:tcW w:w="2760" w:type="dxa"/>
            <w:vAlign w:val="bottom"/>
            <w:tcBorders>
              <w:right w:val="single" w:sz="8" w:color="auto"/>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Quotation Date:</w:t>
            </w:r>
          </w:p>
        </w:tc>
        <w:tc>
          <w:tcPr>
            <w:tcW w:w="8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Mar 21, 2017</w:t>
            </w:r>
          </w:p>
        </w:tc>
        <w:tc>
          <w:tcPr>
            <w:tcW w:w="2740" w:type="dxa"/>
            <w:vAlign w:val="bottom"/>
          </w:tcPr>
          <w:p>
            <w:pPr>
              <w:spacing w:after="0"/>
              <w:rPr>
                <w:sz w:val="24"/>
                <w:szCs w:val="24"/>
                <w:color w:val="auto"/>
              </w:rPr>
            </w:pPr>
          </w:p>
        </w:tc>
      </w:tr>
      <w:tr>
        <w:trPr>
          <w:trHeight w:val="337"/>
        </w:trPr>
        <w:tc>
          <w:tcPr>
            <w:tcW w:w="2760" w:type="dxa"/>
            <w:vAlign w:val="bottom"/>
            <w:tcBorders>
              <w:right w:val="single" w:sz="8" w:color="auto"/>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Expiration Date:</w:t>
            </w:r>
          </w:p>
        </w:tc>
        <w:tc>
          <w:tcPr>
            <w:tcW w:w="8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Mar 31, 2017</w:t>
            </w:r>
          </w:p>
        </w:tc>
        <w:tc>
          <w:tcPr>
            <w:tcW w:w="2740" w:type="dxa"/>
            <w:vAlign w:val="bottom"/>
          </w:tcPr>
          <w:p>
            <w:pPr>
              <w:spacing w:after="0"/>
              <w:rPr>
                <w:sz w:val="24"/>
                <w:szCs w:val="24"/>
                <w:color w:val="auto"/>
              </w:rPr>
            </w:pPr>
          </w:p>
        </w:tc>
      </w:tr>
      <w:tr>
        <w:trPr>
          <w:trHeight w:val="337"/>
        </w:trPr>
        <w:tc>
          <w:tcPr>
            <w:tcW w:w="2760" w:type="dxa"/>
            <w:vAlign w:val="bottom"/>
            <w:tcBorders>
              <w:right w:val="single" w:sz="8" w:color="auto"/>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Prepared By:</w:t>
            </w:r>
          </w:p>
        </w:tc>
        <w:tc>
          <w:tcPr>
            <w:tcW w:w="8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4"/>
                <w:szCs w:val="24"/>
                <w:color w:val="auto"/>
              </w:rPr>
            </w:pPr>
          </w:p>
        </w:tc>
      </w:tr>
      <w:tr>
        <w:trPr>
          <w:trHeight w:val="337"/>
        </w:trPr>
        <w:tc>
          <w:tcPr>
            <w:tcW w:w="2760" w:type="dxa"/>
            <w:vAlign w:val="bottom"/>
            <w:tcBorders>
              <w:right w:val="single" w:sz="8" w:color="auto"/>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Phone Number:</w:t>
            </w:r>
          </w:p>
        </w:tc>
        <w:tc>
          <w:tcPr>
            <w:tcW w:w="8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4"/>
                <w:szCs w:val="24"/>
                <w:color w:val="auto"/>
              </w:rPr>
            </w:pPr>
          </w:p>
        </w:tc>
      </w:tr>
      <w:tr>
        <w:trPr>
          <w:trHeight w:val="337"/>
        </w:trPr>
        <w:tc>
          <w:tcPr>
            <w:tcW w:w="2760" w:type="dxa"/>
            <w:vAlign w:val="bottom"/>
            <w:tcBorders>
              <w:right w:val="single" w:sz="8" w:color="auto"/>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Email:</w:t>
            </w:r>
          </w:p>
        </w:tc>
        <w:tc>
          <w:tcPr>
            <w:tcW w:w="8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4"/>
                <w:szCs w:val="24"/>
                <w:color w:val="auto"/>
              </w:rPr>
            </w:pPr>
          </w:p>
        </w:tc>
      </w:tr>
      <w:tr>
        <w:trPr>
          <w:trHeight w:val="54"/>
        </w:trPr>
        <w:tc>
          <w:tcPr>
            <w:tcW w:w="2760" w:type="dxa"/>
            <w:vAlign w:val="bottom"/>
            <w:tcBorders>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740" w:type="dxa"/>
            <w:vAlign w:val="bottom"/>
          </w:tcPr>
          <w:p>
            <w:pPr>
              <w:spacing w:after="0"/>
              <w:rPr>
                <w:sz w:val="4"/>
                <w:szCs w:val="4"/>
                <w:color w:val="auto"/>
              </w:rPr>
            </w:pPr>
          </w:p>
        </w:tc>
      </w:tr>
      <w:tr>
        <w:trPr>
          <w:trHeight w:val="155"/>
        </w:trPr>
        <w:tc>
          <w:tcPr>
            <w:tcW w:w="27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r>
    </w:tbl>
    <w:p>
      <w:pPr>
        <w:spacing w:after="0" w:line="26" w:lineRule="exact"/>
        <w:rPr>
          <w:sz w:val="20"/>
          <w:szCs w:val="20"/>
          <w:color w:val="auto"/>
        </w:rPr>
      </w:pPr>
    </w:p>
    <w:p>
      <w:pPr>
        <w:ind w:left="10190"/>
        <w:spacing w:after="0"/>
        <w:rPr>
          <w:sz w:val="20"/>
          <w:szCs w:val="20"/>
          <w:color w:val="auto"/>
        </w:rPr>
      </w:pPr>
      <w:r>
        <w:rPr>
          <w:rFonts w:ascii="Arial" w:cs="Arial" w:eastAsia="Arial" w:hAnsi="Arial"/>
          <w:sz w:val="16"/>
          <w:szCs w:val="16"/>
          <w:color w:val="auto"/>
        </w:rPr>
        <w:t>Page 1 of 6</w:t>
      </w:r>
    </w:p>
    <w:p>
      <w:pPr>
        <w:sectPr>
          <w:pgSz w:w="11900" w:h="16838" w:orient="portrait"/>
          <w:cols w:equalWidth="0" w:num="1">
            <w:col w:w="11010"/>
          </w:cols>
          <w:pgMar w:left="450" w:top="122" w:right="439" w:bottom="1440" w:gutter="0" w:footer="0" w:header="0"/>
        </w:sectPr>
      </w:pPr>
    </w:p>
    <w:bookmarkStart w:id="553" w:name="page554"/>
    <w:bookmarkEnd w:id="553"/>
    <w:tbl>
      <w:tblPr>
        <w:tblLayout w:type="fixed"/>
        <w:tblInd w:w="10" w:type="dxa"/>
        <w:tblCellMar>
          <w:top w:w="0" w:type="dxa"/>
          <w:left w:w="0" w:type="dxa"/>
          <w:bottom w:w="0" w:type="dxa"/>
          <w:right w:w="0" w:type="dxa"/>
        </w:tblCellMar>
      </w:tblPr>
      <w:tr>
        <w:trPr>
          <w:trHeight w:val="310"/>
        </w:trPr>
        <w:tc>
          <w:tcPr>
            <w:tcW w:w="2440" w:type="dxa"/>
            <w:vAlign w:val="bottom"/>
            <w:tcBorders>
              <w:left w:val="single" w:sz="8" w:color="FF9900"/>
            </w:tcBorders>
            <w:shd w:val="clear" w:color="auto" w:fill="FF9900"/>
          </w:tcPr>
          <w:p>
            <w:pPr>
              <w:spacing w:after="0"/>
              <w:rPr>
                <w:sz w:val="24"/>
                <w:szCs w:val="24"/>
                <w:color w:val="auto"/>
              </w:rPr>
            </w:pPr>
          </w:p>
        </w:tc>
        <w:tc>
          <w:tcPr>
            <w:tcW w:w="3660" w:type="dxa"/>
            <w:vAlign w:val="bottom"/>
            <w:shd w:val="clear" w:color="auto" w:fill="FF9900"/>
          </w:tcPr>
          <w:p>
            <w:pPr>
              <w:spacing w:after="0"/>
              <w:rPr>
                <w:sz w:val="24"/>
                <w:szCs w:val="24"/>
                <w:color w:val="auto"/>
              </w:rPr>
            </w:pPr>
          </w:p>
        </w:tc>
        <w:tc>
          <w:tcPr>
            <w:tcW w:w="2580" w:type="dxa"/>
            <w:vAlign w:val="bottom"/>
            <w:shd w:val="clear" w:color="auto" w:fill="FF9900"/>
          </w:tcPr>
          <w:p>
            <w:pPr>
              <w:spacing w:after="0"/>
              <w:rPr>
                <w:sz w:val="24"/>
                <w:szCs w:val="24"/>
                <w:color w:val="auto"/>
              </w:rPr>
            </w:pPr>
          </w:p>
        </w:tc>
        <w:tc>
          <w:tcPr>
            <w:tcW w:w="2320" w:type="dxa"/>
            <w:vAlign w:val="bottom"/>
            <w:shd w:val="clear" w:color="auto" w:fill="FF9900"/>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2440" w:type="dxa"/>
            <w:vAlign w:val="bottom"/>
          </w:tcPr>
          <w:p>
            <w:pPr>
              <w:spacing w:after="0" w:line="197" w:lineRule="exact"/>
              <w:rPr>
                <w:sz w:val="20"/>
                <w:szCs w:val="20"/>
                <w:color w:val="auto"/>
              </w:rPr>
            </w:pPr>
            <w:r>
              <w:rPr>
                <w:rFonts w:ascii="Arial" w:cs="Arial" w:eastAsia="Arial" w:hAnsi="Arial"/>
                <w:sz w:val="18"/>
                <w:szCs w:val="18"/>
                <w:b w:val="1"/>
                <w:bCs w:val="1"/>
                <w:color w:val="auto"/>
              </w:rPr>
              <w:t>QUOTATION NUMBER</w:t>
            </w:r>
          </w:p>
        </w:tc>
        <w:tc>
          <w:tcPr>
            <w:tcW w:w="366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2580" w:type="dxa"/>
            <w:vAlign w:val="bottom"/>
          </w:tcPr>
          <w:p>
            <w:pPr>
              <w:ind w:left="860"/>
              <w:spacing w:after="0" w:line="197" w:lineRule="exact"/>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line="19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660" w:type="dxa"/>
            <w:vAlign w:val="bottom"/>
          </w:tcPr>
          <w:p>
            <w:pPr>
              <w:ind w:left="100"/>
              <w:spacing w:after="0"/>
              <w:rPr>
                <w:sz w:val="20"/>
                <w:szCs w:val="20"/>
                <w:color w:val="auto"/>
              </w:rPr>
            </w:pPr>
            <w:r>
              <w:rPr>
                <w:rFonts w:ascii="Arial" w:cs="Arial" w:eastAsia="Arial" w:hAnsi="Arial"/>
                <w:sz w:val="18"/>
                <w:szCs w:val="18"/>
                <w:color w:val="auto"/>
              </w:rPr>
              <w:t>Mar 21, 2017</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660" w:type="dxa"/>
            <w:vAlign w:val="bottom"/>
          </w:tcPr>
          <w:p>
            <w:pPr>
              <w:ind w:left="100"/>
              <w:spacing w:after="0"/>
              <w:rPr>
                <w:sz w:val="20"/>
                <w:szCs w:val="20"/>
                <w:color w:val="auto"/>
              </w:rPr>
            </w:pPr>
            <w:r>
              <w:rPr>
                <w:rFonts w:ascii="Arial" w:cs="Arial" w:eastAsia="Arial" w:hAnsi="Arial"/>
                <w:sz w:val="18"/>
                <w:szCs w:val="18"/>
                <w:color w:val="auto"/>
              </w:rPr>
              <w:t>Mar 31, 2017</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660" w:type="dxa"/>
            <w:vAlign w:val="bottom"/>
          </w:tcPr>
          <w:p>
            <w:pPr>
              <w:ind w:left="100"/>
              <w:spacing w:after="0"/>
              <w:rPr>
                <w:sz w:val="20"/>
                <w:szCs w:val="20"/>
                <w:color w:val="auto"/>
              </w:rPr>
            </w:pPr>
            <w:r>
              <w:rPr>
                <w:rFonts w:ascii="Arial" w:cs="Arial" w:eastAsia="Arial" w:hAnsi="Arial"/>
                <w:sz w:val="18"/>
                <w:szCs w:val="18"/>
                <w:color w:val="auto"/>
              </w:rPr>
              <w:t>USD</w:t>
            </w:r>
          </w:p>
        </w:tc>
        <w:tc>
          <w:tcPr>
            <w:tcW w:w="2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8"/>
        </w:trPr>
        <w:tc>
          <w:tcPr>
            <w:tcW w:w="6100" w:type="dxa"/>
            <w:vAlign w:val="bottom"/>
            <w:tcBorders>
              <w:bottom w:val="single" w:sz="8" w:color="auto"/>
            </w:tcBorders>
            <w:gridSpan w:val="2"/>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98"/>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I. CUSTOMER INFORMATION</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4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4"/>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5"/>
              </w:rPr>
              <w:t>Company or Institution Name:</w:t>
            </w:r>
          </w:p>
        </w:tc>
        <w:tc>
          <w:tcPr>
            <w:tcW w:w="3660" w:type="dxa"/>
            <w:vAlign w:val="bottom"/>
          </w:tcPr>
          <w:p>
            <w:pPr>
              <w:ind w:left="740"/>
              <w:spacing w:after="0"/>
              <w:rPr>
                <w:sz w:val="20"/>
                <w:szCs w:val="20"/>
                <w:color w:val="auto"/>
              </w:rPr>
            </w:pPr>
            <w:r>
              <w:rPr>
                <w:rFonts w:ascii="Arial" w:cs="Arial" w:eastAsia="Arial" w:hAnsi="Arial"/>
                <w:sz w:val="18"/>
                <w:szCs w:val="18"/>
                <w:color w:val="auto"/>
              </w:rPr>
              <w:t>Personalis</w:t>
            </w:r>
          </w:p>
        </w:tc>
        <w:tc>
          <w:tcPr>
            <w:tcW w:w="2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309"/>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Customer Number:</w:t>
            </w:r>
          </w:p>
        </w:tc>
        <w:tc>
          <w:tcPr>
            <w:tcW w:w="366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09"/>
        </w:trPr>
        <w:tc>
          <w:tcPr>
            <w:tcW w:w="2440" w:type="dxa"/>
            <w:vAlign w:val="bottom"/>
            <w:tcBorders>
              <w:left w:val="single" w:sz="8" w:color="auto"/>
            </w:tcBorders>
          </w:tcPr>
          <w:p>
            <w:pPr>
              <w:spacing w:after="0"/>
              <w:rPr>
                <w:sz w:val="24"/>
                <w:szCs w:val="24"/>
                <w:color w:val="auto"/>
              </w:rPr>
            </w:pPr>
          </w:p>
        </w:tc>
        <w:tc>
          <w:tcPr>
            <w:tcW w:w="3660" w:type="dxa"/>
            <w:vAlign w:val="bottom"/>
          </w:tcPr>
          <w:p>
            <w:pPr>
              <w:ind w:left="740"/>
              <w:spacing w:after="0"/>
              <w:rPr>
                <w:sz w:val="20"/>
                <w:szCs w:val="20"/>
                <w:color w:val="auto"/>
              </w:rPr>
            </w:pPr>
            <w:r>
              <w:rPr>
                <w:rFonts w:ascii="Arial" w:cs="Arial" w:eastAsia="Arial" w:hAnsi="Arial"/>
                <w:sz w:val="18"/>
                <w:szCs w:val="18"/>
                <w:color w:val="auto"/>
              </w:rPr>
              <w:t>Personalis</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Address:</w:t>
            </w:r>
          </w:p>
        </w:tc>
        <w:tc>
          <w:tcPr>
            <w:tcW w:w="3660" w:type="dxa"/>
            <w:vAlign w:val="bottom"/>
          </w:tcPr>
          <w:p>
            <w:pPr>
              <w:ind w:left="740"/>
              <w:spacing w:after="0"/>
              <w:rPr>
                <w:sz w:val="20"/>
                <w:szCs w:val="20"/>
                <w:color w:val="auto"/>
              </w:rPr>
            </w:pPr>
            <w:r>
              <w:rPr>
                <w:rFonts w:ascii="Arial" w:cs="Arial" w:eastAsia="Arial" w:hAnsi="Arial"/>
                <w:sz w:val="18"/>
                <w:szCs w:val="18"/>
                <w:color w:val="auto"/>
              </w:rPr>
              <w:t>1330 Obrien Dr</w:t>
            </w:r>
          </w:p>
        </w:tc>
        <w:tc>
          <w:tcPr>
            <w:tcW w:w="2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0"/>
        </w:trPr>
        <w:tc>
          <w:tcPr>
            <w:tcW w:w="2440" w:type="dxa"/>
            <w:vAlign w:val="bottom"/>
            <w:tcBorders>
              <w:left w:val="single" w:sz="8" w:color="auto"/>
            </w:tcBorders>
          </w:tcPr>
          <w:p>
            <w:pPr>
              <w:spacing w:after="0"/>
              <w:rPr>
                <w:sz w:val="20"/>
                <w:szCs w:val="20"/>
                <w:color w:val="auto"/>
              </w:rPr>
            </w:pPr>
          </w:p>
        </w:tc>
        <w:tc>
          <w:tcPr>
            <w:tcW w:w="3660" w:type="dxa"/>
            <w:vAlign w:val="bottom"/>
          </w:tcPr>
          <w:p>
            <w:pPr>
              <w:ind w:left="740"/>
              <w:spacing w:after="0"/>
              <w:rPr>
                <w:sz w:val="20"/>
                <w:szCs w:val="20"/>
                <w:color w:val="auto"/>
              </w:rPr>
            </w:pPr>
            <w:r>
              <w:rPr>
                <w:rFonts w:ascii="Arial" w:cs="Arial" w:eastAsia="Arial" w:hAnsi="Arial"/>
                <w:sz w:val="18"/>
                <w:szCs w:val="18"/>
                <w:color w:val="auto"/>
              </w:rPr>
              <w:t>Menlo Park CA 94025-1436</w:t>
            </w:r>
          </w:p>
        </w:tc>
        <w:tc>
          <w:tcPr>
            <w:tcW w:w="2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337"/>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Contact Name:</w:t>
            </w:r>
          </w:p>
        </w:tc>
        <w:tc>
          <w:tcPr>
            <w:tcW w:w="366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24"/>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Phone:</w:t>
            </w:r>
          </w:p>
        </w:tc>
        <w:tc>
          <w:tcPr>
            <w:tcW w:w="366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24"/>
        </w:trPr>
        <w:tc>
          <w:tcPr>
            <w:tcW w:w="2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E-Mail:</w:t>
            </w:r>
          </w:p>
        </w:tc>
        <w:tc>
          <w:tcPr>
            <w:tcW w:w="36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289"/>
        </w:trPr>
        <w:tc>
          <w:tcPr>
            <w:tcW w:w="2440" w:type="dxa"/>
            <w:vAlign w:val="bottom"/>
            <w:tcBorders>
              <w:left w:val="single" w:sz="8" w:color="auto"/>
            </w:tcBorders>
          </w:tcPr>
          <w:p>
            <w:pPr>
              <w:spacing w:after="0"/>
              <w:rPr>
                <w:sz w:val="24"/>
                <w:szCs w:val="24"/>
                <w:color w:val="auto"/>
              </w:rPr>
            </w:pPr>
          </w:p>
        </w:tc>
        <w:tc>
          <w:tcPr>
            <w:tcW w:w="3660" w:type="dxa"/>
            <w:vAlign w:val="bottom"/>
          </w:tcPr>
          <w:p>
            <w:pPr>
              <w:ind w:left="740"/>
              <w:spacing w:after="0"/>
              <w:rPr>
                <w:sz w:val="20"/>
                <w:szCs w:val="20"/>
                <w:color w:val="auto"/>
              </w:rPr>
            </w:pPr>
            <w:r>
              <w:rPr>
                <w:rFonts w:ascii="Arial" w:cs="Arial" w:eastAsia="Arial" w:hAnsi="Arial"/>
                <w:sz w:val="18"/>
                <w:szCs w:val="18"/>
                <w:color w:val="auto"/>
              </w:rPr>
              <w:t>Personalis</w:t>
            </w:r>
          </w:p>
        </w:tc>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Shipping address:</w:t>
            </w:r>
          </w:p>
        </w:tc>
        <w:tc>
          <w:tcPr>
            <w:tcW w:w="3660" w:type="dxa"/>
            <w:vAlign w:val="bottom"/>
          </w:tcPr>
          <w:p>
            <w:pPr>
              <w:ind w:left="740"/>
              <w:spacing w:after="0"/>
              <w:rPr>
                <w:sz w:val="20"/>
                <w:szCs w:val="20"/>
                <w:color w:val="auto"/>
              </w:rPr>
            </w:pPr>
            <w:r>
              <w:rPr>
                <w:rFonts w:ascii="Arial" w:cs="Arial" w:eastAsia="Arial" w:hAnsi="Arial"/>
                <w:sz w:val="18"/>
                <w:szCs w:val="18"/>
                <w:color w:val="auto"/>
              </w:rPr>
              <w:t>1330 Obrien Dr</w:t>
            </w:r>
          </w:p>
        </w:tc>
        <w:tc>
          <w:tcPr>
            <w:tcW w:w="2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7"/>
        </w:trPr>
        <w:tc>
          <w:tcPr>
            <w:tcW w:w="2440" w:type="dxa"/>
            <w:vAlign w:val="bottom"/>
            <w:tcBorders>
              <w:left w:val="single" w:sz="8" w:color="auto"/>
              <w:bottom w:val="single" w:sz="8" w:color="auto"/>
            </w:tcBorders>
          </w:tcPr>
          <w:p>
            <w:pPr>
              <w:spacing w:after="0"/>
              <w:rPr>
                <w:sz w:val="20"/>
                <w:szCs w:val="20"/>
                <w:color w:val="auto"/>
              </w:rPr>
            </w:pPr>
          </w:p>
        </w:tc>
        <w:tc>
          <w:tcPr>
            <w:tcW w:w="36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Menlo Park CA 94025-1436</w:t>
            </w:r>
          </w:p>
        </w:tc>
        <w:tc>
          <w:tcPr>
            <w:tcW w:w="2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bl>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PRODUCT &amp; PRICING INFORMATION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80" w:type="dxa"/>
            <w:vAlign w:val="bottom"/>
            <w:tcBorders>
              <w:top w:val="single" w:sz="8" w:color="auto"/>
              <w:left w:val="single" w:sz="8" w:color="auto"/>
              <w:bottom w:val="single" w:sz="8" w:color="auto"/>
              <w:right w:val="single" w:sz="8" w:color="auto"/>
            </w:tcBorders>
            <w:shd w:val="clear" w:color="auto" w:fill="FF9900"/>
          </w:tcPr>
          <w:p>
            <w:pPr>
              <w:ind w:left="140"/>
              <w:spacing w:after="0"/>
              <w:rPr>
                <w:sz w:val="20"/>
                <w:szCs w:val="20"/>
                <w:color w:val="auto"/>
              </w:rPr>
            </w:pPr>
            <w:r>
              <w:rPr>
                <w:rFonts w:ascii="Arial" w:cs="Arial" w:eastAsia="Arial" w:hAnsi="Arial"/>
                <w:sz w:val="14"/>
                <w:szCs w:val="14"/>
                <w:b w:val="1"/>
                <w:bCs w:val="1"/>
                <w:color w:val="auto"/>
              </w:rPr>
              <w:t>Catalog#</w:t>
            </w:r>
          </w:p>
        </w:tc>
        <w:tc>
          <w:tcPr>
            <w:tcW w:w="4660" w:type="dxa"/>
            <w:vAlign w:val="bottom"/>
            <w:tcBorders>
              <w:top w:val="single" w:sz="8" w:color="auto"/>
              <w:bottom w:val="single" w:sz="8" w:color="auto"/>
              <w:right w:val="single" w:sz="8" w:color="auto"/>
            </w:tcBorders>
            <w:shd w:val="clear" w:color="auto" w:fill="FF9900"/>
          </w:tcPr>
          <w:p>
            <w:pPr>
              <w:ind w:left="1840"/>
              <w:spacing w:after="0"/>
              <w:rPr>
                <w:sz w:val="20"/>
                <w:szCs w:val="20"/>
                <w:color w:val="auto"/>
              </w:rPr>
            </w:pPr>
            <w:r>
              <w:rPr>
                <w:rFonts w:ascii="Arial" w:cs="Arial" w:eastAsia="Arial" w:hAnsi="Arial"/>
                <w:sz w:val="14"/>
                <w:szCs w:val="14"/>
                <w:b w:val="1"/>
                <w:bCs w:val="1"/>
                <w:color w:val="auto"/>
              </w:rPr>
              <w:t>Product Description</w:t>
            </w:r>
          </w:p>
        </w:tc>
        <w:tc>
          <w:tcPr>
            <w:tcW w:w="940" w:type="dxa"/>
            <w:vAlign w:val="bottom"/>
            <w:tcBorders>
              <w:top w:val="single" w:sz="8" w:color="auto"/>
              <w:bottom w:val="single" w:sz="8" w:color="auto"/>
              <w:right w:val="single" w:sz="8" w:color="auto"/>
            </w:tcBorders>
            <w:shd w:val="clear" w:color="auto" w:fill="FF9900"/>
          </w:tcPr>
          <w:p>
            <w:pPr>
              <w:jc w:val="right"/>
              <w:ind w:right="316"/>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right w:val="single" w:sz="8" w:color="auto"/>
            </w:tcBorders>
            <w:shd w:val="clear" w:color="auto" w:fill="FF9900"/>
          </w:tcPr>
          <w:p>
            <w:pPr>
              <w:jc w:val="right"/>
              <w:ind w:right="316"/>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right w:val="single" w:sz="8" w:color="auto"/>
            </w:tcBorders>
            <w:shd w:val="clear" w:color="auto" w:fill="FF9900"/>
          </w:tcPr>
          <w:p>
            <w:pPr>
              <w:jc w:val="right"/>
              <w:ind w:right="316"/>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FF9900"/>
          </w:tcPr>
          <w:p>
            <w:pPr>
              <w:spacing w:after="0"/>
              <w:rPr>
                <w:sz w:val="14"/>
                <w:szCs w:val="14"/>
                <w:color w:val="auto"/>
              </w:rPr>
            </w:pPr>
          </w:p>
        </w:tc>
        <w:tc>
          <w:tcPr>
            <w:tcW w:w="740" w:type="dxa"/>
            <w:vAlign w:val="bottom"/>
            <w:tcBorders>
              <w:top w:val="single" w:sz="8" w:color="auto"/>
              <w:bottom w:val="single" w:sz="8" w:color="auto"/>
              <w:right w:val="single" w:sz="8" w:color="auto"/>
            </w:tcBorders>
            <w:shd w:val="clear" w:color="auto" w:fill="FF9900"/>
          </w:tcPr>
          <w:p>
            <w:pPr>
              <w:jc w:val="right"/>
              <w:ind w:right="316"/>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bottom w:val="single" w:sz="8" w:color="auto"/>
              <w:right w:val="single" w:sz="8" w:color="auto"/>
            </w:tcBorders>
            <w:shd w:val="clear" w:color="auto" w:fill="FF9900"/>
          </w:tcPr>
          <w:p>
            <w:pPr>
              <w:jc w:val="right"/>
              <w:ind w:right="353"/>
              <w:spacing w:after="0"/>
              <w:rPr>
                <w:sz w:val="20"/>
                <w:szCs w:val="20"/>
                <w:color w:val="auto"/>
              </w:rPr>
            </w:pPr>
            <w:r>
              <w:rPr>
                <w:rFonts w:ascii="Arial" w:cs="Arial" w:eastAsia="Arial" w:hAnsi="Arial"/>
                <w:sz w:val="14"/>
                <w:szCs w:val="14"/>
                <w:b w:val="1"/>
                <w:bCs w:val="1"/>
                <w:color w:val="auto"/>
              </w:rPr>
              <w:t>Subtotal (USD)</w:t>
            </w:r>
          </w:p>
        </w:tc>
        <w:tc>
          <w:tcPr>
            <w:tcW w:w="0" w:type="dxa"/>
            <w:vAlign w:val="bottom"/>
          </w:tcPr>
          <w:p>
            <w:pPr>
              <w:spacing w:after="0"/>
              <w:rPr>
                <w:sz w:val="1"/>
                <w:szCs w:val="1"/>
                <w:color w:val="auto"/>
              </w:rPr>
            </w:pPr>
          </w:p>
        </w:tc>
      </w:tr>
      <w:tr>
        <w:trPr>
          <w:trHeight w:val="195"/>
        </w:trPr>
        <w:tc>
          <w:tcPr>
            <w:tcW w:w="1080" w:type="dxa"/>
            <w:vAlign w:val="bottom"/>
            <w:tcBorders>
              <w:left w:val="single" w:sz="8" w:color="auto"/>
              <w:right w:val="single" w:sz="8" w:color="auto"/>
            </w:tcBorders>
          </w:tcPr>
          <w:p>
            <w:pPr>
              <w:spacing w:after="0"/>
              <w:rPr>
                <w:sz w:val="16"/>
                <w:szCs w:val="16"/>
                <w:color w:val="auto"/>
              </w:rPr>
            </w:pPr>
          </w:p>
        </w:tc>
        <w:tc>
          <w:tcPr>
            <w:tcW w:w="4660" w:type="dxa"/>
            <w:vAlign w:val="bottom"/>
            <w:tcBorders>
              <w:right w:val="single" w:sz="8" w:color="auto"/>
            </w:tcBorders>
          </w:tcPr>
          <w:p>
            <w:pPr>
              <w:ind w:left="260"/>
              <w:spacing w:after="0" w:line="195" w:lineRule="exact"/>
              <w:rPr>
                <w:sz w:val="20"/>
                <w:szCs w:val="20"/>
                <w:color w:val="auto"/>
              </w:rPr>
            </w:pPr>
            <w:r>
              <w:rPr>
                <w:rFonts w:ascii="Arial" w:cs="Arial" w:eastAsia="Arial" w:hAnsi="Arial"/>
                <w:sz w:val="18"/>
                <w:szCs w:val="18"/>
                <w:color w:val="auto"/>
                <w:w w:val="98"/>
              </w:rPr>
              <w:t>Illumina®Product Care NovaSeq®6000 Comprehensive</w:t>
            </w: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Plan :</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Includes full coverage for parts, labor and travel; Reagent</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20016095</w:t>
            </w: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replacement upon HW failures; 1 PM; Remote Technical</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continue"/>
          </w:tcPr>
          <w:p>
            <w:pPr>
              <w:spacing w:after="0"/>
              <w:rPr>
                <w:sz w:val="10"/>
                <w:szCs w:val="10"/>
                <w:color w:val="auto"/>
              </w:rPr>
            </w:pPr>
          </w:p>
        </w:tc>
        <w:tc>
          <w:tcPr>
            <w:tcW w:w="46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w w:val="91"/>
              </w:rPr>
              <w:t>Support; 3 business day average on-site response; HW/SW</w:t>
            </w:r>
          </w:p>
        </w:tc>
        <w:tc>
          <w:tcPr>
            <w:tcW w:w="9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auto"/>
              <w:right w:val="single" w:sz="8" w:color="auto"/>
            </w:tcBorders>
          </w:tcPr>
          <w:p>
            <w:pPr>
              <w:spacing w:after="0"/>
              <w:rPr>
                <w:sz w:val="8"/>
                <w:szCs w:val="8"/>
                <w:color w:val="auto"/>
              </w:rPr>
            </w:pPr>
          </w:p>
        </w:tc>
        <w:tc>
          <w:tcPr>
            <w:tcW w:w="46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updates; On-site applications support; Discounts on</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advanced training. This is the most popular full-service plan</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balancing performance, productivity and cost.</w:t>
            </w: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080" w:type="dxa"/>
            <w:vAlign w:val="bottom"/>
            <w:tcBorders>
              <w:left w:val="single" w:sz="8" w:color="auto"/>
              <w:right w:val="single" w:sz="8" w:color="auto"/>
            </w:tcBorders>
          </w:tcPr>
          <w:p>
            <w:pPr>
              <w:spacing w:after="0"/>
              <w:rPr>
                <w:sz w:val="17"/>
                <w:szCs w:val="17"/>
                <w:color w:val="auto"/>
              </w:rPr>
            </w:pPr>
          </w:p>
        </w:tc>
        <w:tc>
          <w:tcPr>
            <w:tcW w:w="4660" w:type="dxa"/>
            <w:vAlign w:val="bottom"/>
            <w:tcBorders>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NovaSeq</w:t>
            </w:r>
            <w:r>
              <w:rPr>
                <w:rFonts w:ascii="Arial" w:cs="Arial" w:eastAsia="Arial" w:hAnsi="Arial"/>
                <w:sz w:val="15"/>
                <w:szCs w:val="15"/>
                <w:color w:val="auto"/>
              </w:rPr>
              <w:t>™</w:t>
            </w:r>
            <w:r>
              <w:rPr>
                <w:rFonts w:ascii="Arial" w:cs="Arial" w:eastAsia="Arial" w:hAnsi="Arial"/>
                <w:sz w:val="18"/>
                <w:szCs w:val="18"/>
                <w:color w:val="auto"/>
              </w:rPr>
              <w:t>6000 Sequencing System :</w:t>
            </w: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The NovaSeq 6000 Sequencing System is an integrated</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20012850</w:t>
            </w: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ultrahigh throughput system performing onboard cluster</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continue"/>
          </w:tcPr>
          <w:p>
            <w:pPr>
              <w:spacing w:after="0"/>
              <w:rPr>
                <w:sz w:val="10"/>
                <w:szCs w:val="10"/>
                <w:color w:val="auto"/>
              </w:rPr>
            </w:pPr>
          </w:p>
        </w:tc>
        <w:tc>
          <w:tcPr>
            <w:tcW w:w="46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w w:val="90"/>
              </w:rPr>
              <w:t>generation and sequencing. This system includes installation</w:t>
            </w:r>
          </w:p>
        </w:tc>
        <w:tc>
          <w:tcPr>
            <w:tcW w:w="9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auto"/>
              <w:right w:val="single" w:sz="8" w:color="auto"/>
            </w:tcBorders>
          </w:tcPr>
          <w:p>
            <w:pPr>
              <w:spacing w:after="0"/>
              <w:rPr>
                <w:sz w:val="8"/>
                <w:szCs w:val="8"/>
                <w:color w:val="auto"/>
              </w:rPr>
            </w:pPr>
          </w:p>
        </w:tc>
        <w:tc>
          <w:tcPr>
            <w:tcW w:w="46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and training and 12 months warranty (including parts and</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labor).</w:t>
            </w: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Subtotal</w:t>
            </w:r>
          </w:p>
        </w:tc>
        <w:tc>
          <w:tcPr>
            <w:tcW w:w="4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Estimated Shipping and Insurance</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w:t>
            </w:r>
          </w:p>
        </w:tc>
        <w:tc>
          <w:tcPr>
            <w:tcW w:w="4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Final Investment (including shipping and insurance)</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7620" w:type="dxa"/>
            <w:vAlign w:val="bottom"/>
            <w:gridSpan w:val="5"/>
          </w:tcPr>
          <w:p>
            <w:pPr>
              <w:ind w:left="260"/>
              <w:spacing w:after="0"/>
              <w:rPr>
                <w:sz w:val="20"/>
                <w:szCs w:val="20"/>
                <w:color w:val="auto"/>
              </w:rPr>
            </w:pPr>
            <w:r>
              <w:rPr>
                <w:rFonts w:ascii="Arial" w:cs="Arial" w:eastAsia="Arial" w:hAnsi="Arial"/>
                <w:sz w:val="18"/>
                <w:szCs w:val="18"/>
                <w:color w:val="auto"/>
                <w:w w:val="89"/>
              </w:rPr>
              <w:t>Tax is an estimate and is subject to change upon invoicing based upon the appropriate tax regulations.</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257175</wp:posOffset>
            </wp:positionV>
            <wp:extent cx="698944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Page 2 of 6</w:t>
      </w:r>
    </w:p>
    <w:p>
      <w:pPr>
        <w:sectPr>
          <w:pgSz w:w="11900" w:h="16838" w:orient="portrait"/>
          <w:cols w:equalWidth="0" w:num="1">
            <w:col w:w="11020"/>
          </w:cols>
          <w:pgMar w:left="460" w:top="288" w:right="419" w:bottom="1440" w:gutter="0" w:footer="0" w:header="0"/>
        </w:sectPr>
      </w:pPr>
    </w:p>
    <w:bookmarkStart w:id="554" w:name="page555"/>
    <w:bookmarkEnd w:id="554"/>
    <w:tbl>
      <w:tblPr>
        <w:tblLayout w:type="fixed"/>
        <w:tblInd w:w="0" w:type="dxa"/>
        <w:tblCellMar>
          <w:top w:w="0" w:type="dxa"/>
          <w:left w:w="0" w:type="dxa"/>
          <w:bottom w:w="0" w:type="dxa"/>
          <w:right w:w="0" w:type="dxa"/>
        </w:tblCellMar>
      </w:tblPr>
      <w:tr>
        <w:trPr>
          <w:trHeight w:val="310"/>
        </w:trPr>
        <w:tc>
          <w:tcPr>
            <w:tcW w:w="2240" w:type="dxa"/>
            <w:vAlign w:val="bottom"/>
            <w:shd w:val="clear" w:color="auto" w:fill="FF9900"/>
          </w:tcPr>
          <w:p>
            <w:pPr>
              <w:spacing w:after="0"/>
              <w:rPr>
                <w:sz w:val="24"/>
                <w:szCs w:val="24"/>
                <w:color w:val="auto"/>
              </w:rPr>
            </w:pPr>
          </w:p>
        </w:tc>
        <w:tc>
          <w:tcPr>
            <w:tcW w:w="3000" w:type="dxa"/>
            <w:vAlign w:val="bottom"/>
            <w:shd w:val="clear" w:color="auto" w:fill="FF9900"/>
          </w:tcPr>
          <w:p>
            <w:pPr>
              <w:spacing w:after="0"/>
              <w:rPr>
                <w:sz w:val="24"/>
                <w:szCs w:val="24"/>
                <w:color w:val="auto"/>
              </w:rPr>
            </w:pPr>
          </w:p>
        </w:tc>
        <w:tc>
          <w:tcPr>
            <w:tcW w:w="3440" w:type="dxa"/>
            <w:vAlign w:val="bottom"/>
            <w:shd w:val="clear" w:color="auto" w:fill="FF9900"/>
          </w:tcPr>
          <w:p>
            <w:pPr>
              <w:spacing w:after="0"/>
              <w:rPr>
                <w:sz w:val="24"/>
                <w:szCs w:val="24"/>
                <w:color w:val="auto"/>
              </w:rPr>
            </w:pPr>
          </w:p>
        </w:tc>
        <w:tc>
          <w:tcPr>
            <w:tcW w:w="2320" w:type="dxa"/>
            <w:vAlign w:val="bottom"/>
            <w:shd w:val="clear" w:color="auto" w:fill="FF9900"/>
          </w:tcPr>
          <w:p>
            <w:pPr>
              <w:spacing w:after="0"/>
              <w:rPr>
                <w:sz w:val="24"/>
                <w:szCs w:val="24"/>
                <w:color w:val="auto"/>
              </w:rPr>
            </w:pPr>
          </w:p>
        </w:tc>
      </w:tr>
      <w:tr>
        <w:trPr>
          <w:trHeight w:val="197"/>
        </w:trPr>
        <w:tc>
          <w:tcPr>
            <w:tcW w:w="2240" w:type="dxa"/>
            <w:vAlign w:val="bottom"/>
          </w:tcPr>
          <w:p>
            <w:pPr>
              <w:spacing w:after="0" w:line="197" w:lineRule="exact"/>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line="197" w:lineRule="exact"/>
              <w:rPr>
                <w:sz w:val="20"/>
                <w:szCs w:val="20"/>
                <w:color w:val="auto"/>
              </w:rPr>
            </w:pPr>
            <w:r>
              <w:rPr>
                <w:rFonts w:ascii="Arial" w:cs="Arial" w:eastAsia="Arial" w:hAnsi="Arial"/>
                <w:sz w:val="18"/>
                <w:szCs w:val="18"/>
                <w:color w:val="auto"/>
              </w:rPr>
              <w:t>[***]</w:t>
            </w:r>
          </w:p>
        </w:tc>
        <w:tc>
          <w:tcPr>
            <w:tcW w:w="3440" w:type="dxa"/>
            <w:vAlign w:val="bottom"/>
          </w:tcPr>
          <w:p>
            <w:pPr>
              <w:ind w:left="1720"/>
              <w:spacing w:after="0" w:line="197" w:lineRule="exact"/>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line="197" w:lineRule="exact"/>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21,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48"/>
        </w:trPr>
        <w:tc>
          <w:tcPr>
            <w:tcW w:w="22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Post Pricing Message:</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quote for Blanket PO for [***] NovaSeq 6000 instruments is offered contingent upon Personalis winning the award for the VA Million Veterans Project FY 18. Should Personalis not receive the VA’s Million Veterans Project FY 18 contract award by November 1, 2017, this Blanket PO can be cancelled at that time. Should Personalis win the the Million Veterans FY 18 award, these additional [***] NovaSeq 6000 instruments will be delivered within [***] months of the date of this Blanket Purchase Order. Reagent discount pricing will be given as outlined in the NovaSeq S2 Reagent Standing Quote [***] and in keeping with the NovaSeq S4 Reagent Agreement as signed by Illumina and Personalis. Remaining Service Contracts may be credited towards an On-Site FSE at the time that Personalis elects to covert from Comprehensive Level Product Care to On-Site FSE and an On-Site FSE is hired.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98944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000"/>
          </w:cols>
          <w:pgMar w:left="460" w:top="288" w:right="439" w:bottom="1440" w:gutter="0" w:footer="0" w:header="0"/>
        </w:sectPr>
      </w:pPr>
    </w:p>
    <w:bookmarkStart w:id="555" w:name="page556"/>
    <w:bookmarkEnd w:id="555"/>
    <w:tbl>
      <w:tblPr>
        <w:tblLayout w:type="fixed"/>
        <w:tblInd w:w="0" w:type="dxa"/>
        <w:tblCellMar>
          <w:top w:w="0" w:type="dxa"/>
          <w:left w:w="0" w:type="dxa"/>
          <w:bottom w:w="0" w:type="dxa"/>
          <w:right w:w="0" w:type="dxa"/>
        </w:tblCellMar>
      </w:tblPr>
      <w:tr>
        <w:trPr>
          <w:trHeight w:val="310"/>
        </w:trPr>
        <w:tc>
          <w:tcPr>
            <w:tcW w:w="2240" w:type="dxa"/>
            <w:vAlign w:val="bottom"/>
            <w:shd w:val="clear" w:color="auto" w:fill="FF9900"/>
          </w:tcPr>
          <w:p>
            <w:pPr>
              <w:spacing w:after="0"/>
              <w:rPr>
                <w:sz w:val="24"/>
                <w:szCs w:val="24"/>
                <w:color w:val="auto"/>
              </w:rPr>
            </w:pPr>
          </w:p>
        </w:tc>
        <w:tc>
          <w:tcPr>
            <w:tcW w:w="3000" w:type="dxa"/>
            <w:vAlign w:val="bottom"/>
            <w:shd w:val="clear" w:color="auto" w:fill="FF9900"/>
          </w:tcPr>
          <w:p>
            <w:pPr>
              <w:spacing w:after="0"/>
              <w:rPr>
                <w:sz w:val="24"/>
                <w:szCs w:val="24"/>
                <w:color w:val="auto"/>
              </w:rPr>
            </w:pPr>
          </w:p>
        </w:tc>
        <w:tc>
          <w:tcPr>
            <w:tcW w:w="3440" w:type="dxa"/>
            <w:vAlign w:val="bottom"/>
            <w:shd w:val="clear" w:color="auto" w:fill="FF9900"/>
          </w:tcPr>
          <w:p>
            <w:pPr>
              <w:spacing w:after="0"/>
              <w:rPr>
                <w:sz w:val="24"/>
                <w:szCs w:val="24"/>
                <w:color w:val="auto"/>
              </w:rPr>
            </w:pPr>
          </w:p>
        </w:tc>
        <w:tc>
          <w:tcPr>
            <w:tcW w:w="2320" w:type="dxa"/>
            <w:vAlign w:val="bottom"/>
            <w:shd w:val="clear" w:color="auto" w:fill="FF9900"/>
          </w:tcPr>
          <w:p>
            <w:pPr>
              <w:spacing w:after="0"/>
              <w:rPr>
                <w:sz w:val="24"/>
                <w:szCs w:val="24"/>
                <w:color w:val="auto"/>
              </w:rPr>
            </w:pPr>
          </w:p>
        </w:tc>
      </w:tr>
      <w:tr>
        <w:trPr>
          <w:trHeight w:val="197"/>
        </w:trPr>
        <w:tc>
          <w:tcPr>
            <w:tcW w:w="2240" w:type="dxa"/>
            <w:vAlign w:val="bottom"/>
          </w:tcPr>
          <w:p>
            <w:pPr>
              <w:spacing w:after="0" w:line="197" w:lineRule="exact"/>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line="197" w:lineRule="exact"/>
              <w:rPr>
                <w:sz w:val="20"/>
                <w:szCs w:val="20"/>
                <w:color w:val="auto"/>
              </w:rPr>
            </w:pPr>
            <w:r>
              <w:rPr>
                <w:rFonts w:ascii="Arial" w:cs="Arial" w:eastAsia="Arial" w:hAnsi="Arial"/>
                <w:sz w:val="18"/>
                <w:szCs w:val="18"/>
                <w:color w:val="auto"/>
              </w:rPr>
              <w:t>[***]</w:t>
            </w:r>
          </w:p>
        </w:tc>
        <w:tc>
          <w:tcPr>
            <w:tcW w:w="3440" w:type="dxa"/>
            <w:vAlign w:val="bottom"/>
          </w:tcPr>
          <w:p>
            <w:pPr>
              <w:ind w:left="1720"/>
              <w:spacing w:after="0" w:line="197" w:lineRule="exact"/>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line="197" w:lineRule="exact"/>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21,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48"/>
        </w:trPr>
        <w:tc>
          <w:tcPr>
            <w:tcW w:w="22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Special Condition of Sale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Customer’s purchase of this product is based on currently published specifications as provided in NovaSeq 5000/6000 Specification Sheet (http://www.illumina.com/content/dam/illumina- marketing/documents/products/datasheets/novaseq-series-specification-sheet-770-2016-025.pdf) and not conditioned on future performance characteristics or applications, whether or not realized. The determination, timing and delivery of future performance characteristics, if any, if ever, remains at Illumina’s sole discretion and customers’ rights to publicly announced upgrades and other marketed upgrades are expressly limited. Customer acknowledges it has not relied on any information outside of published specifications in making the purchase contemplated in this quotation or purchase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96520</wp:posOffset>
            </wp:positionV>
            <wp:extent cx="698944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000"/>
          </w:cols>
          <w:pgMar w:left="460" w:top="288" w:right="439" w:bottom="1440" w:gutter="0" w:footer="0" w:header="0"/>
        </w:sectPr>
      </w:pPr>
    </w:p>
    <w:bookmarkStart w:id="556" w:name="page557"/>
    <w:bookmarkEnd w:id="556"/>
    <w:tbl>
      <w:tblPr>
        <w:tblLayout w:type="fixed"/>
        <w:tblInd w:w="10" w:type="dxa"/>
        <w:tblCellMar>
          <w:top w:w="0" w:type="dxa"/>
          <w:left w:w="0" w:type="dxa"/>
          <w:bottom w:w="0" w:type="dxa"/>
          <w:right w:w="0" w:type="dxa"/>
        </w:tblCellMar>
      </w:tblPr>
      <w:tr>
        <w:trPr>
          <w:trHeight w:val="310"/>
        </w:trPr>
        <w:tc>
          <w:tcPr>
            <w:tcW w:w="2240" w:type="dxa"/>
            <w:vAlign w:val="bottom"/>
            <w:shd w:val="clear" w:color="auto" w:fill="FF9900"/>
          </w:tcPr>
          <w:p>
            <w:pPr>
              <w:spacing w:after="0"/>
              <w:rPr>
                <w:sz w:val="24"/>
                <w:szCs w:val="24"/>
                <w:color w:val="auto"/>
              </w:rPr>
            </w:pPr>
          </w:p>
        </w:tc>
        <w:tc>
          <w:tcPr>
            <w:tcW w:w="3000" w:type="dxa"/>
            <w:vAlign w:val="bottom"/>
            <w:shd w:val="clear" w:color="auto" w:fill="FF9900"/>
          </w:tcPr>
          <w:p>
            <w:pPr>
              <w:spacing w:after="0"/>
              <w:rPr>
                <w:sz w:val="24"/>
                <w:szCs w:val="24"/>
                <w:color w:val="auto"/>
              </w:rPr>
            </w:pPr>
          </w:p>
        </w:tc>
        <w:tc>
          <w:tcPr>
            <w:tcW w:w="3440" w:type="dxa"/>
            <w:vAlign w:val="bottom"/>
            <w:shd w:val="clear" w:color="auto" w:fill="FF9900"/>
          </w:tcPr>
          <w:p>
            <w:pPr>
              <w:spacing w:after="0"/>
              <w:rPr>
                <w:sz w:val="24"/>
                <w:szCs w:val="24"/>
                <w:color w:val="auto"/>
              </w:rPr>
            </w:pPr>
          </w:p>
        </w:tc>
        <w:tc>
          <w:tcPr>
            <w:tcW w:w="2320" w:type="dxa"/>
            <w:vAlign w:val="bottom"/>
            <w:shd w:val="clear" w:color="auto" w:fill="FF9900"/>
          </w:tcPr>
          <w:p>
            <w:pPr>
              <w:spacing w:after="0"/>
              <w:rPr>
                <w:sz w:val="24"/>
                <w:szCs w:val="24"/>
                <w:color w:val="auto"/>
              </w:rPr>
            </w:pPr>
          </w:p>
        </w:tc>
      </w:tr>
      <w:tr>
        <w:trPr>
          <w:trHeight w:val="197"/>
        </w:trPr>
        <w:tc>
          <w:tcPr>
            <w:tcW w:w="2240" w:type="dxa"/>
            <w:vAlign w:val="bottom"/>
          </w:tcPr>
          <w:p>
            <w:pPr>
              <w:spacing w:after="0" w:line="197" w:lineRule="exact"/>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line="197" w:lineRule="exact"/>
              <w:rPr>
                <w:sz w:val="20"/>
                <w:szCs w:val="20"/>
                <w:color w:val="auto"/>
              </w:rPr>
            </w:pPr>
            <w:r>
              <w:rPr>
                <w:rFonts w:ascii="Arial" w:cs="Arial" w:eastAsia="Arial" w:hAnsi="Arial"/>
                <w:sz w:val="18"/>
                <w:szCs w:val="18"/>
                <w:color w:val="auto"/>
              </w:rPr>
              <w:t>[***]</w:t>
            </w:r>
          </w:p>
        </w:tc>
        <w:tc>
          <w:tcPr>
            <w:tcW w:w="3440" w:type="dxa"/>
            <w:vAlign w:val="bottom"/>
          </w:tcPr>
          <w:p>
            <w:pPr>
              <w:ind w:left="1720"/>
              <w:spacing w:after="0" w:line="197" w:lineRule="exact"/>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line="197" w:lineRule="exact"/>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21,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48"/>
        </w:trPr>
        <w:tc>
          <w:tcPr>
            <w:tcW w:w="22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b w:val="1"/>
          <w:bCs w:val="1"/>
          <w:color w:val="auto"/>
        </w:rPr>
        <w:t>III. CONDITIONS OF SALE</w:t>
      </w:r>
    </w:p>
    <w:p>
      <w:pPr>
        <w:spacing w:after="0" w:line="121" w:lineRule="exact"/>
        <w:rPr>
          <w:sz w:val="20"/>
          <w:szCs w:val="20"/>
          <w:color w:val="auto"/>
        </w:rPr>
      </w:pPr>
    </w:p>
    <w:p>
      <w:pPr>
        <w:ind w:left="10" w:right="40"/>
        <w:spacing w:after="0" w:line="268" w:lineRule="auto"/>
        <w:rPr>
          <w:sz w:val="20"/>
          <w:szCs w:val="20"/>
          <w:color w:val="auto"/>
        </w:rPr>
      </w:pPr>
      <w:r>
        <w:rPr>
          <w:rFonts w:ascii="Arial" w:cs="Arial" w:eastAsia="Arial" w:hAnsi="Arial"/>
          <w:sz w:val="17"/>
          <w:szCs w:val="17"/>
          <w:color w:val="auto"/>
        </w:rPr>
        <w:t>By submitting an order, Customer accepts and agrees that the Terms and Conditions is the sole and exclusive agreement between Customer and Illumina with respect to the Illumina products and/or services as described above and accepts all other terms of this quotation. NOTWITHSTANDING THE FOREGOING, IF ILLUMINA AND CUSTOMER HAVE ENTERED INTO A VALID AND ENFORCEABLE AGREEMENT GOVERNING THE ILLUMINA PRODUCTS AND/OR SERVICES DESCRIBED ABOVE, THE ORDER OF PRECEDENCE BETWEEN THE AGREEMENT AND THE TERMS AND CONDITIONS SHALL BE AS FOLLOWS: IN THE EVENT OF A CONFLICT BETWEEN THE TERMS OF THE AGREEMENT AND THE TERMS AND CONDITIONS, OR IF THE AGREEMENT INCLUDES ADDITIONAL TERMS NOT ADDRESSED IN THE TERMS AND CONDITIONS, THE AGREEMENT SHALL GOVERN WITH RESPECT TO SUCH TERMS. Illumina does not supply plastics such as microplates or pipette tips for use in the listed assays and these are not included in the consumables pricing provided; however, as a result of the highly multiplexed nature of all assays, plastics alone contribute minimally to the final cost. Customer and Illumina agree as follows: • Customer’s purchase of the products referenced in this Quotation is not conditioned on future performance characteristics or applications, whether or not realized. • Unless otherwise agreed by Illumina in writing, Illumina will not assist Customer in developing, testing, or validating unsupported applications. • Illumina will not replace any consumables or reagent kits if the cause of any performance failure is due to unsupported applications. • Illumina is unable to provide any assurances or guarantee that the performance of the products referenced in this Quotation will match published specifications when used for unsupported applications.</w:t>
      </w:r>
    </w:p>
    <w:p>
      <w:pPr>
        <w:spacing w:after="0" w:line="28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IV. SHIP HOLD</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cases where this Quotation does not include a pre-defined ship schedule, the following ship hold terms shall apply:</w:t>
      </w:r>
    </w:p>
    <w:p>
      <w:pPr>
        <w:spacing w:after="0" w:line="130" w:lineRule="exact"/>
        <w:rPr>
          <w:sz w:val="20"/>
          <w:szCs w:val="20"/>
          <w:color w:val="auto"/>
        </w:rPr>
      </w:pPr>
    </w:p>
    <w:p>
      <w:pPr>
        <w:jc w:val="both"/>
        <w:ind w:left="430" w:right="460" w:hanging="430"/>
        <w:spacing w:after="0" w:line="263" w:lineRule="auto"/>
        <w:tabs>
          <w:tab w:leader="none" w:pos="43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All orders must have a defined ship schedule. The initial ship date must be no later than three (3) months from the date the purchase order is received by Illumina (as provided in the Order Confirmation) and the entire order must be shipped complete within twelve (12) months from Illumina’s receipt of the purchase order.</w:t>
      </w:r>
    </w:p>
    <w:p>
      <w:pPr>
        <w:spacing w:after="0" w:line="88" w:lineRule="exact"/>
        <w:rPr>
          <w:rFonts w:ascii="Arial" w:cs="Arial" w:eastAsia="Arial" w:hAnsi="Arial"/>
          <w:sz w:val="18"/>
          <w:szCs w:val="18"/>
          <w:color w:val="auto"/>
        </w:rPr>
      </w:pPr>
    </w:p>
    <w:p>
      <w:pPr>
        <w:ind w:left="430" w:right="20" w:hanging="430"/>
        <w:spacing w:after="0" w:line="277" w:lineRule="auto"/>
        <w:tabs>
          <w:tab w:leader="none" w:pos="43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exceptions to these ship hold terms must be agreed to in writing by Illumina and the Customer must pre-pay at least fifty percent (50%) of the purchase order amount of the affected shipments.</w:t>
      </w:r>
    </w:p>
    <w:p>
      <w:pPr>
        <w:spacing w:after="0" w:line="75" w:lineRule="exact"/>
        <w:rPr>
          <w:rFonts w:ascii="Arial" w:cs="Arial" w:eastAsia="Arial" w:hAnsi="Arial"/>
          <w:sz w:val="18"/>
          <w:szCs w:val="18"/>
          <w:color w:val="auto"/>
        </w:rPr>
      </w:pPr>
    </w:p>
    <w:p>
      <w:pPr>
        <w:ind w:left="430" w:right="360" w:hanging="430"/>
        <w:spacing w:after="0" w:line="277" w:lineRule="auto"/>
        <w:tabs>
          <w:tab w:leader="none" w:pos="43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Customers may request two (2) shipment delays for any single purchase order. The total months of delayed shipment for shipments associated with a single purchase order shall not exceed six (6) months.</w:t>
      </w:r>
    </w:p>
    <w:p>
      <w:pPr>
        <w:spacing w:after="0" w:line="75" w:lineRule="exact"/>
        <w:rPr>
          <w:rFonts w:ascii="Arial" w:cs="Arial" w:eastAsia="Arial" w:hAnsi="Arial"/>
          <w:sz w:val="18"/>
          <w:szCs w:val="18"/>
          <w:color w:val="auto"/>
        </w:rPr>
      </w:pPr>
    </w:p>
    <w:p>
      <w:pPr>
        <w:ind w:left="430" w:right="180" w:hanging="430"/>
        <w:spacing w:after="0" w:line="277" w:lineRule="auto"/>
        <w:tabs>
          <w:tab w:leader="none" w:pos="43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If Customer has requested a delayed shipment, Illumina reserves the right to change the lead time necessary to initiate Customer’s first shipment (which may be longer than the lead time quoted at the time of the order placement).</w:t>
      </w:r>
    </w:p>
    <w:p>
      <w:pPr>
        <w:spacing w:after="0" w:line="75" w:lineRule="exact"/>
        <w:rPr>
          <w:rFonts w:ascii="Arial" w:cs="Arial" w:eastAsia="Arial" w:hAnsi="Arial"/>
          <w:sz w:val="18"/>
          <w:szCs w:val="18"/>
          <w:color w:val="auto"/>
        </w:rPr>
      </w:pPr>
    </w:p>
    <w:p>
      <w:pPr>
        <w:ind w:left="430" w:right="20" w:hanging="430"/>
        <w:spacing w:after="0" w:line="277" w:lineRule="auto"/>
        <w:tabs>
          <w:tab w:leader="none" w:pos="43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If Customer cannot take shipment in accordance with these terms, Illumina reserves the right to cancel the order in its entirety without any liability to the Customer.</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 HOW TO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8335" cy="11995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998335" cy="1199515"/>
                    </a:xfrm>
                    <a:prstGeom prst="rect">
                      <a:avLst/>
                    </a:prstGeom>
                    <a:noFill/>
                  </pic:spPr>
                </pic:pic>
              </a:graphicData>
            </a:graphic>
          </wp:anchor>
        </w:drawing>
      </w:r>
    </w:p>
    <w:p>
      <w:pPr>
        <w:sectPr>
          <w:pgSz w:w="11900" w:h="16838" w:orient="portrait"/>
          <w:cols w:equalWidth="0" w:num="1">
            <w:col w:w="11010"/>
          </w:cols>
          <w:pgMar w:left="450" w:top="28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0" w:right="120"/>
        <w:spacing w:after="0" w:line="277" w:lineRule="auto"/>
        <w:rPr>
          <w:sz w:val="20"/>
          <w:szCs w:val="20"/>
          <w:color w:val="auto"/>
        </w:rPr>
      </w:pPr>
      <w:r>
        <w:rPr>
          <w:rFonts w:ascii="Arial" w:cs="Arial" w:eastAsia="Arial" w:hAnsi="Arial"/>
          <w:sz w:val="18"/>
          <w:szCs w:val="18"/>
          <w:color w:val="auto"/>
        </w:rPr>
        <w:t>For all consumable orders: Please submit your order online through MyIllumina (http://my.illumina.com).</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For all other orders: Please submit your institutional Purchase Order and a complete copy of this quotation to the attention of:</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Illumina Customer Service</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customerservice@illumina.com</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+1.858.202.4566</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Toll Free: +1.800.809.ILMN (4566)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+1.858.202.4766</w:t>
      </w:r>
    </w:p>
    <w:p>
      <w:pPr>
        <w:spacing w:after="0" w:line="200" w:lineRule="exact"/>
        <w:rPr>
          <w:sz w:val="20"/>
          <w:szCs w:val="20"/>
          <w:color w:val="auto"/>
        </w:rPr>
      </w:pPr>
    </w:p>
    <w:p>
      <w:pPr>
        <w:sectPr>
          <w:pgSz w:w="11900" w:h="16838" w:orient="portrait"/>
          <w:cols w:equalWidth="0" w:num="2">
            <w:col w:w="5130" w:space="720"/>
            <w:col w:w="5160"/>
          </w:cols>
          <w:pgMar w:left="450" w:top="288" w:right="439" w:bottom="1440" w:gutter="0" w:footer="0" w:header="0"/>
          <w:type w:val="continuous"/>
        </w:sectPr>
      </w:pPr>
    </w:p>
    <w:p>
      <w:pPr>
        <w:spacing w:after="0" w:line="14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Order Confirmation</w:t>
      </w:r>
    </w:p>
    <w:p>
      <w:pPr>
        <w:spacing w:after="0" w:line="121" w:lineRule="exact"/>
        <w:rPr>
          <w:sz w:val="20"/>
          <w:szCs w:val="20"/>
          <w:color w:val="auto"/>
        </w:rPr>
      </w:pPr>
    </w:p>
    <w:p>
      <w:pPr>
        <w:ind w:left="10" w:right="140"/>
        <w:spacing w:after="0" w:line="277" w:lineRule="auto"/>
        <w:rPr>
          <w:sz w:val="20"/>
          <w:szCs w:val="20"/>
          <w:color w:val="auto"/>
        </w:rPr>
      </w:pPr>
      <w:r>
        <w:rPr>
          <w:rFonts w:ascii="Arial" w:cs="Arial" w:eastAsia="Arial" w:hAnsi="Arial"/>
          <w:sz w:val="18"/>
          <w:szCs w:val="18"/>
          <w:color w:val="auto"/>
        </w:rPr>
        <w:t>You will receive an e-mail confirmation containing your order number within 1 business day. Another email will be sent to notify you when your order has been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98944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010"/>
          </w:cols>
          <w:pgMar w:left="450" w:top="288" w:right="439" w:bottom="1440" w:gutter="0" w:footer="0" w:header="0"/>
          <w:type w:val="continuous"/>
        </w:sectPr>
      </w:pPr>
    </w:p>
    <w:bookmarkStart w:id="557" w:name="page558"/>
    <w:bookmarkEnd w:id="557"/>
    <w:tbl>
      <w:tblPr>
        <w:tblLayout w:type="fixed"/>
        <w:tblInd w:w="0" w:type="dxa"/>
        <w:tblCellMar>
          <w:top w:w="0" w:type="dxa"/>
          <w:left w:w="0" w:type="dxa"/>
          <w:bottom w:w="0" w:type="dxa"/>
          <w:right w:w="0" w:type="dxa"/>
        </w:tblCellMar>
      </w:tblPr>
      <w:tr>
        <w:trPr>
          <w:trHeight w:val="310"/>
        </w:trPr>
        <w:tc>
          <w:tcPr>
            <w:tcW w:w="2240" w:type="dxa"/>
            <w:vAlign w:val="bottom"/>
            <w:shd w:val="clear" w:color="auto" w:fill="FF9900"/>
          </w:tcPr>
          <w:p>
            <w:pPr>
              <w:spacing w:after="0"/>
              <w:rPr>
                <w:sz w:val="24"/>
                <w:szCs w:val="24"/>
                <w:color w:val="auto"/>
              </w:rPr>
            </w:pPr>
          </w:p>
        </w:tc>
        <w:tc>
          <w:tcPr>
            <w:tcW w:w="3000" w:type="dxa"/>
            <w:vAlign w:val="bottom"/>
            <w:shd w:val="clear" w:color="auto" w:fill="FF9900"/>
          </w:tcPr>
          <w:p>
            <w:pPr>
              <w:spacing w:after="0"/>
              <w:rPr>
                <w:sz w:val="24"/>
                <w:szCs w:val="24"/>
                <w:color w:val="auto"/>
              </w:rPr>
            </w:pPr>
          </w:p>
        </w:tc>
        <w:tc>
          <w:tcPr>
            <w:tcW w:w="3440" w:type="dxa"/>
            <w:vAlign w:val="bottom"/>
            <w:shd w:val="clear" w:color="auto" w:fill="FF9900"/>
          </w:tcPr>
          <w:p>
            <w:pPr>
              <w:spacing w:after="0"/>
              <w:rPr>
                <w:sz w:val="24"/>
                <w:szCs w:val="24"/>
                <w:color w:val="auto"/>
              </w:rPr>
            </w:pPr>
          </w:p>
        </w:tc>
        <w:tc>
          <w:tcPr>
            <w:tcW w:w="2320" w:type="dxa"/>
            <w:vAlign w:val="bottom"/>
            <w:shd w:val="clear" w:color="auto" w:fill="FF9900"/>
          </w:tcPr>
          <w:p>
            <w:pPr>
              <w:spacing w:after="0"/>
              <w:rPr>
                <w:sz w:val="24"/>
                <w:szCs w:val="24"/>
                <w:color w:val="auto"/>
              </w:rPr>
            </w:pPr>
          </w:p>
        </w:tc>
      </w:tr>
      <w:tr>
        <w:trPr>
          <w:trHeight w:val="197"/>
        </w:trPr>
        <w:tc>
          <w:tcPr>
            <w:tcW w:w="2240" w:type="dxa"/>
            <w:vAlign w:val="bottom"/>
          </w:tcPr>
          <w:p>
            <w:pPr>
              <w:spacing w:after="0" w:line="197" w:lineRule="exact"/>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line="197" w:lineRule="exact"/>
              <w:rPr>
                <w:sz w:val="20"/>
                <w:szCs w:val="20"/>
                <w:color w:val="auto"/>
              </w:rPr>
            </w:pPr>
            <w:r>
              <w:rPr>
                <w:rFonts w:ascii="Arial" w:cs="Arial" w:eastAsia="Arial" w:hAnsi="Arial"/>
                <w:sz w:val="18"/>
                <w:szCs w:val="18"/>
                <w:color w:val="auto"/>
              </w:rPr>
              <w:t>[***]</w:t>
            </w:r>
          </w:p>
        </w:tc>
        <w:tc>
          <w:tcPr>
            <w:tcW w:w="3440" w:type="dxa"/>
            <w:vAlign w:val="bottom"/>
          </w:tcPr>
          <w:p>
            <w:pPr>
              <w:ind w:left="1720"/>
              <w:spacing w:after="0" w:line="197" w:lineRule="exact"/>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line="197" w:lineRule="exact"/>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21,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2017</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48"/>
        </w:trPr>
        <w:tc>
          <w:tcPr>
            <w:tcW w:w="22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EXPIRATION OF OFFER</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offer contained in this document is revocable at the sole discretion of Illumina if not executed by Customer and a purchase order received by Illumina before 5:00 pm Pacific Time on the expiration date shown on page 1 of this quotation.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By this quotation, Illumina conditionally offers to Customer the Illumina products and/or services as described above. This offer is conditional on, and may only be accepted by, Customer’s agreement that Illumina’s terms and conditions located 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http://www.illumina.com/content/dam/illumina-marketing/documents/terms-conditions/united-states/usa-terms-and-conditions-of-sale-general.pdf.</w:t>
      </w:r>
    </w:p>
    <w:p>
      <w:pPr>
        <w:spacing w:after="0" w:line="23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Additionally, if Customer is purchasing Illumina professional consulting services as relate to instruments, Customer environment or workflows (in all cases, excluding instrument warranty services) (“Professional Services”), Customer agrees such Professional Services are exclusively governed by the Terms and Conditions - Services (Professional Services) located 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http://www.illumina.com/content/dam/illumina-marketing/documents/company/terms-and-conditions-services.pdf</w:t>
      </w:r>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(“Terms and Conditions”) is the sole and exclusive agreement between Customer and Illumina with respect to the Illumina products and/or services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98944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000"/>
          </w:cols>
          <w:pgMar w:left="460" w:top="288" w:right="4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ind w:left="10" w:right="320" w:hanging="10"/>
        <w:spacing w:after="0" w:line="281" w:lineRule="auto"/>
        <w:tabs>
          <w:tab w:leader="none" w:pos="4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6"/>
          </w:tcPr>
          <w:p>
            <w:pPr>
              <w:ind w:left="460"/>
              <w:spacing w:after="0"/>
              <w:rPr>
                <w:sz w:val="20"/>
                <w:szCs w:val="20"/>
                <w:color w:val="auto"/>
              </w:rPr>
            </w:pPr>
            <w:r>
              <w:rPr>
                <w:rFonts w:ascii="Arial" w:cs="Arial" w:eastAsia="Arial" w:hAnsi="Arial"/>
                <w:sz w:val="18"/>
                <w:szCs w:val="18"/>
                <w:color w:val="auto"/>
                <w:w w:val="94"/>
              </w:rPr>
              <w:t>Purchase Order</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76"/>
              <w:spacing w:after="0"/>
              <w:rPr>
                <w:sz w:val="20"/>
                <w:szCs w:val="20"/>
                <w:color w:val="auto"/>
              </w:rPr>
            </w:pPr>
            <w:r>
              <w:rPr>
                <w:rFonts w:ascii="Arial" w:cs="Arial" w:eastAsia="Arial" w:hAnsi="Arial"/>
                <w:sz w:val="18"/>
                <w:szCs w:val="18"/>
                <w:color w:val="auto"/>
                <w:w w:val="92"/>
              </w:rPr>
              <w:t>Revision</w:t>
            </w:r>
          </w:p>
        </w:tc>
        <w:tc>
          <w:tcPr>
            <w:tcW w:w="1180" w:type="dxa"/>
            <w:vAlign w:val="bottom"/>
            <w:gridSpan w:val="2"/>
          </w:tcPr>
          <w:p>
            <w:pPr>
              <w:jc w:val="right"/>
              <w:ind w:right="199"/>
              <w:spacing w:after="0"/>
              <w:rPr>
                <w:sz w:val="20"/>
                <w:szCs w:val="20"/>
                <w:color w:val="auto"/>
              </w:rPr>
            </w:pPr>
            <w:r>
              <w:rPr>
                <w:rFonts w:ascii="Arial" w:cs="Arial" w:eastAsia="Arial" w:hAnsi="Arial"/>
                <w:sz w:val="18"/>
                <w:szCs w:val="18"/>
                <w:color w:val="auto"/>
                <w:w w:val="98"/>
              </w:rPr>
              <w:t>Order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vMerge w:val="restart"/>
          </w:tcPr>
          <w:p>
            <w:pPr>
              <w:ind w:left="420"/>
              <w:spacing w:after="0"/>
              <w:rPr>
                <w:sz w:val="20"/>
                <w:szCs w:val="20"/>
                <w:color w:val="auto"/>
              </w:rPr>
            </w:pPr>
            <w:r>
              <w:rPr>
                <w:rFonts w:ascii="Arial" w:cs="Arial" w:eastAsia="Arial" w:hAnsi="Arial"/>
                <w:sz w:val="18"/>
                <w:szCs w:val="18"/>
                <w:color w:val="auto"/>
              </w:rPr>
              <w:t>Personalis, Inc.</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ind w:left="320"/>
              <w:spacing w:after="0"/>
              <w:rPr>
                <w:sz w:val="20"/>
                <w:szCs w:val="20"/>
                <w:color w:val="auto"/>
              </w:rPr>
            </w:pPr>
            <w:r>
              <w:rPr>
                <w:rFonts w:ascii="Arial" w:cs="Arial" w:eastAsia="Arial" w:hAnsi="Arial"/>
                <w:sz w:val="18"/>
                <w:szCs w:val="18"/>
                <w:color w:val="auto"/>
              </w:rPr>
              <w:t>P11405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3/31/17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6"/>
          </w:tcPr>
          <w:p>
            <w:pPr>
              <w:ind w:left="460"/>
              <w:spacing w:after="0" w:line="176" w:lineRule="exact"/>
              <w:rPr>
                <w:sz w:val="20"/>
                <w:szCs w:val="20"/>
                <w:color w:val="auto"/>
              </w:rPr>
            </w:pPr>
            <w:r>
              <w:rPr>
                <w:rFonts w:ascii="Arial" w:cs="Arial" w:eastAsia="Arial" w:hAnsi="Arial"/>
                <w:sz w:val="18"/>
                <w:szCs w:val="18"/>
                <w:color w:val="auto"/>
              </w:rPr>
              <w:t>Supplier</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jc w:val="right"/>
              <w:ind w:right="259"/>
              <w:spacing w:after="0" w:line="176" w:lineRule="exact"/>
              <w:rPr>
                <w:sz w:val="20"/>
                <w:szCs w:val="20"/>
                <w:color w:val="auto"/>
              </w:rPr>
            </w:pPr>
            <w:r>
              <w:rPr>
                <w:rFonts w:ascii="Arial" w:cs="Arial" w:eastAsia="Arial" w:hAnsi="Arial"/>
                <w:sz w:val="18"/>
                <w:szCs w:val="18"/>
                <w:color w:val="auto"/>
              </w:rPr>
              <w:t>Print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1330 O’Brien Drive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ind w:left="500"/>
              <w:spacing w:after="0"/>
              <w:rPr>
                <w:sz w:val="20"/>
                <w:szCs w:val="20"/>
                <w:color w:val="auto"/>
              </w:rPr>
            </w:pPr>
            <w:r>
              <w:rPr>
                <w:rFonts w:ascii="Arial" w:cs="Arial" w:eastAsia="Arial" w:hAnsi="Arial"/>
                <w:sz w:val="18"/>
                <w:szCs w:val="18"/>
                <w:color w:val="auto"/>
              </w:rPr>
              <w:t>110138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3/31/17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tcPr>
          <w:p>
            <w:pPr>
              <w:ind w:left="420"/>
              <w:spacing w:after="0" w:line="201" w:lineRule="exact"/>
              <w:rPr>
                <w:sz w:val="20"/>
                <w:szCs w:val="20"/>
                <w:color w:val="auto"/>
              </w:rPr>
            </w:pPr>
            <w:r>
              <w:rPr>
                <w:rFonts w:ascii="Arial" w:cs="Arial" w:eastAsia="Arial" w:hAnsi="Arial"/>
                <w:sz w:val="18"/>
                <w:szCs w:val="18"/>
                <w:color w:val="auto"/>
              </w:rPr>
              <w:t>Menlo Park, CA 94025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Phone: 650-752-1300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Fax: 650-752-1301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w w:val="94"/>
              </w:rPr>
              <w:t>Send invoice to ap@personalis.com</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Purchase Order</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Illumina, Inc.</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89"/>
              </w:rPr>
              <w:t>Personalis, Inc.</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Attn: Accounts Receivable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gridSpan w:val="6"/>
          </w:tcPr>
          <w:p>
            <w:pPr>
              <w:ind w:left="80"/>
              <w:spacing w:after="0"/>
              <w:rPr>
                <w:sz w:val="20"/>
                <w:szCs w:val="20"/>
                <w:color w:val="auto"/>
              </w:rPr>
            </w:pPr>
            <w:r>
              <w:rPr>
                <w:rFonts w:ascii="Arial" w:cs="Arial" w:eastAsia="Arial" w:hAnsi="Arial"/>
                <w:sz w:val="18"/>
                <w:szCs w:val="18"/>
                <w:color w:val="auto"/>
              </w:rPr>
              <w:t>1330 O’Brien Drive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12864 Collections Center Drive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gridSpan w:val="6"/>
          </w:tcPr>
          <w:p>
            <w:pPr>
              <w:ind w:left="80"/>
              <w:spacing w:after="0"/>
              <w:rPr>
                <w:sz w:val="20"/>
                <w:szCs w:val="20"/>
                <w:color w:val="auto"/>
              </w:rPr>
            </w:pPr>
            <w:r>
              <w:rPr>
                <w:rFonts w:ascii="Arial" w:cs="Arial" w:eastAsia="Arial" w:hAnsi="Arial"/>
                <w:sz w:val="18"/>
                <w:szCs w:val="18"/>
                <w:color w:val="auto"/>
                <w:w w:val="93"/>
              </w:rPr>
              <w:t>Menlo Park, CA 94025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Chicago, IL 60693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89"/>
              </w:rPr>
              <w:t>650-752-1300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831-595-4438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400" w:type="dxa"/>
            <w:vAlign w:val="bottom"/>
            <w:gridSpan w:val="4"/>
          </w:tcPr>
          <w:p>
            <w:pPr>
              <w:spacing w:after="0"/>
              <w:rPr>
                <w:sz w:val="20"/>
                <w:szCs w:val="20"/>
                <w:color w:val="auto"/>
              </w:rPr>
            </w:pPr>
            <w:r>
              <w:rPr>
                <w:rFonts w:ascii="Arial" w:cs="Arial" w:eastAsia="Arial" w:hAnsi="Arial"/>
                <w:sz w:val="18"/>
                <w:szCs w:val="18"/>
                <w:color w:val="auto"/>
              </w:rPr>
              <w:t>Contact</w:t>
            </w: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rPr>
              <w:t>Ship Via</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9"/>
              </w:rPr>
              <w:t>Ground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Payment Terms</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rPr>
              <w:t>Incoterms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Net 60 Days</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4"/>
          </w:tcPr>
          <w:p>
            <w:pPr>
              <w:spacing w:after="0"/>
              <w:rPr>
                <w:sz w:val="20"/>
                <w:szCs w:val="20"/>
                <w:color w:val="auto"/>
              </w:rPr>
            </w:pPr>
            <w:r>
              <w:rPr>
                <w:rFonts w:ascii="Arial" w:cs="Arial" w:eastAsia="Arial" w:hAnsi="Arial"/>
                <w:sz w:val="18"/>
                <w:szCs w:val="18"/>
                <w:color w:val="auto"/>
              </w:rPr>
              <w:t>Remarks</w:t>
            </w:r>
          </w:p>
        </w:tc>
        <w:tc>
          <w:tcPr>
            <w:tcW w:w="3160" w:type="dxa"/>
            <w:vAlign w:val="bottom"/>
          </w:tcPr>
          <w:p>
            <w:pPr>
              <w:ind w:left="120"/>
              <w:spacing w:after="0"/>
              <w:rPr>
                <w:sz w:val="20"/>
                <w:szCs w:val="20"/>
                <w:color w:val="auto"/>
              </w:rPr>
            </w:pPr>
            <w:r>
              <w:rPr>
                <w:rFonts w:ascii="Arial" w:cs="Arial" w:eastAsia="Arial" w:hAnsi="Arial"/>
                <w:sz w:val="18"/>
                <w:szCs w:val="18"/>
                <w:color w:val="auto"/>
              </w:rPr>
              <w:t>Quote# [***]</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80" w:type="dxa"/>
            <w:vAlign w:val="bottom"/>
            <w:gridSpan w:val="3"/>
          </w:tcPr>
          <w:p>
            <w:pPr>
              <w:ind w:left="240"/>
              <w:spacing w:after="0" w:line="195" w:lineRule="exact"/>
              <w:rPr>
                <w:sz w:val="20"/>
                <w:szCs w:val="20"/>
                <w:color w:val="auto"/>
              </w:rPr>
            </w:pPr>
            <w:r>
              <w:rPr>
                <w:rFonts w:ascii="Arial" w:cs="Arial" w:eastAsia="Arial" w:hAnsi="Arial"/>
                <w:sz w:val="18"/>
                <w:szCs w:val="18"/>
                <w:color w:val="auto"/>
              </w:rPr>
              <w:t>SUBJECT TO EXHIBIT A ATTACHED</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40" w:type="dxa"/>
            <w:vAlign w:val="bottom"/>
            <w:gridSpan w:val="7"/>
          </w:tcPr>
          <w:p>
            <w:pPr>
              <w:ind w:left="240"/>
              <w:spacing w:after="0"/>
              <w:rPr>
                <w:sz w:val="20"/>
                <w:szCs w:val="20"/>
                <w:color w:val="auto"/>
              </w:rPr>
            </w:pPr>
            <w:r>
              <w:rPr>
                <w:rFonts w:ascii="Arial" w:cs="Arial" w:eastAsia="Arial" w:hAnsi="Arial"/>
                <w:sz w:val="18"/>
                <w:szCs w:val="18"/>
                <w:color w:val="auto"/>
                <w:w w:val="96"/>
              </w:rPr>
              <w:t>Completed Form BOE-230-M REV 1(11-14) State of California BOE,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7"/>
          </w:tcPr>
          <w:p>
            <w:pPr>
              <w:ind w:left="240"/>
              <w:spacing w:after="0"/>
              <w:rPr>
                <w:sz w:val="20"/>
                <w:szCs w:val="20"/>
                <w:color w:val="auto"/>
              </w:rPr>
            </w:pPr>
            <w:r>
              <w:rPr>
                <w:rFonts w:ascii="Arial" w:cs="Arial" w:eastAsia="Arial" w:hAnsi="Arial"/>
                <w:sz w:val="18"/>
                <w:szCs w:val="18"/>
                <w:color w:val="auto"/>
                <w:w w:val="92"/>
              </w:rPr>
              <w:t>Partial Exemption Certificate for Mfg, R&amp;D Equipment is attached to PO</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83"/>
              </w:rPr>
              <w:t>Line</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w w:val="95"/>
              </w:rPr>
              <w:t>Item Number</w:t>
            </w:r>
          </w:p>
        </w:tc>
        <w:tc>
          <w:tcPr>
            <w:tcW w:w="31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5"/>
              </w:rPr>
              <w:t>Rev</w:t>
            </w:r>
          </w:p>
        </w:tc>
        <w:tc>
          <w:tcPr>
            <w:tcW w:w="3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Due Date</w:t>
            </w:r>
          </w:p>
        </w:tc>
        <w:tc>
          <w:tcPr>
            <w:tcW w:w="180" w:type="dxa"/>
            <w:vAlign w:val="bottom"/>
          </w:tcPr>
          <w:p>
            <w:pPr>
              <w:spacing w:after="0"/>
              <w:rPr>
                <w:sz w:val="24"/>
                <w:szCs w:val="24"/>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Qty</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Qty Open</w:t>
            </w:r>
          </w:p>
        </w:tc>
        <w:tc>
          <w:tcPr>
            <w:tcW w:w="280" w:type="dxa"/>
            <w:vAlign w:val="bottom"/>
          </w:tcPr>
          <w:p>
            <w:pPr>
              <w:spacing w:after="0"/>
              <w:rPr>
                <w:sz w:val="24"/>
                <w:szCs w:val="24"/>
                <w:color w:val="auto"/>
              </w:rPr>
            </w:pPr>
          </w:p>
        </w:tc>
        <w:tc>
          <w:tcPr>
            <w:tcW w:w="9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UM</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Unit Cost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Extended Cost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6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280" w:type="dxa"/>
            <w:vAlign w:val="bottom"/>
            <w:vMerge w:val="continue"/>
          </w:tcPr>
          <w:p>
            <w:pPr>
              <w:spacing w:after="0"/>
              <w:rPr>
                <w:sz w:val="16"/>
                <w:szCs w:val="16"/>
                <w:color w:val="auto"/>
              </w:rPr>
            </w:pPr>
          </w:p>
        </w:tc>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NovaSeq 6000</w:t>
            </w:r>
          </w:p>
        </w:tc>
        <w:tc>
          <w:tcPr>
            <w:tcW w:w="2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580" w:type="dxa"/>
            <w:vAlign w:val="bottom"/>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20" w:type="dxa"/>
            <w:vAlign w:val="bottom"/>
          </w:tcPr>
          <w:p>
            <w:pPr>
              <w:ind w:left="220"/>
              <w:spacing w:after="0" w:line="195" w:lineRule="exact"/>
              <w:rPr>
                <w:sz w:val="20"/>
                <w:szCs w:val="20"/>
                <w:color w:val="auto"/>
              </w:rPr>
            </w:pPr>
            <w:r>
              <w:rPr>
                <w:rFonts w:ascii="Arial" w:cs="Arial" w:eastAsia="Arial" w:hAnsi="Arial"/>
                <w:sz w:val="18"/>
                <w:szCs w:val="18"/>
                <w:color w:val="auto"/>
              </w:rPr>
              <w:t>5</w:t>
            </w:r>
          </w:p>
        </w:tc>
        <w:tc>
          <w:tcPr>
            <w:tcW w:w="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0" w:type="dxa"/>
            <w:vAlign w:val="bottom"/>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line="195" w:lineRule="exact"/>
              <w:rPr>
                <w:sz w:val="20"/>
                <w:szCs w:val="20"/>
                <w:color w:val="auto"/>
              </w:rPr>
            </w:pPr>
            <w:r>
              <w:rPr>
                <w:rFonts w:ascii="Arial" w:cs="Arial" w:eastAsia="Arial" w:hAnsi="Arial"/>
                <w:sz w:val="18"/>
                <w:szCs w:val="18"/>
                <w:color w:val="auto"/>
              </w:rPr>
              <w:t>Y</w:t>
            </w:r>
          </w:p>
        </w:tc>
        <w:tc>
          <w:tcPr>
            <w:tcW w:w="300" w:type="dxa"/>
            <w:vAlign w:val="bottom"/>
            <w:vMerge w:val="continue"/>
          </w:tcPr>
          <w:p>
            <w:pPr>
              <w:spacing w:after="0"/>
              <w:rPr>
                <w:sz w:val="16"/>
                <w:szCs w:val="16"/>
                <w:color w:val="auto"/>
              </w:rPr>
            </w:pPr>
          </w:p>
        </w:tc>
        <w:tc>
          <w:tcPr>
            <w:tcW w:w="600" w:type="dxa"/>
            <w:vAlign w:val="bottom"/>
          </w:tcPr>
          <w:p>
            <w:pPr>
              <w:jc w:val="right"/>
              <w:ind w:right="36"/>
              <w:spacing w:after="0" w:line="195"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6"/>
                <w:szCs w:val="16"/>
                <w:color w:val="auto"/>
              </w:rPr>
            </w:pPr>
          </w:p>
        </w:tc>
        <w:tc>
          <w:tcPr>
            <w:tcW w:w="900" w:type="dxa"/>
            <w:vAlign w:val="bottom"/>
          </w:tcPr>
          <w:p>
            <w:pPr>
              <w:jc w:val="right"/>
              <w:ind w:right="179"/>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Sequencing Systems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Supplier Item: 20012850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USD</w:t>
            </w:r>
          </w:p>
        </w:tc>
        <w:tc>
          <w:tcPr>
            <w:tcW w:w="1200" w:type="dxa"/>
            <w:vAlign w:val="bottom"/>
            <w:gridSpan w:val="4"/>
          </w:tcPr>
          <w:p>
            <w:pPr>
              <w:spacing w:after="0"/>
              <w:rPr>
                <w:sz w:val="20"/>
                <w:szCs w:val="20"/>
                <w:color w:val="auto"/>
              </w:rPr>
            </w:pPr>
            <w:r>
              <w:rPr>
                <w:rFonts w:ascii="Arial" w:cs="Arial" w:eastAsia="Arial" w:hAnsi="Arial"/>
                <w:sz w:val="18"/>
                <w:szCs w:val="18"/>
                <w:color w:val="auto"/>
              </w:rPr>
              <w:t>Line Total</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color w:val="auto"/>
                <w:w w:val="85"/>
              </w:rPr>
              <w:t>Total Tax</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5"/>
          </w:tcPr>
          <w:p>
            <w:pPr>
              <w:ind w:left="220"/>
              <w:spacing w:after="0"/>
              <w:rPr>
                <w:sz w:val="20"/>
                <w:szCs w:val="20"/>
                <w:color w:val="auto"/>
              </w:rPr>
            </w:pPr>
            <w:r>
              <w:rPr>
                <w:rFonts w:ascii="Arial" w:cs="Arial" w:eastAsia="Arial" w:hAnsi="Arial"/>
                <w:sz w:val="18"/>
                <w:szCs w:val="18"/>
                <w:color w:val="auto"/>
              </w:rPr>
              <w:t>Total Amount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-3682365</wp:posOffset>
            </wp:positionV>
            <wp:extent cx="137160" cy="5651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56515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-3682365</wp:posOffset>
            </wp:positionV>
            <wp:extent cx="137160" cy="513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513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-5421630</wp:posOffset>
            </wp:positionV>
            <wp:extent cx="719455" cy="24003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9455" cy="240030"/>
                    </a:xfrm>
                    <a:prstGeom prst="rect">
                      <a:avLst/>
                    </a:prstGeom>
                    <a:noFill/>
                  </pic:spPr>
                </pic:pic>
              </a:graphicData>
            </a:graphic>
          </wp:anchor>
        </w:drawing>
      </w:r>
    </w:p>
    <w:p>
      <w:pPr>
        <w:sectPr>
          <w:pgSz w:w="11900" w:h="16838" w:orient="portrait"/>
          <w:cols w:equalWidth="0" w:num="1">
            <w:col w:w="11010"/>
          </w:cols>
          <w:pgMar w:left="450" w:top="121" w:right="439" w:bottom="1440" w:gutter="0" w:footer="0" w:header="0"/>
        </w:sectPr>
      </w:pPr>
    </w:p>
    <w:bookmarkStart w:id="559" w:name="page560"/>
    <w:bookmarkEnd w:id="559"/>
    <w:p>
      <w:pPr>
        <w:ind w:left="1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ind w:left="10" w:right="980" w:hanging="10"/>
        <w:spacing w:after="0" w:line="281" w:lineRule="auto"/>
        <w:tabs>
          <w:tab w:leader="none" w:pos="444"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is filed with the Securities and Exchange Commission pursuant to Rule 406 of the Securities Act of 1933, as amended.</w:t>
      </w:r>
    </w:p>
    <w:p>
      <w:pPr>
        <w:spacing w:after="0" w:line="16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MASTER SERVICES SUBCONTRACT AGREEMENT</w:t>
      </w:r>
    </w:p>
    <w:p>
      <w:pPr>
        <w:spacing w:after="0" w:line="225" w:lineRule="exact"/>
        <w:rPr>
          <w:sz w:val="20"/>
          <w:szCs w:val="20"/>
          <w:color w:val="auto"/>
        </w:rPr>
      </w:pPr>
    </w:p>
    <w:p>
      <w:pPr>
        <w:ind w:left="10" w:right="300" w:firstLine="440"/>
        <w:spacing w:after="0" w:line="280" w:lineRule="auto"/>
        <w:rPr>
          <w:sz w:val="20"/>
          <w:szCs w:val="20"/>
          <w:color w:val="auto"/>
        </w:rPr>
      </w:pPr>
      <w:r>
        <w:rPr>
          <w:rFonts w:ascii="Arial" w:cs="Arial" w:eastAsia="Arial" w:hAnsi="Arial"/>
          <w:sz w:val="17"/>
          <w:szCs w:val="17"/>
          <w:color w:val="auto"/>
        </w:rPr>
        <w:t>THIS AGREEMENT, made effective as of the 1st day of November 2017 (“</w:t>
      </w:r>
      <w:r>
        <w:rPr>
          <w:rFonts w:ascii="Arial" w:cs="Arial" w:eastAsia="Arial" w:hAnsi="Arial"/>
          <w:sz w:val="17"/>
          <w:szCs w:val="17"/>
          <w:b w:val="1"/>
          <w:bCs w:val="1"/>
          <w:color w:val="auto"/>
        </w:rPr>
        <w:t>Effective Date</w:t>
      </w:r>
      <w:r>
        <w:rPr>
          <w:rFonts w:ascii="Arial" w:cs="Arial" w:eastAsia="Arial" w:hAnsi="Arial"/>
          <w:sz w:val="17"/>
          <w:szCs w:val="17"/>
          <w:color w:val="auto"/>
        </w:rPr>
        <w:t>”) entered into by and between Personalis, Inc. a corporation organized and existing under the laws of the State of California with offices at 1330 O’Brien Drive, Menlo Park, CA 94025 (hereinafter referred to as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Personalis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Illumina, Inc.</w:t>
      </w:r>
      <w:r>
        <w:rPr>
          <w:rFonts w:ascii="Arial" w:cs="Arial" w:eastAsia="Arial" w:hAnsi="Arial"/>
          <w:sz w:val="17"/>
          <w:szCs w:val="17"/>
          <w:color w:val="auto"/>
        </w:rPr>
        <w:t xml:space="preserve"> a corporation organized and existing under the laws of the State of Delaware with offices at 5200 Illumina Way, San Diego, CA 92122 (hereinafter referred to as the “</w:t>
      </w:r>
      <w:r>
        <w:rPr>
          <w:rFonts w:ascii="Arial" w:cs="Arial" w:eastAsia="Arial" w:hAnsi="Arial"/>
          <w:sz w:val="17"/>
          <w:szCs w:val="17"/>
          <w:b w:val="1"/>
          <w:bCs w:val="1"/>
          <w:color w:val="auto"/>
        </w:rPr>
        <w:t>Subcontractor</w:t>
      </w:r>
      <w:r>
        <w:rPr>
          <w:rFonts w:ascii="Arial" w:cs="Arial" w:eastAsia="Arial" w:hAnsi="Arial"/>
          <w:sz w:val="17"/>
          <w:szCs w:val="17"/>
          <w:color w:val="auto"/>
        </w:rPr>
        <w:t>”).</w:t>
      </w:r>
    </w:p>
    <w:p>
      <w:pPr>
        <w:spacing w:after="0" w:line="17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WITNESS THAT</w:t>
      </w:r>
    </w:p>
    <w:p>
      <w:pPr>
        <w:spacing w:after="0" w:line="221" w:lineRule="exact"/>
        <w:rPr>
          <w:sz w:val="20"/>
          <w:szCs w:val="20"/>
          <w:color w:val="auto"/>
        </w:rPr>
      </w:pPr>
    </w:p>
    <w:p>
      <w:pPr>
        <w:ind w:left="450"/>
        <w:spacing w:after="0"/>
        <w:rPr>
          <w:sz w:val="20"/>
          <w:szCs w:val="20"/>
          <w:color w:val="auto"/>
        </w:rPr>
      </w:pPr>
      <w:r>
        <w:rPr>
          <w:rFonts w:ascii="Arial" w:cs="Arial" w:eastAsia="Arial" w:hAnsi="Arial"/>
          <w:sz w:val="17"/>
          <w:szCs w:val="17"/>
          <w:color w:val="auto"/>
        </w:rPr>
        <w:t>WHEREAS, Company has entered into Contract Number [***] (“</w:t>
      </w:r>
      <w:r>
        <w:rPr>
          <w:rFonts w:ascii="Arial" w:cs="Arial" w:eastAsia="Arial" w:hAnsi="Arial"/>
          <w:sz w:val="17"/>
          <w:szCs w:val="17"/>
          <w:b w:val="1"/>
          <w:bCs w:val="1"/>
          <w:color w:val="auto"/>
        </w:rPr>
        <w:t>Client Contract</w:t>
      </w:r>
      <w:r>
        <w:rPr>
          <w:rFonts w:ascii="Arial" w:cs="Arial" w:eastAsia="Arial" w:hAnsi="Arial"/>
          <w:sz w:val="17"/>
          <w:szCs w:val="17"/>
          <w:color w:val="auto"/>
        </w:rPr>
        <w:t xml:space="preserve">”) with </w:t>
      </w:r>
      <w:r>
        <w:rPr>
          <w:rFonts w:ascii="Arial" w:cs="Arial" w:eastAsia="Arial" w:hAnsi="Arial"/>
          <w:sz w:val="17"/>
          <w:szCs w:val="17"/>
          <w:u w:val="single" w:color="auto"/>
          <w:color w:val="auto"/>
        </w:rPr>
        <w:t>the US Department of Veterans Affairs</w:t>
      </w:r>
      <w:r>
        <w:rPr>
          <w:rFonts w:ascii="Arial" w:cs="Arial" w:eastAsia="Arial" w:hAnsi="Arial"/>
          <w:sz w:val="17"/>
          <w:szCs w:val="17"/>
          <w:color w:val="auto"/>
        </w:rPr>
        <w:t xml:space="preserve"> (“</w:t>
      </w:r>
      <w:r>
        <w:rPr>
          <w:rFonts w:ascii="Arial" w:cs="Arial" w:eastAsia="Arial" w:hAnsi="Arial"/>
          <w:sz w:val="17"/>
          <w:szCs w:val="17"/>
          <w:b w:val="1"/>
          <w:bCs w:val="1"/>
          <w:color w:val="auto"/>
        </w:rPr>
        <w:t>Client</w:t>
      </w:r>
      <w:r>
        <w:rPr>
          <w:rFonts w:ascii="Arial" w:cs="Arial" w:eastAsia="Arial" w:hAnsi="Arial"/>
          <w:sz w:val="17"/>
          <w:szCs w:val="17"/>
          <w:color w:val="auto"/>
        </w:rPr>
        <w:t>”) and,</w:t>
      </w:r>
    </w:p>
    <w:p>
      <w:pPr>
        <w:spacing w:after="0" w:line="240" w:lineRule="exact"/>
        <w:rPr>
          <w:sz w:val="20"/>
          <w:szCs w:val="20"/>
          <w:color w:val="auto"/>
        </w:rPr>
      </w:pPr>
    </w:p>
    <w:p>
      <w:pPr>
        <w:ind w:left="10" w:right="40" w:firstLine="440"/>
        <w:spacing w:after="0" w:line="277" w:lineRule="auto"/>
        <w:rPr>
          <w:sz w:val="20"/>
          <w:szCs w:val="20"/>
          <w:color w:val="auto"/>
        </w:rPr>
      </w:pPr>
      <w:r>
        <w:rPr>
          <w:rFonts w:ascii="Arial" w:cs="Arial" w:eastAsia="Arial" w:hAnsi="Arial"/>
          <w:sz w:val="18"/>
          <w:szCs w:val="18"/>
          <w:color w:val="auto"/>
        </w:rPr>
        <w:t>WHEREAS, the Subcontractor is willing to undertake the performance of the sequencing activities as subcontractor for Company under the Client Contract as set forth in the applicable Appendices, and</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NOW THEREFORE the parties hereby agree as follows:</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ARTICLE 1 - THE WORK (SERVICES)</w:t>
      </w:r>
    </w:p>
    <w:p>
      <w:pPr>
        <w:spacing w:after="0" w:line="130" w:lineRule="exact"/>
        <w:rPr>
          <w:sz w:val="20"/>
          <w:szCs w:val="20"/>
          <w:color w:val="auto"/>
        </w:rPr>
      </w:pPr>
    </w:p>
    <w:p>
      <w:pPr>
        <w:ind w:left="650" w:right="40" w:hanging="647"/>
        <w:spacing w:after="0" w:line="276" w:lineRule="auto"/>
        <w:tabs>
          <w:tab w:leader="none" w:pos="62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 xml:space="preserve">Work to be Performed: </w:t>
      </w:r>
      <w:r>
        <w:rPr>
          <w:rFonts w:ascii="Arial" w:cs="Arial" w:eastAsia="Arial" w:hAnsi="Arial"/>
          <w:sz w:val="17"/>
          <w:szCs w:val="17"/>
          <w:color w:val="auto"/>
        </w:rPr>
        <w:t>The Subcontractor shall provide all labor, materials, tools, machinery, equipment and other items and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properly perform the work (hereinafter referred to as the “</w:t>
      </w:r>
      <w:r>
        <w:rPr>
          <w:rFonts w:ascii="Arial" w:cs="Arial" w:eastAsia="Arial" w:hAnsi="Arial"/>
          <w:sz w:val="17"/>
          <w:szCs w:val="17"/>
          <w:b w:val="1"/>
          <w:bCs w:val="1"/>
          <w:color w:val="auto"/>
        </w:rPr>
        <w:t>Services</w:t>
      </w:r>
      <w:r>
        <w:rPr>
          <w:rFonts w:ascii="Arial" w:cs="Arial" w:eastAsia="Arial" w:hAnsi="Arial"/>
          <w:sz w:val="17"/>
          <w:szCs w:val="17"/>
          <w:color w:val="auto"/>
        </w:rPr>
        <w:t>”) as set forth in writing between the parties under this Master Services Subcontract Agreement, including attachments, appendices and amendments thereto (“</w:t>
      </w:r>
      <w:r>
        <w:rPr>
          <w:rFonts w:ascii="Arial" w:cs="Arial" w:eastAsia="Arial" w:hAnsi="Arial"/>
          <w:sz w:val="17"/>
          <w:szCs w:val="17"/>
          <w:b w:val="1"/>
          <w:bCs w:val="1"/>
          <w:color w:val="auto"/>
        </w:rPr>
        <w:t>Agreement</w:t>
      </w:r>
      <w:r>
        <w:rPr>
          <w:rFonts w:ascii="Arial" w:cs="Arial" w:eastAsia="Arial" w:hAnsi="Arial"/>
          <w:sz w:val="17"/>
          <w:szCs w:val="17"/>
          <w:color w:val="auto"/>
        </w:rPr>
        <w:t>”). The Services shall be carried out in accordance with the Subcontract Documents in a diligent and workmanlike manner utilizing qualified personnel and good and sufficient materials and equipment. The Services shall be performed on a fixed price basis as set forth in the Appendices.</w:t>
      </w:r>
    </w:p>
    <w:p>
      <w:pPr>
        <w:spacing w:after="0" w:line="77" w:lineRule="exact"/>
        <w:rPr>
          <w:sz w:val="20"/>
          <w:szCs w:val="20"/>
          <w:color w:val="auto"/>
        </w:rPr>
      </w:pPr>
    </w:p>
    <w:p>
      <w:pPr>
        <w:ind w:left="650" w:right="520" w:hanging="647"/>
        <w:spacing w:after="0" w:line="281" w:lineRule="auto"/>
        <w:tabs>
          <w:tab w:leader="none" w:pos="629"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 xml:space="preserve">Ordering Provisions: </w:t>
      </w:r>
      <w:r>
        <w:rPr>
          <w:rFonts w:ascii="Arial" w:cs="Arial" w:eastAsia="Arial" w:hAnsi="Arial"/>
          <w:sz w:val="18"/>
          <w:szCs w:val="18"/>
          <w:color w:val="auto"/>
        </w:rPr>
        <w:t>The parties agree that the provisions of this Agreement apply to all of the Services performed by Subcontractor in</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of the referenced Client Contract.</w:t>
      </w:r>
    </w:p>
    <w:p>
      <w:pPr>
        <w:spacing w:after="0" w:line="68" w:lineRule="exact"/>
        <w:rPr>
          <w:sz w:val="20"/>
          <w:szCs w:val="20"/>
          <w:color w:val="auto"/>
        </w:rPr>
      </w:pPr>
    </w:p>
    <w:p>
      <w:pPr>
        <w:ind w:left="10"/>
        <w:spacing w:after="0"/>
        <w:tabs>
          <w:tab w:leader="none" w:pos="62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Ordering Agreements and Understandings:</w:t>
      </w:r>
    </w:p>
    <w:p>
      <w:pPr>
        <w:spacing w:after="0" w:line="134" w:lineRule="exact"/>
        <w:rPr>
          <w:sz w:val="20"/>
          <w:szCs w:val="20"/>
          <w:color w:val="auto"/>
        </w:rPr>
      </w:pPr>
    </w:p>
    <w:p>
      <w:pPr>
        <w:jc w:val="both"/>
        <w:ind w:left="1410" w:right="180" w:hanging="768"/>
        <w:spacing w:after="0" w:line="263" w:lineRule="auto"/>
        <w:tabs>
          <w:tab w:leader="none" w:pos="1389"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Company shall issue written purchase orders for Services (“Purchase Orders”) to be performed pursuant to this Agreement. Unless otherwise set forth in this Agreement, Purchase Orders are non-cancelable and shall be accepted by Subcontractor so long as they comply with the terms and conditions of this Agreement.</w:t>
      </w:r>
    </w:p>
    <w:p>
      <w:pPr>
        <w:spacing w:after="0" w:line="88" w:lineRule="exact"/>
        <w:rPr>
          <w:sz w:val="20"/>
          <w:szCs w:val="20"/>
          <w:color w:val="auto"/>
        </w:rPr>
      </w:pPr>
    </w:p>
    <w:p>
      <w:pPr>
        <w:ind w:left="650"/>
        <w:spacing w:after="0"/>
        <w:tabs>
          <w:tab w:leader="none" w:pos="1389"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Intentionally Omitted.</w:t>
      </w:r>
    </w:p>
    <w:p>
      <w:pPr>
        <w:spacing w:after="0" w:line="130" w:lineRule="exact"/>
        <w:rPr>
          <w:sz w:val="20"/>
          <w:szCs w:val="20"/>
          <w:color w:val="auto"/>
        </w:rPr>
      </w:pPr>
    </w:p>
    <w:p>
      <w:pPr>
        <w:ind w:left="650"/>
        <w:spacing w:after="0"/>
        <w:tabs>
          <w:tab w:leader="none" w:pos="1389"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Services Assignment Method</w:t>
      </w:r>
    </w:p>
    <w:p>
      <w:pPr>
        <w:spacing w:after="0" w:line="130" w:lineRule="exact"/>
        <w:rPr>
          <w:sz w:val="20"/>
          <w:szCs w:val="20"/>
          <w:color w:val="auto"/>
        </w:rPr>
      </w:pPr>
    </w:p>
    <w:p>
      <w:pPr>
        <w:ind w:left="2070" w:right="80" w:hanging="640"/>
        <w:spacing w:after="0" w:line="263" w:lineRule="auto"/>
        <w:tabs>
          <w:tab w:leader="none" w:pos="207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Company will issue one or more Purchase Orders for the Services to be completed by Subcontractor under this Agreement. Upon receipt of a Purchase Order, Subcontractor will complete Services in accordance with the schedule set forth in Appendix B.</w:t>
      </w:r>
    </w:p>
    <w:p>
      <w:pPr>
        <w:spacing w:after="0" w:line="88" w:lineRule="exact"/>
        <w:rPr>
          <w:rFonts w:ascii="Arial" w:cs="Arial" w:eastAsia="Arial" w:hAnsi="Arial"/>
          <w:sz w:val="18"/>
          <w:szCs w:val="18"/>
          <w:color w:val="auto"/>
        </w:rPr>
      </w:pPr>
    </w:p>
    <w:p>
      <w:pPr>
        <w:ind w:left="2070" w:right="20" w:hanging="640"/>
        <w:spacing w:after="0" w:line="263" w:lineRule="auto"/>
        <w:tabs>
          <w:tab w:leader="none" w:pos="207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there is no limit to the number of Purchase Orders that may be issued under this Agreement. Multiple Purchase Orders may be issued providing for Services with overlapping delivery schedules. Purchase Orders will be numbered consecutively.</w:t>
      </w:r>
    </w:p>
    <w:p>
      <w:pPr>
        <w:sectPr>
          <w:pgSz w:w="11900" w:h="16838" w:orient="portrait"/>
          <w:cols w:equalWidth="0" w:num="1">
            <w:col w:w="11010"/>
          </w:cols>
          <w:pgMar w:left="450" w:top="121" w:right="439" w:bottom="1440" w:gutter="0" w:footer="0" w:header="0"/>
        </w:sectPr>
      </w:pPr>
    </w:p>
    <w:bookmarkStart w:id="560" w:name="page561"/>
    <w:bookmarkEnd w:id="5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2</w:t>
      </w:r>
    </w:p>
    <w:p>
      <w:pPr>
        <w:spacing w:after="0" w:line="161" w:lineRule="exact"/>
        <w:rPr>
          <w:sz w:val="20"/>
          <w:szCs w:val="20"/>
          <w:color w:val="auto"/>
        </w:rPr>
      </w:pPr>
    </w:p>
    <w:p>
      <w:pPr>
        <w:ind w:left="2060" w:right="220" w:hanging="640"/>
        <w:spacing w:after="0" w:line="259" w:lineRule="auto"/>
        <w:tabs>
          <w:tab w:leader="none" w:pos="20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Purchase Order issued during the term of this Agreement and not completed within the term of this Agreement shall nevertheless be completed within the time specified in Appendix B unless the parties agree to a different schedule in writing. This Agreement shall govern the rights and obligations of the parties with respect to that Purchase Order to the same extent as if it were completed within the Agreement’s term.</w:t>
      </w:r>
    </w:p>
    <w:p>
      <w:pPr>
        <w:spacing w:after="0" w:line="91" w:lineRule="exact"/>
        <w:rPr>
          <w:rFonts w:ascii="Arial" w:cs="Arial" w:eastAsia="Arial" w:hAnsi="Arial"/>
          <w:sz w:val="18"/>
          <w:szCs w:val="18"/>
          <w:color w:val="auto"/>
        </w:rPr>
      </w:pPr>
    </w:p>
    <w:p>
      <w:pPr>
        <w:ind w:left="2060" w:right="120" w:hanging="640"/>
        <w:spacing w:after="0" w:line="277" w:lineRule="auto"/>
        <w:tabs>
          <w:tab w:leader="none" w:pos="20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Each Purchase Order issued hereunder, including any changes or terminations of any Purchase Order shall be incorporated into this Agreement and shall be subject to the terms and conditions of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SUBCONTRACT DOCUMENTS</w:t>
      </w:r>
    </w:p>
    <w:p>
      <w:pPr>
        <w:spacing w:after="0" w:line="130" w:lineRule="exact"/>
        <w:rPr>
          <w:sz w:val="20"/>
          <w:szCs w:val="20"/>
          <w:color w:val="auto"/>
        </w:rPr>
      </w:pPr>
    </w:p>
    <w:p>
      <w:pPr>
        <w:ind w:left="640" w:right="220" w:hanging="647"/>
        <w:spacing w:after="0" w:line="258"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documents listed in 2.2.1 through 2.2.5 together with any modifications issued in accordance with Article 12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constitute the “</w:t>
      </w:r>
      <w:r>
        <w:rPr>
          <w:rFonts w:ascii="Arial" w:cs="Arial" w:eastAsia="Arial" w:hAnsi="Arial"/>
          <w:sz w:val="18"/>
          <w:szCs w:val="18"/>
          <w:b w:val="1"/>
          <w:bCs w:val="1"/>
          <w:color w:val="auto"/>
        </w:rPr>
        <w:t>Subcontract Documents</w:t>
      </w:r>
      <w:r>
        <w:rPr>
          <w:rFonts w:ascii="Arial" w:cs="Arial" w:eastAsia="Arial" w:hAnsi="Arial"/>
          <w:sz w:val="18"/>
          <w:szCs w:val="18"/>
          <w:color w:val="auto"/>
        </w:rPr>
        <w:t>” of this Agreement which shall apply to any Purchase Order and this Agreement. Any terms and conditions on any forms used by Subcontractor or Company in connection with this Agreement that are not expressly incorporated into this Agreement shall be void and shall not act to supplement, modify or replace the terms and conditions of this Agreement, unless mutually agreed to in writing by both parties.</w:t>
      </w:r>
    </w:p>
    <w:p>
      <w:pPr>
        <w:spacing w:after="0" w:line="88" w:lineRule="exact"/>
        <w:rPr>
          <w:sz w:val="20"/>
          <w:szCs w:val="20"/>
          <w:color w:val="auto"/>
        </w:rPr>
      </w:pPr>
    </w:p>
    <w:p>
      <w:pPr>
        <w:ind w:left="640" w:right="140" w:hanging="647"/>
        <w:spacing w:after="0" w:line="281"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 xml:space="preserve">Precedence: </w:t>
      </w:r>
      <w:r>
        <w:rPr>
          <w:rFonts w:ascii="Arial" w:cs="Arial" w:eastAsia="Arial" w:hAnsi="Arial"/>
          <w:sz w:val="18"/>
          <w:szCs w:val="18"/>
          <w:color w:val="auto"/>
        </w:rPr>
        <w:t>In the event of any conflict or inconsistency between any of the Subcontract Documents, the following order of precedence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prevail:</w:t>
      </w:r>
    </w:p>
    <w:p>
      <w:pPr>
        <w:spacing w:after="0" w:line="72"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Appendix B – Subcontract Pricing</w:t>
      </w:r>
    </w:p>
    <w:p>
      <w:pPr>
        <w:spacing w:after="0" w:line="130"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Appendix A – Client Flowdown Clauses</w:t>
      </w:r>
    </w:p>
    <w:p>
      <w:pPr>
        <w:spacing w:after="0" w:line="130"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This Master Services Subcontract Agreement</w:t>
      </w:r>
    </w:p>
    <w:p>
      <w:pPr>
        <w:spacing w:after="0" w:line="130"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Appendix B – Services Description</w:t>
      </w:r>
    </w:p>
    <w:p>
      <w:pPr>
        <w:spacing w:after="0" w:line="126" w:lineRule="exact"/>
        <w:rPr>
          <w:sz w:val="20"/>
          <w:szCs w:val="20"/>
          <w:color w:val="auto"/>
        </w:rPr>
      </w:pPr>
    </w:p>
    <w:p>
      <w:pPr>
        <w:ind w:left="640" w:hanging="647"/>
        <w:spacing w:after="0" w:line="303"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 xml:space="preserve">Client Flowdown Clauses: </w:t>
      </w:r>
      <w:r>
        <w:rPr>
          <w:rFonts w:ascii="Arial" w:cs="Arial" w:eastAsia="Arial" w:hAnsi="Arial"/>
          <w:sz w:val="16"/>
          <w:szCs w:val="16"/>
          <w:color w:val="auto"/>
        </w:rPr>
        <w:t>Subject to the terms and conditions of this Agreement, the Subcontractor agrees to be bound to the Company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manner and to the same extent as Company is bound to the Client with respect to Client Flowdown Clauses, to the extent the provisions at Appendix A are applicable to the Services to be provided under this Agreement. The Subcontractor agrees to flow down these requirements to all lower tier Subcontractors that provide any services or work, to the extent required by the terms of the clauses.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SUBCONTRACT TERM</w:t>
      </w:r>
    </w:p>
    <w:p>
      <w:pPr>
        <w:spacing w:after="0" w:line="130" w:lineRule="exact"/>
        <w:rPr>
          <w:sz w:val="20"/>
          <w:szCs w:val="20"/>
          <w:color w:val="auto"/>
        </w:rPr>
      </w:pPr>
    </w:p>
    <w:p>
      <w:pPr>
        <w:jc w:val="both"/>
        <w:ind w:left="640" w:right="120" w:hanging="647"/>
        <w:spacing w:after="0" w:line="266"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this Agreement shall be from the Effective Date of this Agreement ending on the last day of the Client Contract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2021 but as may be extended), unless terminated sooner in as set forth in Section 14.2. Thereafter, this Agreement may be renewed for subsequent one (1) year terms as they mutually agree in writing.</w:t>
      </w:r>
    </w:p>
    <w:p>
      <w:pPr>
        <w:spacing w:after="0" w:line="81" w:lineRule="exact"/>
        <w:rPr>
          <w:sz w:val="20"/>
          <w:szCs w:val="20"/>
          <w:color w:val="auto"/>
        </w:rPr>
      </w:pPr>
    </w:p>
    <w:p>
      <w:pPr>
        <w:ind w:left="640" w:right="180" w:hanging="647"/>
        <w:spacing w:after="0" w:line="266"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 xml:space="preserve">Schedule: </w:t>
      </w:r>
      <w:r>
        <w:rPr>
          <w:rFonts w:ascii="Arial" w:cs="Arial" w:eastAsia="Arial" w:hAnsi="Arial"/>
          <w:sz w:val="18"/>
          <w:szCs w:val="18"/>
          <w:color w:val="auto"/>
        </w:rPr>
        <w:t>The Subcontractor shall provide the Services called for by the Purchase Order in accordance with the terms of this Agreement. All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shall be fully completed no later than the delivery periods specified in the Appendix B, unless sooner terminated or extended as provided herein.</w:t>
      </w:r>
    </w:p>
    <w:p>
      <w:pPr>
        <w:spacing w:after="0" w:line="81" w:lineRule="exact"/>
        <w:rPr>
          <w:sz w:val="20"/>
          <w:szCs w:val="20"/>
          <w:color w:val="auto"/>
        </w:rPr>
      </w:pPr>
    </w:p>
    <w:p>
      <w:pPr>
        <w:jc w:val="both"/>
        <w:ind w:left="640" w:right="80" w:hanging="647"/>
        <w:spacing w:after="0" w:line="287"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 xml:space="preserve">Delays: </w:t>
      </w:r>
      <w:r>
        <w:rPr>
          <w:rFonts w:ascii="Arial" w:cs="Arial" w:eastAsia="Arial" w:hAnsi="Arial"/>
          <w:sz w:val="16"/>
          <w:szCs w:val="16"/>
          <w:color w:val="auto"/>
        </w:rPr>
        <w:t>Except with respect to Company’s payment obligations to Subcontractor, neither Party shall be liable to the other for delays or failure</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 caused directly or indirectly by circumstances beyond that Party’s control, including but not limited to, acts of God, fire, flood, war, sabotage, accident, labor dispute, shortage, government action including regulatory requirements, changed conditions, or delays resulting from actions or inactions of Client provided, and only to the extent, such delays are not the result of the negligence of the party claiming the delay.</w:t>
      </w:r>
    </w:p>
    <w:p>
      <w:pPr>
        <w:spacing w:after="0" w:line="2" w:lineRule="exact"/>
        <w:rPr>
          <w:sz w:val="20"/>
          <w:szCs w:val="20"/>
          <w:color w:val="auto"/>
        </w:rPr>
      </w:pPr>
    </w:p>
    <w:p>
      <w:pPr>
        <w:ind w:left="640" w:right="200"/>
        <w:spacing w:after="0" w:line="255" w:lineRule="auto"/>
        <w:rPr>
          <w:sz w:val="20"/>
          <w:szCs w:val="20"/>
          <w:color w:val="auto"/>
        </w:rPr>
      </w:pPr>
      <w:r>
        <w:rPr>
          <w:rFonts w:ascii="Arial" w:cs="Arial" w:eastAsia="Arial" w:hAnsi="Arial"/>
          <w:sz w:val="18"/>
          <w:szCs w:val="18"/>
          <w:color w:val="auto"/>
        </w:rPr>
        <w:t>Should any of the above occur, then the date for completion or any other milestone date shall be adjusted through a negotiation of the parties, provided where the Subcontractor is claiming delay, the Subcontractor reports the delay to the Company within a reasonable time of its discovery.</w:t>
      </w:r>
    </w:p>
    <w:p>
      <w:pPr>
        <w:sectPr>
          <w:pgSz w:w="11900" w:h="16838" w:orient="portrait"/>
          <w:cols w:equalWidth="0" w:num="1">
            <w:col w:w="11000"/>
          </w:cols>
          <w:pgMar w:left="460" w:top="270" w:right="43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SUBCONTRACT PRICE</w:t>
      </w:r>
    </w:p>
    <w:p>
      <w:pPr>
        <w:spacing w:after="0" w:line="130" w:lineRule="exact"/>
        <w:rPr>
          <w:sz w:val="20"/>
          <w:szCs w:val="20"/>
          <w:color w:val="auto"/>
        </w:rPr>
      </w:pPr>
    </w:p>
    <w:p>
      <w:pPr>
        <w:ind w:left="640" w:right="120" w:hanging="647"/>
        <w:spacing w:after="0" w:line="281"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In consideration for performing the Services, the Company shall pay to the Subcontractor the sum specified in each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 in accordance with the payment provisions of this Agreement and such Purchase Order.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PAYMENT PROVISIONS</w:t>
      </w:r>
    </w:p>
    <w:p>
      <w:pPr>
        <w:spacing w:after="0" w:line="130" w:lineRule="exact"/>
        <w:rPr>
          <w:sz w:val="20"/>
          <w:szCs w:val="20"/>
          <w:color w:val="auto"/>
        </w:rPr>
      </w:pPr>
    </w:p>
    <w:p>
      <w:pPr>
        <w:ind w:left="640" w:right="100" w:hanging="647"/>
        <w:spacing w:after="0" w:line="260"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 xml:space="preserve">Payment: </w:t>
      </w:r>
      <w:r>
        <w:rPr>
          <w:rFonts w:ascii="Arial" w:cs="Arial" w:eastAsia="Arial" w:hAnsi="Arial"/>
          <w:sz w:val="18"/>
          <w:szCs w:val="18"/>
          <w:color w:val="auto"/>
        </w:rPr>
        <w:t>Payments will be made as set forth in this Agreement and the Purchase Order. Invoices shall be prepared and submitted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manner and format specified in Article 5.4. Payment shall be made within [***] calendar days of receipt of Subcontractor’s invoice. Subcontractor shall promptly notify Company of any overpayment. Any amounts not paid when due will accrue interest at the rate of [***], or the maximum amount allowed by law, if lower.</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 xml:space="preserve">Retention: </w:t>
      </w:r>
      <w:r>
        <w:rPr>
          <w:rFonts w:ascii="Arial" w:cs="Arial" w:eastAsia="Arial" w:hAnsi="Arial"/>
          <w:sz w:val="17"/>
          <w:szCs w:val="17"/>
          <w:color w:val="auto"/>
        </w:rPr>
        <w:t>[INTENTIONALLY OMITTED AND RESERVED.]</w:t>
      </w:r>
    </w:p>
    <w:p>
      <w:pPr>
        <w:spacing w:after="0" w:line="130" w:lineRule="exact"/>
        <w:rPr>
          <w:sz w:val="20"/>
          <w:szCs w:val="20"/>
          <w:color w:val="auto"/>
        </w:rPr>
      </w:pPr>
    </w:p>
    <w:p>
      <w:pPr>
        <w:ind w:left="640" w:right="60" w:hanging="647"/>
        <w:spacing w:after="0" w:line="258"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 xml:space="preserve">Travel: </w:t>
      </w:r>
      <w:r>
        <w:rPr>
          <w:rFonts w:ascii="Arial" w:cs="Arial" w:eastAsia="Arial" w:hAnsi="Arial"/>
          <w:sz w:val="18"/>
          <w:szCs w:val="18"/>
          <w:color w:val="auto"/>
        </w:rPr>
        <w:t>Local travel will be at the Subcontractor’s expense. Local travel is hereby defined as travel within a 50-mile radius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local office. All other travel for which Subcontractor requests to be reimbursed must be approved in advance and in writing. Such approved travel required during the performance of this Agreement will be subject to the terms and conditions and applicable rates as set forth in the Federal Travel Regulations and only as negotiated in the individual Purchase Order as a separate expense or as part of the fixed price.</w:t>
      </w:r>
    </w:p>
    <w:p>
      <w:pPr>
        <w:spacing w:after="0" w:line="88" w:lineRule="exact"/>
        <w:rPr>
          <w:sz w:val="20"/>
          <w:szCs w:val="20"/>
          <w:color w:val="auto"/>
        </w:rPr>
      </w:pPr>
    </w:p>
    <w:p>
      <w:pPr>
        <w:ind w:left="640" w:hanging="647"/>
        <w:spacing w:after="0" w:line="256" w:lineRule="auto"/>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 xml:space="preserve">Invoicing Instructions: </w:t>
      </w:r>
      <w:r>
        <w:rPr>
          <w:rFonts w:ascii="Arial" w:cs="Arial" w:eastAsia="Arial" w:hAnsi="Arial"/>
          <w:sz w:val="18"/>
          <w:szCs w:val="18"/>
          <w:color w:val="auto"/>
        </w:rPr>
        <w:t>The Subcontractor will submit invoices for each Results (defined below) shipped hereunder and with at least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information: All invoices must clearly indicate the name and address of the Subcontractor, the invoice date and number, purchase order number, name and address of Subcontractor official to whom payment is to be sent, description, quantity, unit of measure, unit price and extended price of Results (defined below) shipped under the applicable Purchase Order. By submitting an invoice under this Agreement, Subcontractor is certifying that all payments requested are correct and in accordance with the terms of the Agreement and that payment has not been received. Invoices will be addressed as follows:</w:t>
      </w:r>
    </w:p>
    <w:p>
      <w:pPr>
        <w:spacing w:after="0" w:line="213"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Invoices to:</w:t>
      </w:r>
      <w:r>
        <w:rPr>
          <w:sz w:val="20"/>
          <w:szCs w:val="20"/>
          <w:color w:val="auto"/>
        </w:rPr>
        <w:tab/>
      </w:r>
      <w:r>
        <w:rPr>
          <w:rFonts w:ascii="Arial" w:cs="Arial" w:eastAsia="Arial" w:hAnsi="Arial"/>
          <w:sz w:val="15"/>
          <w:szCs w:val="15"/>
          <w:b w:val="1"/>
          <w:bCs w:val="1"/>
          <w:color w:val="auto"/>
        </w:rPr>
        <w:t>Personalis, Inc.</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Attn: [***]</w:t>
      </w:r>
    </w:p>
    <w:p>
      <w:pPr>
        <w:spacing w:after="0" w:line="112" w:lineRule="exact"/>
        <w:rPr>
          <w:sz w:val="20"/>
          <w:szCs w:val="20"/>
          <w:color w:val="auto"/>
        </w:rPr>
      </w:pPr>
    </w:p>
    <w:p>
      <w:pPr>
        <w:ind w:left="640" w:right="120" w:hanging="647"/>
        <w:spacing w:after="0" w:line="260" w:lineRule="auto"/>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color w:val="auto"/>
        </w:rPr>
        <w:t xml:space="preserve">Final Invoice: </w:t>
      </w:r>
      <w:r>
        <w:rPr>
          <w:rFonts w:ascii="Arial" w:cs="Arial" w:eastAsia="Arial" w:hAnsi="Arial"/>
          <w:sz w:val="18"/>
          <w:szCs w:val="18"/>
          <w:color w:val="auto"/>
        </w:rPr>
        <w:t>Notwithstanding any other provision in this Agreement to the contrary, Subcontractor is required to submit the final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each Purchase Order not later than [***] days after completion of the Services required by such Purchase Order. Any invoices received after that time will not be paid by the Company. No new claims for additional compensation will be considered after submittal of the final invoice under each Purchase Order.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COMMUNICATIONS</w:t>
      </w:r>
    </w:p>
    <w:p>
      <w:pPr>
        <w:spacing w:after="0" w:line="130" w:lineRule="exact"/>
        <w:rPr>
          <w:sz w:val="20"/>
          <w:szCs w:val="20"/>
          <w:color w:val="auto"/>
        </w:rPr>
      </w:pPr>
    </w:p>
    <w:p>
      <w:pPr>
        <w:ind w:left="640" w:right="80" w:hanging="647"/>
        <w:spacing w:after="0" w:line="272"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 xml:space="preserve">Agreement Administration: </w:t>
      </w:r>
      <w:r>
        <w:rPr>
          <w:rFonts w:ascii="Arial" w:cs="Arial" w:eastAsia="Arial" w:hAnsi="Arial"/>
          <w:sz w:val="17"/>
          <w:szCs w:val="17"/>
          <w:color w:val="auto"/>
        </w:rPr>
        <w:t>Subcontractor contacts with the Company regarding prices, terms, financial actions, etc., or any contacts which</w:t>
      </w:r>
      <w:r>
        <w:rPr>
          <w:rFonts w:ascii="Arial" w:cs="Arial" w:eastAsia="Arial" w:hAnsi="Arial"/>
          <w:sz w:val="17"/>
          <w:szCs w:val="17"/>
          <w:b w:val="1"/>
          <w:bCs w:val="1"/>
          <w:color w:val="auto"/>
        </w:rPr>
        <w:t xml:space="preserve"> </w:t>
      </w:r>
      <w:r>
        <w:rPr>
          <w:rFonts w:ascii="Arial" w:cs="Arial" w:eastAsia="Arial" w:hAnsi="Arial"/>
          <w:sz w:val="17"/>
          <w:szCs w:val="17"/>
          <w:color w:val="auto"/>
        </w:rPr>
        <w:t>purport to modify any term of this Agreement, or Subcontractor or Company obligations, shall be made only with the Company’s designated Subcontract Administrator. Agreement(s) and/or actions taken by the Subcontractor or Company which by their nature effect a change to this Agreement shall only be binding upon the Company and Subcontractor when such agreement or action is specifically authorized in writing by an authorized representative of each of the parties. All notices between the Subcontractor and the Company and Company and Subcontractor shall be addressed to the following and be sent via registered mail or overnight courier. For purposes of this Agreement, the following individual is designated as the Company’s Subcontract Administrator:</w:t>
      </w:r>
    </w:p>
    <w:p>
      <w:pPr>
        <w:sectPr>
          <w:pgSz w:w="11900" w:h="16838" w:orient="portrait"/>
          <w:cols w:equalWidth="0" w:num="1">
            <w:col w:w="10940"/>
          </w:cols>
          <w:pgMar w:left="460" w:top="270" w:right="49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1330 O’Brien Drive, Menlo Park, CA 94025</w:t>
      </w:r>
    </w:p>
    <w:p>
      <w:pPr>
        <w:sectPr>
          <w:pgSz w:w="11900" w:h="16838" w:orient="portrait"/>
          <w:cols w:equalWidth="0" w:num="2">
            <w:col w:w="1300" w:space="180"/>
            <w:col w:w="9460"/>
          </w:cols>
          <w:pgMar w:left="460" w:top="270" w:right="499" w:bottom="1440" w:gutter="0" w:footer="0" w:header="0"/>
          <w:type w:val="continuous"/>
        </w:sectPr>
      </w:pPr>
    </w:p>
    <w:bookmarkStart w:id="562" w:name="page563"/>
    <w:bookmarkEnd w:id="5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4</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Phone:</w:t>
            </w:r>
          </w:p>
        </w:tc>
        <w:tc>
          <w:tcPr>
            <w:tcW w:w="1740" w:type="dxa"/>
            <w:vAlign w:val="bottom"/>
          </w:tcPr>
          <w:p>
            <w:pPr>
              <w:ind w:left="140"/>
              <w:spacing w:after="0"/>
              <w:rPr>
                <w:sz w:val="20"/>
                <w:szCs w:val="20"/>
                <w:color w:val="auto"/>
              </w:rPr>
            </w:pPr>
            <w:r>
              <w:rPr>
                <w:rFonts w:ascii="Arial" w:cs="Arial" w:eastAsia="Arial" w:hAnsi="Arial"/>
                <w:sz w:val="18"/>
                <w:szCs w:val="18"/>
                <w:color w:val="auto"/>
              </w:rPr>
              <w:t>650-752-1330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Fax:</w:t>
            </w:r>
          </w:p>
        </w:tc>
        <w:tc>
          <w:tcPr>
            <w:tcW w:w="1740" w:type="dxa"/>
            <w:vAlign w:val="bottom"/>
          </w:tcPr>
          <w:p>
            <w:pPr>
              <w:ind w:left="140"/>
              <w:spacing w:after="0"/>
              <w:rPr>
                <w:sz w:val="20"/>
                <w:szCs w:val="20"/>
                <w:color w:val="auto"/>
              </w:rPr>
            </w:pPr>
            <w:r>
              <w:rPr>
                <w:rFonts w:ascii="Arial" w:cs="Arial" w:eastAsia="Arial" w:hAnsi="Arial"/>
                <w:sz w:val="18"/>
                <w:szCs w:val="18"/>
                <w:color w:val="auto"/>
              </w:rPr>
              <w:t>650-752-1301</w:t>
            </w:r>
          </w:p>
        </w:tc>
        <w:tc>
          <w:tcPr>
            <w:tcW w:w="0" w:type="dxa"/>
            <w:vAlign w:val="bottom"/>
          </w:tcPr>
          <w:p>
            <w:pPr>
              <w:spacing w:after="0"/>
              <w:rPr>
                <w:sz w:val="1"/>
                <w:szCs w:val="1"/>
                <w:color w:val="auto"/>
              </w:rPr>
            </w:pPr>
          </w:p>
        </w:tc>
      </w:tr>
      <w:tr>
        <w:trPr>
          <w:trHeight w:val="417"/>
        </w:trPr>
        <w:tc>
          <w:tcPr>
            <w:tcW w:w="1100" w:type="dxa"/>
            <w:vAlign w:val="bottom"/>
          </w:tcPr>
          <w:p>
            <w:pPr>
              <w:spacing w:after="0"/>
              <w:rPr>
                <w:sz w:val="20"/>
                <w:szCs w:val="20"/>
                <w:color w:val="auto"/>
              </w:rPr>
            </w:pPr>
            <w:r>
              <w:rPr>
                <w:rFonts w:ascii="Arial" w:cs="Arial" w:eastAsia="Arial" w:hAnsi="Arial"/>
                <w:sz w:val="18"/>
                <w:szCs w:val="18"/>
                <w:color w:val="auto"/>
              </w:rPr>
              <w:t>Illumina, Inc.</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Name</w:t>
            </w:r>
          </w:p>
        </w:tc>
        <w:tc>
          <w:tcPr>
            <w:tcW w:w="174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174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1740" w:type="dxa"/>
            <w:vAlign w:val="bottom"/>
          </w:tcPr>
          <w:p>
            <w:pPr>
              <w:ind w:left="140"/>
              <w:spacing w:after="0"/>
              <w:rPr>
                <w:sz w:val="20"/>
                <w:szCs w:val="20"/>
                <w:color w:val="auto"/>
              </w:rPr>
            </w:pPr>
            <w:r>
              <w:rPr>
                <w:rFonts w:ascii="Arial" w:cs="Arial" w:eastAsia="Arial" w:hAnsi="Arial"/>
                <w:sz w:val="18"/>
                <w:szCs w:val="18"/>
                <w:color w:val="auto"/>
              </w:rPr>
              <w:t>5200 Illumina Way</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Phone:</w:t>
            </w:r>
          </w:p>
        </w:tc>
        <w:tc>
          <w:tcPr>
            <w:tcW w:w="1740" w:type="dxa"/>
            <w:vAlign w:val="bottom"/>
          </w:tcPr>
          <w:p>
            <w:pPr>
              <w:ind w:left="140"/>
              <w:spacing w:after="0"/>
              <w:rPr>
                <w:sz w:val="20"/>
                <w:szCs w:val="20"/>
                <w:color w:val="auto"/>
              </w:rPr>
            </w:pPr>
            <w:r>
              <w:rPr>
                <w:rFonts w:ascii="Arial" w:cs="Arial" w:eastAsia="Arial" w:hAnsi="Arial"/>
                <w:sz w:val="18"/>
                <w:szCs w:val="18"/>
                <w:color w:val="auto"/>
                <w:w w:val="90"/>
              </w:rPr>
              <w:t>San Diego, CA 92122</w:t>
            </w:r>
          </w:p>
        </w:tc>
        <w:tc>
          <w:tcPr>
            <w:tcW w:w="0" w:type="dxa"/>
            <w:vAlign w:val="bottom"/>
          </w:tcPr>
          <w:p>
            <w:pPr>
              <w:spacing w:after="0"/>
              <w:rPr>
                <w:sz w:val="1"/>
                <w:szCs w:val="1"/>
                <w:color w:val="auto"/>
              </w:rPr>
            </w:pPr>
          </w:p>
        </w:tc>
      </w:tr>
      <w:tr>
        <w:trPr>
          <w:trHeight w:val="201"/>
        </w:trPr>
        <w:tc>
          <w:tcPr>
            <w:tcW w:w="11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Fax:</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right="20" w:hanging="647"/>
        <w:spacing w:after="0" w:line="260"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Communications with Client</w:t>
      </w:r>
      <w:r>
        <w:rPr>
          <w:rFonts w:ascii="Arial" w:cs="Arial" w:eastAsia="Arial" w:hAnsi="Arial"/>
          <w:sz w:val="18"/>
          <w:szCs w:val="18"/>
          <w:color w:val="auto"/>
        </w:rPr>
        <w:t>: All of Subcontractor’s written or oral communication with or to Client, or with Federal, State, or local agencies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to work under this Agreement must be through or with the authorization of the Company’s designated Technical Representative. Unless an alternative contact is identified in a Purchase Order or as otherwise provided by written notice from the Company, for the purposes of this Agreement, the Company’s Technical Representative is:</w:t>
      </w:r>
    </w:p>
    <w:p>
      <w:pPr>
        <w:sectPr>
          <w:pgSz w:w="11900" w:h="16838" w:orient="portrait"/>
          <w:cols w:equalWidth="0" w:num="1">
            <w:col w:w="11000"/>
          </w:cols>
          <w:pgMar w:left="460" w:top="270" w:right="439" w:bottom="1440" w:gutter="0" w:footer="0" w:header="0"/>
        </w:sectPr>
      </w:pP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1330 O’Brien Drive, Menlo Park, CA 94025</w:t>
      </w:r>
    </w:p>
    <w:p>
      <w:pPr>
        <w:spacing w:after="0" w:line="654" w:lineRule="exact"/>
        <w:rPr>
          <w:sz w:val="20"/>
          <w:szCs w:val="20"/>
          <w:color w:val="auto"/>
        </w:rPr>
      </w:pPr>
    </w:p>
    <w:p>
      <w:pPr>
        <w:sectPr>
          <w:pgSz w:w="11900" w:h="16838" w:orient="portrait"/>
          <w:cols w:equalWidth="0" w:num="2">
            <w:col w:w="1300" w:space="180"/>
            <w:col w:w="9520"/>
          </w:cols>
          <w:pgMar w:left="460" w:top="270" w:right="4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SAMPLES/RESULTS/RESEARCH USE ONLY</w:t>
      </w:r>
    </w:p>
    <w:p>
      <w:pPr>
        <w:spacing w:after="0" w:line="130" w:lineRule="exact"/>
        <w:rPr>
          <w:sz w:val="20"/>
          <w:szCs w:val="20"/>
          <w:color w:val="auto"/>
        </w:rPr>
      </w:pPr>
    </w:p>
    <w:p>
      <w:pPr>
        <w:ind w:left="640" w:right="160" w:hanging="647"/>
        <w:spacing w:after="0" w:line="292"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 xml:space="preserve">Ownership of Samples. </w:t>
      </w:r>
      <w:r>
        <w:rPr>
          <w:rFonts w:ascii="Arial" w:cs="Arial" w:eastAsia="Arial" w:hAnsi="Arial"/>
          <w:sz w:val="16"/>
          <w:szCs w:val="16"/>
          <w:color w:val="auto"/>
        </w:rPr>
        <w:t>Company represents and warrants that it owns or otherwise controls the sample(s) to be provided by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 as described in the applicable Purchase Order (“</w:t>
      </w:r>
      <w:r>
        <w:rPr>
          <w:rFonts w:ascii="Arial" w:cs="Arial" w:eastAsia="Arial" w:hAnsi="Arial"/>
          <w:sz w:val="16"/>
          <w:szCs w:val="16"/>
          <w:b w:val="1"/>
          <w:bCs w:val="1"/>
          <w:color w:val="auto"/>
        </w:rPr>
        <w:t>Samples</w:t>
      </w:r>
      <w:r>
        <w:rPr>
          <w:rFonts w:ascii="Arial" w:cs="Arial" w:eastAsia="Arial" w:hAnsi="Arial"/>
          <w:sz w:val="16"/>
          <w:szCs w:val="16"/>
          <w:color w:val="auto"/>
        </w:rPr>
        <w:t>”) and that it has the right to provide the Samples to Subcontractor for the purpose described therein. Subcontractor shall use the Samples solely for the purpose of performing this Agreement. Unless instructed otherwise in writing by Company, Subcontractor agrees that it will promptly return any unused Samples or portions thereof following the delivery of the Results (defined below). As between Company and Subcontractor, Company shall at all times retain all right, title, and interest in the Samples provided hereunder. Company shall provide all Samples and any related information in de-identified form and Company shall not provide Subcontractor any information that might allow Subcontractor to re-identify the donor of the Samples.</w:t>
      </w:r>
    </w:p>
    <w:p>
      <w:pPr>
        <w:spacing w:after="0" w:line="65" w:lineRule="exact"/>
        <w:rPr>
          <w:sz w:val="20"/>
          <w:szCs w:val="20"/>
          <w:color w:val="auto"/>
        </w:rPr>
      </w:pPr>
    </w:p>
    <w:p>
      <w:pPr>
        <w:ind w:left="640" w:hanging="647"/>
        <w:spacing w:after="0" w:line="288"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 xml:space="preserve">Ownership of Results. </w:t>
      </w:r>
      <w:r>
        <w:rPr>
          <w:rFonts w:ascii="Arial" w:cs="Arial" w:eastAsia="Arial" w:hAnsi="Arial"/>
          <w:sz w:val="16"/>
          <w:szCs w:val="16"/>
          <w:color w:val="auto"/>
        </w:rPr>
        <w:t>The data that are generated through performance of the Services and the deliverables as described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Purchase Order (“</w:t>
      </w:r>
      <w:r>
        <w:rPr>
          <w:rFonts w:ascii="Arial" w:cs="Arial" w:eastAsia="Arial" w:hAnsi="Arial"/>
          <w:sz w:val="16"/>
          <w:szCs w:val="16"/>
          <w:b w:val="1"/>
          <w:bCs w:val="1"/>
          <w:color w:val="auto"/>
        </w:rPr>
        <w:t>Results</w:t>
      </w:r>
      <w:r>
        <w:rPr>
          <w:rFonts w:ascii="Arial" w:cs="Arial" w:eastAsia="Arial" w:hAnsi="Arial"/>
          <w:sz w:val="16"/>
          <w:szCs w:val="16"/>
          <w:color w:val="auto"/>
        </w:rPr>
        <w:t>”) shall be owned by Company; provided that, the Results do not include Improvements. “</w:t>
      </w:r>
      <w:r>
        <w:rPr>
          <w:rFonts w:ascii="Arial" w:cs="Arial" w:eastAsia="Arial" w:hAnsi="Arial"/>
          <w:sz w:val="16"/>
          <w:szCs w:val="16"/>
          <w:b w:val="1"/>
          <w:bCs w:val="1"/>
          <w:color w:val="auto"/>
        </w:rPr>
        <w:t>Improvements</w:t>
      </w:r>
      <w:r>
        <w:rPr>
          <w:rFonts w:ascii="Arial" w:cs="Arial" w:eastAsia="Arial" w:hAnsi="Arial"/>
          <w:sz w:val="16"/>
          <w:szCs w:val="16"/>
          <w:color w:val="auto"/>
        </w:rPr>
        <w:t>” means any improvements, modifications, or changes to the Illumina Technology whether they are made prior to, during, or after performance under this Agreement. Such improvements may result from, among other things, the analysis of the Results in the aggregate with other genomic information in Illumina’s possession and with similar information from other Illumina customers (e.g., comparing whole genome sequences in order to calculate allele frequencies, detect systematic errors, improving variant caller and aligners, etc.). “</w:t>
      </w:r>
      <w:r>
        <w:rPr>
          <w:rFonts w:ascii="Arial" w:cs="Arial" w:eastAsia="Arial" w:hAnsi="Arial"/>
          <w:sz w:val="16"/>
          <w:szCs w:val="16"/>
          <w:b w:val="1"/>
          <w:bCs w:val="1"/>
          <w:color w:val="auto"/>
        </w:rPr>
        <w:t>Illumina Technology</w:t>
      </w:r>
      <w:r>
        <w:rPr>
          <w:rFonts w:ascii="Arial" w:cs="Arial" w:eastAsia="Arial" w:hAnsi="Arial"/>
          <w:sz w:val="16"/>
          <w:szCs w:val="16"/>
          <w:color w:val="auto"/>
        </w:rPr>
        <w:t xml:space="preserve">” means the technology, tools, instruments, reagents, and software including, without limitation, the processes, workflows, recipes, methods, information, bioinformatics tools and techniques used to perform under this Agreement. This Agreement does not give Subcontractor any ownership interest in or to the Results. </w:t>
      </w:r>
      <w:r>
        <w:rPr>
          <w:rFonts w:ascii="Arial" w:cs="Arial" w:eastAsia="Arial" w:hAnsi="Arial"/>
          <w:sz w:val="16"/>
          <w:szCs w:val="16"/>
          <w:b w:val="1"/>
          <w:bCs w:val="1"/>
          <w:color w:val="auto"/>
        </w:rPr>
        <w:t>For the avoidance of doubt, the Results are the sole deliverable under this Agreement and will be physically shipped</w:t>
      </w:r>
      <w:r>
        <w:rPr>
          <w:rFonts w:ascii="Arial" w:cs="Arial" w:eastAsia="Arial" w:hAnsi="Arial"/>
          <w:sz w:val="16"/>
          <w:szCs w:val="16"/>
          <w:color w:val="auto"/>
        </w:rPr>
        <w:t xml:space="preserve"> </w:t>
      </w:r>
      <w:r>
        <w:rPr>
          <w:rFonts w:ascii="Arial" w:cs="Arial" w:eastAsia="Arial" w:hAnsi="Arial"/>
          <w:sz w:val="16"/>
          <w:szCs w:val="16"/>
          <w:b w:val="1"/>
          <w:bCs w:val="1"/>
          <w:color w:val="auto"/>
        </w:rPr>
        <w:t>on hard drives (or via electronic means if agreed to by the parties).</w:t>
      </w:r>
    </w:p>
    <w:p>
      <w:pPr>
        <w:spacing w:after="0" w:line="72" w:lineRule="exact"/>
        <w:rPr>
          <w:sz w:val="20"/>
          <w:szCs w:val="20"/>
          <w:color w:val="auto"/>
        </w:rPr>
      </w:pPr>
    </w:p>
    <w:p>
      <w:pPr>
        <w:ind w:left="640" w:right="120" w:hanging="647"/>
        <w:spacing w:after="0" w:line="280"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color w:val="auto"/>
        </w:rPr>
        <w:t xml:space="preserve">Research Use Only. </w:t>
      </w:r>
      <w:r>
        <w:rPr>
          <w:rFonts w:ascii="Arial" w:cs="Arial" w:eastAsia="Arial" w:hAnsi="Arial"/>
          <w:sz w:val="17"/>
          <w:szCs w:val="17"/>
          <w:color w:val="auto"/>
        </w:rPr>
        <w:t>The services are provided for research use only and are not being performed in a clinical laboratory (e.g., the services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being performed in a CLIA-certified laboratory). The services are not a test or kit designed to diagnose, treat, or prevent a disease or medical condition, and the Results are not intended to be medical advice. The services have not been cleared by any country’s medical regulatory agency, including the United States Food and Drug Administration, for diagnostic use or any other purpose.</w:t>
      </w:r>
    </w:p>
    <w:p>
      <w:pPr>
        <w:sectPr>
          <w:pgSz w:w="11900" w:h="16838" w:orient="portrait"/>
          <w:cols w:equalWidth="0" w:num="1">
            <w:col w:w="11000"/>
          </w:cols>
          <w:pgMar w:left="460" w:top="270" w:right="439" w:bottom="1440" w:gutter="0" w:footer="0" w:header="0"/>
          <w:type w:val="continuous"/>
        </w:sectPr>
      </w:pPr>
    </w:p>
    <w:bookmarkStart w:id="563" w:name="page564"/>
    <w:bookmarkEnd w:id="5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5</w:t>
      </w:r>
    </w:p>
    <w:p>
      <w:pPr>
        <w:spacing w:after="0" w:line="157" w:lineRule="exact"/>
        <w:rPr>
          <w:sz w:val="20"/>
          <w:szCs w:val="20"/>
          <w:color w:val="auto"/>
        </w:rPr>
      </w:pPr>
    </w:p>
    <w:p>
      <w:pPr>
        <w:ind w:left="640" w:right="120" w:hanging="647"/>
        <w:spacing w:after="0" w:line="276"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b w:val="1"/>
          <w:bCs w:val="1"/>
          <w:color w:val="auto"/>
        </w:rPr>
        <w:t xml:space="preserve">Information Transfer; Samples. </w:t>
      </w:r>
      <w:r>
        <w:rPr>
          <w:rFonts w:ascii="Arial" w:cs="Arial" w:eastAsia="Arial" w:hAnsi="Arial"/>
          <w:sz w:val="17"/>
          <w:szCs w:val="17"/>
          <w:color w:val="auto"/>
        </w:rPr>
        <w:t>In order to ensure timely and satisfactory performance of the services, it is critical that Company provide all</w:t>
      </w:r>
      <w:r>
        <w:rPr>
          <w:rFonts w:ascii="Arial" w:cs="Arial" w:eastAsia="Arial" w:hAnsi="Arial"/>
          <w:sz w:val="17"/>
          <w:szCs w:val="17"/>
          <w:b w:val="1"/>
          <w:bCs w:val="1"/>
          <w:color w:val="auto"/>
        </w:rPr>
        <w:t xml:space="preserve"> </w:t>
      </w:r>
      <w:r>
        <w:rPr>
          <w:rFonts w:ascii="Arial" w:cs="Arial" w:eastAsia="Arial" w:hAnsi="Arial"/>
          <w:sz w:val="17"/>
          <w:szCs w:val="17"/>
          <w:color w:val="auto"/>
        </w:rPr>
        <w:t>relevant information and materials in a timely manner to Subcontractor. Company agrees to provide the Samples and all other information and materials as specified in the Purchase Order in accordance with the guidelines set forth in this Agreement. Any failure to provide the Samples, information, and any other materials in accordance with the Purchase Order or this Agreement may result in delays in the project. See the Appendix B for additional information concerning Sample quality requirements.</w:t>
      </w:r>
    </w:p>
    <w:p>
      <w:pPr>
        <w:spacing w:after="0" w:line="77" w:lineRule="exact"/>
        <w:rPr>
          <w:sz w:val="20"/>
          <w:szCs w:val="20"/>
          <w:color w:val="auto"/>
        </w:rPr>
      </w:pPr>
    </w:p>
    <w:p>
      <w:pPr>
        <w:ind w:left="640" w:right="180" w:hanging="647"/>
        <w:spacing w:after="0" w:line="258" w:lineRule="auto"/>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b w:val="1"/>
          <w:bCs w:val="1"/>
          <w:color w:val="auto"/>
        </w:rPr>
        <w:t xml:space="preserve">Delivery of Results. </w:t>
      </w:r>
      <w:r>
        <w:rPr>
          <w:rFonts w:ascii="Arial" w:cs="Arial" w:eastAsia="Arial" w:hAnsi="Arial"/>
          <w:sz w:val="18"/>
          <w:szCs w:val="18"/>
          <w:color w:val="auto"/>
        </w:rPr>
        <w:t>Delivery of Results shall have occurred by one of the following means, to be determined by mutual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 if Results are to be delivered electronically, once Subcontractor has transmitted an electronic file containing all or a portion of the Results to Subcontractor’s FTP web site or other site as mutually agreed and has notified Company that such file is available, or (b) if Results are to be delivered in one or more hard drive(s) or other physical material, upon shipment FOB origin of such hard drive(s) or material containing all or a portion of the Results.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INSURANCE AND RISK ALLOCATION</w:t>
      </w:r>
    </w:p>
    <w:p>
      <w:pPr>
        <w:spacing w:after="0" w:line="130" w:lineRule="exact"/>
        <w:rPr>
          <w:sz w:val="20"/>
          <w:szCs w:val="20"/>
          <w:color w:val="auto"/>
        </w:rPr>
      </w:pPr>
    </w:p>
    <w:p>
      <w:pPr>
        <w:ind w:left="640" w:right="20" w:hanging="647"/>
        <w:spacing w:after="0" w:line="260"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Subcontractor shall purchase and maintain through the course of performing the Services (and for a minimum of two years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completion or termination of this Agreement for all “claims made” policies), such insurances as will protect the Subcontractor, Client and Company from claims which may arise out of or result from its operations hereunder (whether by itself, any Subcontractors, anyone directly or indirectly employed by any of them, or anyone for whose acts any of them may be liable):</w:t>
      </w:r>
    </w:p>
    <w:p>
      <w:pPr>
        <w:spacing w:after="0" w:line="88"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color w:val="auto"/>
        </w:rPr>
        <w:t xml:space="preserve">Coverage: </w:t>
      </w:r>
      <w:r>
        <w:rPr>
          <w:rFonts w:ascii="Arial" w:cs="Arial" w:eastAsia="Arial" w:hAnsi="Arial"/>
          <w:sz w:val="16"/>
          <w:szCs w:val="16"/>
          <w:color w:val="auto"/>
        </w:rPr>
        <w:t>Minimum insurance requirements are:</w:t>
      </w:r>
    </w:p>
    <w:p>
      <w:pPr>
        <w:spacing w:after="0" w:line="134" w:lineRule="exact"/>
        <w:rPr>
          <w:sz w:val="20"/>
          <w:szCs w:val="20"/>
          <w:color w:val="auto"/>
        </w:rPr>
      </w:pPr>
    </w:p>
    <w:p>
      <w:pPr>
        <w:ind w:left="2060" w:right="260" w:hanging="646"/>
        <w:spacing w:after="0" w:line="286" w:lineRule="auto"/>
        <w:tabs>
          <w:tab w:leader="none" w:pos="2040" w:val="left"/>
        </w:tabs>
        <w:rPr>
          <w:sz w:val="20"/>
          <w:szCs w:val="20"/>
          <w:color w:val="auto"/>
        </w:rPr>
      </w:pPr>
      <w:r>
        <w:rPr>
          <w:rFonts w:ascii="Arial" w:cs="Arial" w:eastAsia="Arial" w:hAnsi="Arial"/>
          <w:sz w:val="18"/>
          <w:szCs w:val="18"/>
          <w:color w:val="auto"/>
        </w:rPr>
        <w:t>8.1.1.1</w:t>
      </w:r>
      <w:r>
        <w:rPr>
          <w:sz w:val="20"/>
          <w:szCs w:val="20"/>
          <w:color w:val="auto"/>
        </w:rPr>
        <w:tab/>
      </w:r>
      <w:r>
        <w:rPr>
          <w:rFonts w:ascii="Arial" w:cs="Arial" w:eastAsia="Arial" w:hAnsi="Arial"/>
          <w:sz w:val="17"/>
          <w:szCs w:val="17"/>
          <w:color w:val="auto"/>
        </w:rPr>
        <w:t>Commercial General Liability, with limits of [***] per occurrence for bodily injury and property damage and including contractual liability, premises/operations, completed operations, personal and advertising injury liability. (Policy shall be endorsed to name Personalis as an Additional Insured.) Products liability is [***] in the aggregate.</w:t>
      </w:r>
    </w:p>
    <w:p>
      <w:pPr>
        <w:spacing w:after="0" w:line="70" w:lineRule="exact"/>
        <w:rPr>
          <w:sz w:val="20"/>
          <w:szCs w:val="20"/>
          <w:color w:val="auto"/>
        </w:rPr>
      </w:pPr>
    </w:p>
    <w:p>
      <w:pPr>
        <w:ind w:left="2060" w:hanging="646"/>
        <w:spacing w:after="0" w:line="277" w:lineRule="auto"/>
        <w:tabs>
          <w:tab w:leader="none" w:pos="2040" w:val="left"/>
        </w:tabs>
        <w:rPr>
          <w:sz w:val="20"/>
          <w:szCs w:val="20"/>
          <w:color w:val="auto"/>
        </w:rPr>
      </w:pPr>
      <w:r>
        <w:rPr>
          <w:rFonts w:ascii="Arial" w:cs="Arial" w:eastAsia="Arial" w:hAnsi="Arial"/>
          <w:sz w:val="18"/>
          <w:szCs w:val="18"/>
          <w:color w:val="auto"/>
        </w:rPr>
        <w:t>8.1.1.2</w:t>
        <w:tab/>
        <w:t>Business automobile liability (owned, leased, non-owned, hired, and employee non-owned vehicles), [***] combined single limit each occurrence for bodily injury and property damage.</w:t>
      </w:r>
    </w:p>
    <w:p>
      <w:pPr>
        <w:spacing w:after="0" w:line="75" w:lineRule="exact"/>
        <w:rPr>
          <w:sz w:val="20"/>
          <w:szCs w:val="20"/>
          <w:color w:val="auto"/>
        </w:rPr>
      </w:pPr>
    </w:p>
    <w:p>
      <w:pPr>
        <w:jc w:val="both"/>
        <w:ind w:left="2060" w:right="120" w:hanging="646"/>
        <w:spacing w:after="0" w:line="263" w:lineRule="auto"/>
        <w:tabs>
          <w:tab w:leader="none" w:pos="2040" w:val="left"/>
        </w:tabs>
        <w:rPr>
          <w:sz w:val="20"/>
          <w:szCs w:val="20"/>
          <w:color w:val="auto"/>
        </w:rPr>
      </w:pPr>
      <w:r>
        <w:rPr>
          <w:rFonts w:ascii="Arial" w:cs="Arial" w:eastAsia="Arial" w:hAnsi="Arial"/>
          <w:sz w:val="18"/>
          <w:szCs w:val="18"/>
          <w:color w:val="auto"/>
        </w:rPr>
        <w:t>8.1.1.3</w:t>
        <w:tab/>
        <w:t>Workers’ Compensation Insurance with statutory limits, as required by the state in which the work is to be performed, and Employer’s Liability Insurance of not less than [***]. (Policy is to be endorsed to provide a waiver of subrogation in favor of Personalis.)</w:t>
      </w:r>
    </w:p>
    <w:p>
      <w:pPr>
        <w:spacing w:after="0" w:line="88" w:lineRule="exact"/>
        <w:rPr>
          <w:sz w:val="20"/>
          <w:szCs w:val="20"/>
          <w:color w:val="auto"/>
        </w:rPr>
      </w:pPr>
    </w:p>
    <w:p>
      <w:pPr>
        <w:ind w:left="2060" w:right="160" w:hanging="646"/>
        <w:spacing w:after="0" w:line="277" w:lineRule="auto"/>
        <w:tabs>
          <w:tab w:leader="none" w:pos="2040" w:val="left"/>
        </w:tabs>
        <w:rPr>
          <w:sz w:val="20"/>
          <w:szCs w:val="20"/>
          <w:color w:val="auto"/>
        </w:rPr>
      </w:pPr>
      <w:r>
        <w:rPr>
          <w:rFonts w:ascii="Arial" w:cs="Arial" w:eastAsia="Arial" w:hAnsi="Arial"/>
          <w:sz w:val="18"/>
          <w:szCs w:val="18"/>
          <w:color w:val="auto"/>
        </w:rPr>
        <w:t>8.1.1.4</w:t>
        <w:tab/>
        <w:t>Professional Liability or Errors &amp; Omissions Liability with limits of [***] per occurrence including coverage for errors &amp; omissions liability. Network security and privacy limits are [***] in the aggregate.</w:t>
      </w:r>
    </w:p>
    <w:p>
      <w:pPr>
        <w:spacing w:after="0" w:line="75"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8.1.1.5</w:t>
      </w:r>
      <w:r>
        <w:rPr>
          <w:sz w:val="20"/>
          <w:szCs w:val="20"/>
          <w:color w:val="auto"/>
        </w:rPr>
        <w:tab/>
      </w:r>
      <w:r>
        <w:rPr>
          <w:rFonts w:ascii="Arial" w:cs="Arial" w:eastAsia="Arial" w:hAnsi="Arial"/>
          <w:sz w:val="17"/>
          <w:szCs w:val="17"/>
          <w:color w:val="auto"/>
        </w:rPr>
        <w:t>Umbrella Liability insurance with limits of [***] per occurrence.</w:t>
      </w:r>
    </w:p>
    <w:p>
      <w:pPr>
        <w:spacing w:after="0" w:line="126" w:lineRule="exact"/>
        <w:rPr>
          <w:sz w:val="20"/>
          <w:szCs w:val="20"/>
          <w:color w:val="auto"/>
        </w:rPr>
      </w:pPr>
    </w:p>
    <w:p>
      <w:pPr>
        <w:ind w:left="1400" w:hanging="768"/>
        <w:spacing w:after="0" w:line="256" w:lineRule="auto"/>
        <w:tabs>
          <w:tab w:leader="none" w:pos="13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b w:val="1"/>
          <w:bCs w:val="1"/>
          <w:color w:val="auto"/>
        </w:rPr>
        <w:t xml:space="preserve">Certificates: </w:t>
      </w:r>
      <w:r>
        <w:rPr>
          <w:rFonts w:ascii="Arial" w:cs="Arial" w:eastAsia="Arial" w:hAnsi="Arial"/>
          <w:sz w:val="18"/>
          <w:szCs w:val="18"/>
          <w:color w:val="auto"/>
        </w:rPr>
        <w:t>Upon written request, Certificates of insurance shall be furnished by the Subcontractor evidencing that the coverage is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and will continue to be in effect throughout the performance of the Services and will not be canceled or materially changed until at least thirty (30) days prior written notice has been given to the Company. The insurance coverage at 8.1.1.1 and 8.1.1.2 above shall name Client and Personalis, Inc., their employees, officers, and directors as additional insured with respect to the Services to be provided under this Agreement. The insurance provided by Subcontractor is primary with respect to the interests of the Client and Company and any other</w:t>
      </w:r>
    </w:p>
    <w:p>
      <w:pPr>
        <w:sectPr>
          <w:pgSz w:w="11900" w:h="16838" w:orient="portrait"/>
          <w:cols w:equalWidth="0" w:num="1">
            <w:col w:w="11000"/>
          </w:cols>
          <w:pgMar w:left="460" w:top="270" w:right="439"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6</w:t>
      </w:r>
    </w:p>
    <w:p>
      <w:pPr>
        <w:spacing w:after="0" w:line="161"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insurance acquired or maintained by them. Client and Company’s insurance shall be excess and non-contributory. Subcontractor and insurers agree to waive any and all rights of subrogation against the Client and Company.</w:t>
      </w:r>
    </w:p>
    <w:p>
      <w:pPr>
        <w:spacing w:after="0" w:line="71" w:lineRule="exact"/>
        <w:rPr>
          <w:sz w:val="20"/>
          <w:szCs w:val="20"/>
          <w:color w:val="auto"/>
        </w:rPr>
      </w:pPr>
    </w:p>
    <w:p>
      <w:pPr>
        <w:ind w:left="1400" w:right="180" w:hanging="768"/>
        <w:spacing w:after="0" w:line="281" w:lineRule="auto"/>
        <w:tabs>
          <w:tab w:leader="none" w:pos="13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b w:val="1"/>
          <w:bCs w:val="1"/>
          <w:color w:val="auto"/>
        </w:rPr>
        <w:t xml:space="preserve">Lower tier Subcontractors: </w:t>
      </w:r>
      <w:r>
        <w:rPr>
          <w:rFonts w:ascii="Arial" w:cs="Arial" w:eastAsia="Arial" w:hAnsi="Arial"/>
          <w:sz w:val="18"/>
          <w:szCs w:val="18"/>
          <w:color w:val="auto"/>
        </w:rPr>
        <w:t>The Subcontractor agrees to flow down these insurance requirements to all lower tier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Subcontractors that provide any services or work, if subcontracting is permitted by Company.</w:t>
      </w:r>
    </w:p>
    <w:p>
      <w:pPr>
        <w:spacing w:after="0" w:line="68" w:lineRule="exact"/>
        <w:rPr>
          <w:sz w:val="20"/>
          <w:szCs w:val="20"/>
          <w:color w:val="auto"/>
        </w:rPr>
      </w:pPr>
    </w:p>
    <w:p>
      <w:pPr>
        <w:ind w:left="640" w:hanging="647"/>
        <w:spacing w:after="0" w:line="287"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Subcontractor shall defend, indemnify, and hold harmless the Company, and its agents, officers,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from and against any and all claims, suits, liability, losses, cost or expenses, including attorney’s fees arising out of a claim brought by a third party against Company and arising out of the negligence or willful misconduct of the Subcontractor, its officers, agents, employees, lower tier Subcontractors, and anyone directly or indirectly employed by any of them or anyone for whose acts any of them may be liable, except to the extent such claims, liability, losses, cost or expenses arise out of (a) the negligence or willful misconduct of Company, its officers, agents or employees or (b) Company’s material breach of this Agreement. This indemnification obligation shall not be limited in any way by required, actual, or available insurance coverage. The Company shall defend, indemnify, and hold harmless the Subcontractor, and its agents, officers, directors, and employees from and against any and all claims, suits liability, losses, cost or expenses, including attorney’s fees arising out of a claim brought by a third party against Subcontractor and arising out of the (y) the negligence or willful misconduct of Company, its officers, agents or employees (z) Company’s material breach of this Agreement except to the extent such claims, liability, losses, cost or expenses arise out of (a) the negligence or willful misconduct of Subcontractor, its officers, agents or employees or (b) Subcontractor’s material breach of this Agreement. This indemnification obligation shall not be limited in any way by required, actual, or available insurance coverage.</w:t>
      </w:r>
    </w:p>
    <w:p>
      <w:pPr>
        <w:spacing w:after="0" w:line="71" w:lineRule="exact"/>
        <w:rPr>
          <w:sz w:val="20"/>
          <w:szCs w:val="20"/>
          <w:color w:val="auto"/>
        </w:rPr>
      </w:pPr>
    </w:p>
    <w:p>
      <w:pPr>
        <w:ind w:left="640" w:right="40" w:hanging="647"/>
        <w:spacing w:after="0" w:line="256" w:lineRule="auto"/>
        <w:tabs>
          <w:tab w:leader="none" w:pos="6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The Subcontractor warrants, with no duty to investigate, that it is not aware of any copyright, patent,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 or other proprietary right that would actually be infringed as a result of providing the Services required under this Agreement. The Subcontractor shall defend, indemnify, and hold harmless the Company from and against any and all claims, suits, liability, losses, costs, or expenses, including attorney’s fees arising out of a claim brought by a third party against Company that alleges infringement of any copyright, patent, trademark, trade secret or other proprietary right of such third party arising from the methods, materials, or processes used by Illumina to provide the Services.</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Intentionally Omitted.</w:t>
      </w:r>
    </w:p>
    <w:p>
      <w:pPr>
        <w:spacing w:after="0" w:line="130" w:lineRule="exact"/>
        <w:rPr>
          <w:sz w:val="20"/>
          <w:szCs w:val="20"/>
          <w:color w:val="auto"/>
        </w:rPr>
      </w:pPr>
    </w:p>
    <w:p>
      <w:pPr>
        <w:ind w:left="640" w:right="60" w:hanging="647"/>
        <w:spacing w:after="0" w:line="270" w:lineRule="auto"/>
        <w:tabs>
          <w:tab w:leader="none" w:pos="6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b w:val="1"/>
          <w:bCs w:val="1"/>
          <w:color w:val="auto"/>
        </w:rPr>
        <w:t xml:space="preserve">Time of Essence: </w:t>
      </w:r>
      <w:r>
        <w:rPr>
          <w:rFonts w:ascii="Arial" w:cs="Arial" w:eastAsia="Arial" w:hAnsi="Arial"/>
          <w:sz w:val="17"/>
          <w:szCs w:val="17"/>
          <w:color w:val="auto"/>
        </w:rPr>
        <w:t>Company and Subcontractor recognize that time is of the essence with respect to the performance of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 is potential that Company may be found in breach of the Client Contract in the event that the Subcontractor fails to complete the Services within the time specified in the Purchase Orders. Therefore, in the event Subcontractor fails to deliver the Results to Company within the timeframes specified in the Purchase Orders and such failure by Subcontractor directly results in the Company being late in making its deliveries to the Client as promised under the Client Contract and such failure by Company directly results in the Client either terminating the Client Contract or otherwise exercising Client’s rights under the Client Contract against Company with respect to any provision of the contract pertaining to on-time delivery in the Client Contract, Subcontractor agrees to be liable to the Company to the same extent that Company is liable to the Client. Accordingly, if Client is legally entitled to recover damages or reimbursements from Company pursuant to the terms of the Client Contract (“</w:t>
      </w:r>
      <w:r>
        <w:rPr>
          <w:rFonts w:ascii="Arial" w:cs="Arial" w:eastAsia="Arial" w:hAnsi="Arial"/>
          <w:sz w:val="17"/>
          <w:szCs w:val="17"/>
          <w:b w:val="1"/>
          <w:bCs w:val="1"/>
          <w:color w:val="auto"/>
        </w:rPr>
        <w:t>Late Delivery Damages</w:t>
      </w:r>
      <w:r>
        <w:rPr>
          <w:rFonts w:ascii="Arial" w:cs="Arial" w:eastAsia="Arial" w:hAnsi="Arial"/>
          <w:sz w:val="17"/>
          <w:szCs w:val="17"/>
          <w:color w:val="auto"/>
        </w:rPr>
        <w:t>”) then Subcontractor shall reimburse Company for 100% of any Late Delivery Damages that Company actually pays to Client.</w:t>
      </w:r>
    </w:p>
    <w:p>
      <w:pPr>
        <w:spacing w:after="0" w:line="81" w:lineRule="exact"/>
        <w:rPr>
          <w:sz w:val="20"/>
          <w:szCs w:val="20"/>
          <w:color w:val="auto"/>
        </w:rPr>
      </w:pPr>
    </w:p>
    <w:p>
      <w:pPr>
        <w:jc w:val="both"/>
        <w:ind w:left="640" w:right="100" w:hanging="647"/>
        <w:spacing w:after="0" w:line="280" w:lineRule="auto"/>
        <w:tabs>
          <w:tab w:leader="none" w:pos="6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b w:val="1"/>
          <w:bCs w:val="1"/>
          <w:color w:val="auto"/>
        </w:rPr>
        <w:t xml:space="preserve">Indemnification Conditions. </w:t>
      </w:r>
      <w:r>
        <w:rPr>
          <w:rFonts w:ascii="Arial" w:cs="Arial" w:eastAsia="Arial" w:hAnsi="Arial"/>
          <w:sz w:val="17"/>
          <w:szCs w:val="17"/>
          <w:color w:val="auto"/>
        </w:rPr>
        <w:t>Each party’s indemnification obligations under this Agreement are subject to the indemnified party (i) notifying</w:t>
      </w:r>
      <w:r>
        <w:rPr>
          <w:rFonts w:ascii="Arial" w:cs="Arial" w:eastAsia="Arial" w:hAnsi="Arial"/>
          <w:sz w:val="17"/>
          <w:szCs w:val="17"/>
          <w:b w:val="1"/>
          <w:bCs w:val="1"/>
          <w:color w:val="auto"/>
        </w:rPr>
        <w:t xml:space="preserve"> </w:t>
      </w:r>
      <w:r>
        <w:rPr>
          <w:rFonts w:ascii="Arial" w:cs="Arial" w:eastAsia="Arial" w:hAnsi="Arial"/>
          <w:sz w:val="17"/>
          <w:szCs w:val="17"/>
          <w:color w:val="auto"/>
        </w:rPr>
        <w:t>the indemnifying party promptly in writing of such action, (ii) giving the indemnifying party exclusive control and authority over the defense and settlement of such action, (iii) not admitting infringement of any intellectual property right without the indemnifying party’s prior written consent, (iv) not entering into any settlement or compromise of any such action without the indemnifying</w:t>
      </w:r>
    </w:p>
    <w:p>
      <w:pPr>
        <w:sectPr>
          <w:pgSz w:w="11900" w:h="16838" w:orient="portrait"/>
          <w:cols w:equalWidth="0" w:num="1">
            <w:col w:w="10980"/>
          </w:cols>
          <w:pgMar w:left="460" w:top="269" w:right="45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7</w:t>
      </w:r>
    </w:p>
    <w:p>
      <w:pPr>
        <w:spacing w:after="0" w:line="161" w:lineRule="exact"/>
        <w:rPr>
          <w:sz w:val="20"/>
          <w:szCs w:val="20"/>
          <w:color w:val="auto"/>
        </w:rPr>
      </w:pPr>
    </w:p>
    <w:p>
      <w:pPr>
        <w:ind w:left="660" w:right="540"/>
        <w:spacing w:after="0" w:line="307" w:lineRule="auto"/>
        <w:rPr>
          <w:sz w:val="20"/>
          <w:szCs w:val="20"/>
          <w:color w:val="auto"/>
        </w:rPr>
      </w:pPr>
      <w:r>
        <w:rPr>
          <w:rFonts w:ascii="Arial" w:cs="Arial" w:eastAsia="Arial" w:hAnsi="Arial"/>
          <w:sz w:val="17"/>
          <w:szCs w:val="17"/>
          <w:color w:val="auto"/>
        </w:rPr>
        <w:t>party’s prior written consent, and (v) providing all reasonable assistance to the indemnifying party (provided that the indemnifying party reimburses the indemnified party for its reasonable out-of-pocket expenses incurred in providing such assistance).</w:t>
      </w:r>
    </w:p>
    <w:p>
      <w:pPr>
        <w:spacing w:after="0" w:line="49" w:lineRule="exact"/>
        <w:rPr>
          <w:sz w:val="20"/>
          <w:szCs w:val="20"/>
          <w:color w:val="auto"/>
        </w:rPr>
      </w:pPr>
    </w:p>
    <w:p>
      <w:pPr>
        <w:ind w:left="640" w:right="300" w:hanging="647"/>
        <w:spacing w:after="0" w:line="271" w:lineRule="auto"/>
        <w:tabs>
          <w:tab w:leader="none" w:pos="6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b w:val="1"/>
          <w:bCs w:val="1"/>
          <w:color w:val="auto"/>
        </w:rPr>
        <w:t xml:space="preserve">Limited Liability. </w:t>
      </w:r>
      <w:r>
        <w:rPr>
          <w:rFonts w:ascii="Arial" w:cs="Arial" w:eastAsia="Arial" w:hAnsi="Arial"/>
          <w:sz w:val="17"/>
          <w:szCs w:val="17"/>
          <w:color w:val="auto"/>
        </w:rPr>
        <w:t>EXCEPT WITH RESPECT TO THE REMEDIES AVAILABLE UNDER SECTIONS 14.2.2(4) and (5) IN NO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WILL EITHER PARTY BE LIABLE TO THE OTHER PARTY OR ANY THIRD PARTY FOR COSTS OF PROCUREMENT OF SUBSTITUTE SERVICES, LOST PROFITS, DATA OR BUSINESS, OR FOR ANY SPECIAL, INDIRECT, CONSEQUENTIAL, INCIDENTAL, EXEMPLARY, OR PUNITIVE DAMAGES INCURRED BY SUCH PARTY ARISING OUT OF OR IN CONNECTION WITH THIS AGREEMENT (OR THE TERMINATION HEREOF), HOWEVER CAUSED AND ON ANY THEORY OF LIABILITY (WHETHER IN CONTRACT, TORT (INCLUDING NEGLIGENCE) STRICT LIABILITY OR OTHERWISE, INCLUDING, BUT NOT LIMITED TO, THE LOSS OF PROSPECTIVE PROFITS OR ANTICIPATED SALES, OR ON ACCOUNT OF EXPENSES, INVESTMENTS, OR COMMITMENTS IN CONNECTION WITH THE BUSINESS OR GOODWILL OR OTHERWISE.</w:t>
      </w:r>
    </w:p>
    <w:p>
      <w:pPr>
        <w:spacing w:after="0" w:line="7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EXCEPT FOR A BREACH OF THE CONFIDENTIALITY OR INFRINGEMENT INDEMNITY PROVISION OF THIS AGREEMENT NEITHER PARTY’S TOTAL AND CUMULATIVE LIABILITY TO THE OTHER PARTY OR ANY THIRD PARTY ARISING UNDER OR IN CONNECTION WITH THIS AGREEMENT, WHETHER IN CONTRACT, TORT (INCLUDING NEGLIGENCE), STRICT LIABILITY OR OTHERWISE, SHALL IN NO EVENT EXCEED [***]. THE LIMITATIONS SET FORTH IN THIS SECTION SHALL APPLY EVEN IF A PARTY HAS BEEN ADVISED OF THE POSSIBILITY OF SUCH DAMAGES, AND NOTWITHSTANDING ANY FAILURE OF ESSENTIAL PURPOSE OF ANY LIMITED REMEDY.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 SUBCONTRACTOR’S RESPONSIBILITIES</w:t>
      </w:r>
    </w:p>
    <w:p>
      <w:pPr>
        <w:spacing w:after="0" w:line="130" w:lineRule="exact"/>
        <w:rPr>
          <w:sz w:val="20"/>
          <w:szCs w:val="20"/>
          <w:color w:val="auto"/>
        </w:rPr>
      </w:pPr>
    </w:p>
    <w:p>
      <w:pPr>
        <w:ind w:left="640" w:right="140" w:hanging="647"/>
        <w:spacing w:after="0" w:line="256"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 xml:space="preserve">Employees of the Subcontractor: </w:t>
      </w:r>
      <w:r>
        <w:rPr>
          <w:rFonts w:ascii="Arial" w:cs="Arial" w:eastAsia="Arial" w:hAnsi="Arial"/>
          <w:sz w:val="18"/>
          <w:szCs w:val="18"/>
          <w:color w:val="auto"/>
        </w:rPr>
        <w:t>The Subcontractor shall be subject to and operate under all applicable Federal and State laws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liability, workmen’s compensation, Federal social security, and unemployment compensation insurance; and the Subcontractor expressly agrees that it is an independent contractor and its employees engaged in the Services are not and shall not be treated or considered employees of the Company. Employees of Subcontractor shall at a minimum be lawfully eligible to work at the location they are employed by Subcontractor and shall satisfy any Client requirements for citizenship, work eligibility, or other similar status specified by the Subcontract Documents.</w:t>
      </w:r>
    </w:p>
    <w:p>
      <w:pPr>
        <w:spacing w:after="0" w:line="92" w:lineRule="exact"/>
        <w:rPr>
          <w:sz w:val="20"/>
          <w:szCs w:val="20"/>
          <w:color w:val="auto"/>
        </w:rPr>
      </w:pPr>
    </w:p>
    <w:p>
      <w:pPr>
        <w:ind w:left="640" w:right="240" w:hanging="647"/>
        <w:spacing w:after="0" w:line="274"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b w:val="1"/>
          <w:bCs w:val="1"/>
          <w:color w:val="auto"/>
        </w:rPr>
        <w:t xml:space="preserve">Safety: </w:t>
      </w:r>
      <w:r>
        <w:rPr>
          <w:rFonts w:ascii="Arial" w:cs="Arial" w:eastAsia="Arial" w:hAnsi="Arial"/>
          <w:sz w:val="17"/>
          <w:szCs w:val="17"/>
          <w:color w:val="auto"/>
        </w:rPr>
        <w:t>In performing the Services, the Subcontractor shall comply with all applicable laws, ordinances, rules, regulations, and lawful</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authorities or any public authority having jurisdiction for the safety of persons or property and protect the same from damage, injury, or loss. The Subcontractor shall take all reasonable precautions to prevent injury or loss to all persons performing services hereunder, and Client Company or other personnel visiting the work site. Precautions shall also be taken to prevent damage to the Services, all materials and equipment utilized therein, and all other property at the site of the Services and adjacent thereto. Finally, the Subcontractor will note any changes in site conditions and/or scope of work that may introduce potential hazard agent(s).</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 xml:space="preserve">Proprietary Information: </w:t>
      </w:r>
      <w:r>
        <w:rPr>
          <w:rFonts w:ascii="Arial" w:cs="Arial" w:eastAsia="Arial" w:hAnsi="Arial"/>
          <w:sz w:val="16"/>
          <w:szCs w:val="16"/>
          <w:color w:val="auto"/>
        </w:rPr>
        <w:t>The parties agree that the Confidentiality Agreement executed October 3, 2012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shall apply to this Agreement with the following modifications:</w:t>
      </w:r>
    </w:p>
    <w:p>
      <w:pPr>
        <w:spacing w:after="0" w:line="102"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9.3.1 The Stated Purpose of the Confidentiality Agreement shall be modified to include the exchange of INFORMATION (as defined in the Confidentiality Agreement) under this Agreement.</w:t>
      </w:r>
    </w:p>
    <w:p>
      <w:pPr>
        <w:spacing w:after="0" w:line="6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9.3.2 COMPANY INFORMATION under this Agreement, shall include confidential and proprietary technical, business, marketing, financial, intellectual property, now-how and other information of the Client.</w:t>
      </w:r>
    </w:p>
    <w:p>
      <w:pPr>
        <w:spacing w:after="0" w:line="62"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9.3.3 The term of the Confidentiality Agreement, for purposes of this Agreement, is extended to terminate [***] after the effective date of expiration or termination of this Agreement or [***] after the expiration or termination date of any Purchase Order issued hereunder, whichever is later.</w:t>
      </w:r>
    </w:p>
    <w:p>
      <w:pPr>
        <w:sectPr>
          <w:pgSz w:w="11900" w:h="16838" w:orient="portrait"/>
          <w:cols w:equalWidth="0" w:num="1">
            <w:col w:w="11000"/>
          </w:cols>
          <w:pgMar w:left="460" w:top="270" w:right="43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8</w:t>
      </w:r>
    </w:p>
    <w:p>
      <w:pPr>
        <w:spacing w:after="0" w:line="161"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9.3.4 The restricted use agreed to under the Confidentiality Agreement shall expire [***] after the expiration or termination of this Agreement.</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9.3.5 The final sentence of Paragraph 10 of the Confidentiality Agreement shall not apply to any Client information that is required to be returned to the Client or is required by the Client to be destroyed.</w:t>
      </w:r>
    </w:p>
    <w:p>
      <w:pPr>
        <w:spacing w:after="0" w:line="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9.3.6</w:t>
      </w:r>
      <w:r>
        <w:rPr>
          <w:sz w:val="20"/>
          <w:szCs w:val="20"/>
          <w:color w:val="auto"/>
        </w:rPr>
        <w:tab/>
      </w:r>
      <w:r>
        <w:rPr>
          <w:rFonts w:ascii="Arial" w:cs="Arial" w:eastAsia="Arial" w:hAnsi="Arial"/>
          <w:sz w:val="16"/>
          <w:szCs w:val="16"/>
          <w:color w:val="auto"/>
        </w:rPr>
        <w:t>Paragraphs 11 and 12 of the Confidentiality Agreement are not applicable to this Agreement.</w:t>
      </w:r>
    </w:p>
    <w:p>
      <w:pPr>
        <w:spacing w:after="0" w:line="117"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9.3.7 Paragraph 16(b) of the Confidentiality Agreement is modified to say, “Except as expressly agreed to in the Master Services Subcontract Agreement, this Agreement contains the entire agreement between the parties regarding confidential treatment and restricted use of INFORMATION disclosed in connection with the Stated Purpose, and supersedes all other prior oral arguments and understandings with respect thereto.”</w:t>
      </w:r>
    </w:p>
    <w:p>
      <w:pPr>
        <w:spacing w:after="0" w:line="87" w:lineRule="exact"/>
        <w:rPr>
          <w:sz w:val="20"/>
          <w:szCs w:val="20"/>
          <w:color w:val="auto"/>
        </w:rPr>
      </w:pPr>
    </w:p>
    <w:p>
      <w:pPr>
        <w:ind w:left="640" w:right="40" w:hanging="647"/>
        <w:spacing w:after="0" w:line="266" w:lineRule="auto"/>
        <w:tabs>
          <w:tab w:leader="none" w:pos="6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color w:val="auto"/>
        </w:rPr>
        <w:t xml:space="preserve">Publications: </w:t>
      </w:r>
      <w:r>
        <w:rPr>
          <w:rFonts w:ascii="Arial" w:cs="Arial" w:eastAsia="Arial" w:hAnsi="Arial"/>
          <w:sz w:val="18"/>
          <w:szCs w:val="18"/>
          <w:color w:val="auto"/>
        </w:rPr>
        <w:t>The Subcontractor shall not publish or publicly disseminate the Results or any information or data derived or obtained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Samples or the Results, without the prior written consent of the Company or the Client. The preceding sentence does not apply to Improvements or the Illumina Technology.</w:t>
      </w:r>
    </w:p>
    <w:p>
      <w:pPr>
        <w:spacing w:after="0" w:line="81" w:lineRule="exact"/>
        <w:rPr>
          <w:sz w:val="20"/>
          <w:szCs w:val="20"/>
          <w:color w:val="auto"/>
        </w:rPr>
      </w:pPr>
    </w:p>
    <w:p>
      <w:pPr>
        <w:jc w:val="both"/>
        <w:ind w:left="640" w:right="140" w:hanging="647"/>
        <w:spacing w:after="0" w:line="288" w:lineRule="auto"/>
        <w:tabs>
          <w:tab w:leader="none" w:pos="6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b w:val="1"/>
          <w:bCs w:val="1"/>
          <w:color w:val="auto"/>
        </w:rPr>
        <w:t xml:space="preserve">Technical Data: </w:t>
      </w:r>
      <w:r>
        <w:rPr>
          <w:rFonts w:ascii="Arial" w:cs="Arial" w:eastAsia="Arial" w:hAnsi="Arial"/>
          <w:sz w:val="17"/>
          <w:szCs w:val="17"/>
          <w:color w:val="auto"/>
        </w:rPr>
        <w:t>The Results and all information or data derived or obtained from the Samples or the Results produced by the Subcontractor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shall be considered proprietary technical data belonging to the Company and shall be subject to the provisions of Articles 8.3 and 9.3. The preceding sentence does not apply to Improvements or the Illumina Technology.</w:t>
      </w:r>
    </w:p>
    <w:p>
      <w:pPr>
        <w:spacing w:after="0" w:line="65" w:lineRule="exact"/>
        <w:rPr>
          <w:sz w:val="20"/>
          <w:szCs w:val="20"/>
          <w:color w:val="auto"/>
        </w:rPr>
      </w:pPr>
    </w:p>
    <w:p>
      <w:pPr>
        <w:ind w:left="640" w:right="100" w:hanging="647"/>
        <w:spacing w:after="0" w:line="314" w:lineRule="auto"/>
        <w:tabs>
          <w:tab w:leader="none" w:pos="6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 xml:space="preserve">Permits and Licenses: </w:t>
      </w:r>
      <w:r>
        <w:rPr>
          <w:rFonts w:ascii="Arial" w:cs="Arial" w:eastAsia="Arial" w:hAnsi="Arial"/>
          <w:sz w:val="16"/>
          <w:szCs w:val="16"/>
          <w:color w:val="auto"/>
        </w:rPr>
        <w:t>Except as specifically otherwise provided by the Subcontract Documents, the Subcontractor has or will have,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commencement of any Services, all necessary business and professional licenses, permits, and other necessary Federal, State, County, Municipal, or other licenses as may be required by law or regulation to enable the Subcontractor to perform the services required hereunder.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WORK BY OTHERS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 AND RESERVED.]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COMPANY RESPONSIBILITIES AND AUTHORITY</w:t>
      </w:r>
    </w:p>
    <w:p>
      <w:pPr>
        <w:spacing w:after="0" w:line="130" w:lineRule="exact"/>
        <w:rPr>
          <w:sz w:val="20"/>
          <w:szCs w:val="20"/>
          <w:color w:val="auto"/>
        </w:rPr>
      </w:pPr>
    </w:p>
    <w:p>
      <w:pPr>
        <w:ind w:left="640" w:right="20" w:hanging="647"/>
        <w:spacing w:after="0" w:line="27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 xml:space="preserve">Inspection: </w:t>
      </w:r>
      <w:r>
        <w:rPr>
          <w:rFonts w:ascii="Arial" w:cs="Arial" w:eastAsia="Arial" w:hAnsi="Arial"/>
          <w:sz w:val="17"/>
          <w:szCs w:val="17"/>
          <w:color w:val="auto"/>
        </w:rPr>
        <w:t>The Company, through any authorized representatives that has signed a non-disclosure agreement reasonably acceptable to</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 shall have the right no more than [***] to inspect, or otherwise evaluate the quality or any other aspect of the Services performed or the safety measures employed in the work being performed hereunder and the premises in which it is being performed. If any inspection or evaluation is made by the Company on the premises of the Subcontractor or a lower tier Subcontractor, the Subcontractor shall provide, and shall require his lower tier Subcontractors to provide, all reasonable facilities and assistance for the safety and convenience of the Company representatives in the performance of their duties. All inspections and evaluations shall be performed in such a manner as will not unnecessarily delay performance of the Services.</w:t>
      </w:r>
    </w:p>
    <w:p>
      <w:pPr>
        <w:spacing w:after="0" w:line="81" w:lineRule="exact"/>
        <w:rPr>
          <w:sz w:val="20"/>
          <w:szCs w:val="20"/>
          <w:color w:val="auto"/>
        </w:rPr>
      </w:pPr>
    </w:p>
    <w:p>
      <w:pPr>
        <w:ind w:left="640" w:hanging="647"/>
        <w:spacing w:after="0" w:line="294"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 xml:space="preserve">Audit: </w:t>
      </w:r>
      <w:r>
        <w:rPr>
          <w:rFonts w:ascii="Arial" w:cs="Arial" w:eastAsia="Arial" w:hAnsi="Arial"/>
          <w:sz w:val="16"/>
          <w:szCs w:val="16"/>
          <w:color w:val="auto"/>
        </w:rPr>
        <w:t>Upon written request of the Company and no more than [***], the records maintained by the Subcontractor directly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Services specified herein shall be made available for audit by an independent public accounting firm not retained on a contingency fee basis that has signed a non-disclosure agreement reasonably acceptable to Subcontractor, selected by the Company or by cognizant government agency. In addition, the Company may have such an audit performed, under similar terms as above, [***] following the completion or termination of Services specified herein or more often if and as required for Company to comply with its obligations under FAR 52.212-5(d). Nothing herein limits the Government’s audit rights, if available and required by law, as set forth in FAR 52.212-5(d).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CHANGES AND CLAIMS</w:t>
      </w:r>
    </w:p>
    <w:p>
      <w:pPr>
        <w:spacing w:after="0" w:line="1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Changes in the terms and conditions of this Agreement may be made only by written agreement of the parties.</w:t>
      </w:r>
    </w:p>
    <w:p>
      <w:pPr>
        <w:sectPr>
          <w:pgSz w:w="11900" w:h="16838" w:orient="portrait"/>
          <w:cols w:equalWidth="0" w:num="1">
            <w:col w:w="10900"/>
          </w:cols>
          <w:pgMar w:left="460" w:top="270" w:right="53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 WARRANTY AND GUARANTEE</w:t>
      </w:r>
    </w:p>
    <w:p>
      <w:pPr>
        <w:spacing w:after="0" w:line="130"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b w:val="1"/>
          <w:bCs w:val="1"/>
          <w:color w:val="auto"/>
        </w:rPr>
        <w:t xml:space="preserve">Responsibility of the Subcontractor; Services: </w:t>
      </w:r>
      <w:r>
        <w:rPr>
          <w:rFonts w:ascii="Arial" w:cs="Arial" w:eastAsia="Arial" w:hAnsi="Arial"/>
          <w:sz w:val="17"/>
          <w:szCs w:val="17"/>
          <w:color w:val="auto"/>
        </w:rPr>
        <w:t>The Subcontractor shall be responsible for the professional quality, technical accuracy,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coordination of all Services furnished by the Subcontractor under this Agreement. Accordingly, the parties agree to the following:</w:t>
      </w:r>
    </w:p>
    <w:p>
      <w:pPr>
        <w:spacing w:after="0" w:line="49" w:lineRule="exact"/>
        <w:rPr>
          <w:sz w:val="20"/>
          <w:szCs w:val="20"/>
          <w:color w:val="auto"/>
        </w:rPr>
      </w:pPr>
    </w:p>
    <w:p>
      <w:pPr>
        <w:ind w:left="1400" w:right="220" w:hanging="768"/>
        <w:spacing w:after="0" w:line="259" w:lineRule="auto"/>
        <w:tabs>
          <w:tab w:leader="none" w:pos="13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Except as expressly stated otherwise in Sections 8.5 and 13.1.2, as Company’s sole remedy and Subcontractor’s sole obligation in the event the Results do not conform to the Specifications, the Subcontractor shall, without additional compensation, correct, or revise any errors or deficiencies (“</w:t>
      </w:r>
      <w:r>
        <w:rPr>
          <w:rFonts w:ascii="Arial" w:cs="Arial" w:eastAsia="Arial" w:hAnsi="Arial"/>
          <w:sz w:val="18"/>
          <w:szCs w:val="18"/>
          <w:b w:val="1"/>
          <w:bCs w:val="1"/>
          <w:color w:val="auto"/>
        </w:rPr>
        <w:t>Defects</w:t>
      </w:r>
      <w:r>
        <w:rPr>
          <w:rFonts w:ascii="Arial" w:cs="Arial" w:eastAsia="Arial" w:hAnsi="Arial"/>
          <w:sz w:val="18"/>
          <w:szCs w:val="18"/>
          <w:color w:val="auto"/>
        </w:rPr>
        <w:t>”) in the Results, which are discovered within [***] of the date the Results are delivered (on a Results-by-Results basis).</w:t>
      </w:r>
    </w:p>
    <w:p>
      <w:pPr>
        <w:spacing w:after="0" w:line="91" w:lineRule="exact"/>
        <w:rPr>
          <w:sz w:val="20"/>
          <w:szCs w:val="20"/>
          <w:color w:val="auto"/>
        </w:rPr>
      </w:pPr>
    </w:p>
    <w:p>
      <w:pPr>
        <w:ind w:left="1400" w:right="60" w:hanging="768"/>
        <w:spacing w:after="0" w:line="259" w:lineRule="auto"/>
        <w:tabs>
          <w:tab w:leader="none" w:pos="13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color w:val="auto"/>
        </w:rPr>
        <w:t>Company shall provide written notice of Defects in the Results within [***] of discovering such Defects. If after receipt of such written notice Subcontractor has not corrected the Defects in a timely manner, the Company may cause such Defects to be corrected and charge Subcontractor the actual costs incurred by Company to correct such Defects and Subcontractor shall reimburse Company within [***] of receipt of invoice for such actual costs.</w:t>
      </w:r>
    </w:p>
    <w:p>
      <w:pPr>
        <w:spacing w:after="0" w:line="87" w:lineRule="exact"/>
        <w:rPr>
          <w:sz w:val="20"/>
          <w:szCs w:val="20"/>
          <w:color w:val="auto"/>
        </w:rPr>
      </w:pPr>
    </w:p>
    <w:p>
      <w:pPr>
        <w:ind w:left="640" w:right="40" w:hanging="647"/>
        <w:spacing w:after="0" w:line="280"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b w:val="1"/>
          <w:bCs w:val="1"/>
          <w:color w:val="auto"/>
        </w:rPr>
        <w:t xml:space="preserve">Responsibility of Subcontractor; Equipment and Supplies: </w:t>
      </w:r>
      <w:r>
        <w:rPr>
          <w:rFonts w:ascii="Arial" w:cs="Arial" w:eastAsia="Arial" w:hAnsi="Arial"/>
          <w:sz w:val="17"/>
          <w:szCs w:val="17"/>
          <w:color w:val="auto"/>
        </w:rPr>
        <w:t>Subcontractor warrants that the Results delivered or furnished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conform to the Specifications (defined in Appendix B). EXCEPT AS EXPRESSLY SET FORTH IN THIS SECTION 13 THE RESULTS ARE PROVIDED TO CUSTOMER ON AN “AS IS” BASIS, AND ILLUMINA, TO THE MAXIMUM EXTENT PERMITTED BY APPLICABLE LAW, EXPRESSLY DISCLAIMS ANY AND ALL WARRANTIES, EXPRESS OR IMPLIED.</w:t>
      </w:r>
    </w:p>
    <w:p>
      <w:pPr>
        <w:spacing w:after="0" w:line="73" w:lineRule="exact"/>
        <w:rPr>
          <w:sz w:val="20"/>
          <w:szCs w:val="20"/>
          <w:color w:val="auto"/>
        </w:rPr>
      </w:pPr>
    </w:p>
    <w:p>
      <w:pPr>
        <w:ind w:left="640" w:right="60" w:hanging="647"/>
        <w:spacing w:after="0" w:line="266"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b w:val="1"/>
          <w:bCs w:val="1"/>
          <w:color w:val="auto"/>
        </w:rPr>
        <w:t xml:space="preserve">Warranties Run to Company and Client: </w:t>
      </w:r>
      <w:r>
        <w:rPr>
          <w:rFonts w:ascii="Arial" w:cs="Arial" w:eastAsia="Arial" w:hAnsi="Arial"/>
          <w:sz w:val="18"/>
          <w:szCs w:val="18"/>
          <w:color w:val="auto"/>
        </w:rPr>
        <w:t>Subcontractor’s warranties together with any Services warranties shall run to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Client. Subcontractor warrants and agrees that any supplier/subcontractor warranty provided with the Results shall flow to Company and Client.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 SUSPENSION AND TERMINATION</w:t>
      </w:r>
    </w:p>
    <w:p>
      <w:pPr>
        <w:spacing w:after="0" w:line="130" w:lineRule="exact"/>
        <w:rPr>
          <w:sz w:val="20"/>
          <w:szCs w:val="20"/>
          <w:color w:val="auto"/>
        </w:rPr>
      </w:pPr>
    </w:p>
    <w:p>
      <w:pPr>
        <w:ind w:left="640" w:right="120" w:hanging="647"/>
        <w:spacing w:after="0" w:line="294"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 xml:space="preserve">Suspension of Work: </w:t>
      </w:r>
      <w:r>
        <w:rPr>
          <w:rFonts w:ascii="Arial" w:cs="Arial" w:eastAsia="Arial" w:hAnsi="Arial"/>
          <w:sz w:val="16"/>
          <w:szCs w:val="16"/>
          <w:color w:val="auto"/>
        </w:rPr>
        <w:t>Subcontractor will, upon written notice from Company’s Subcontract Administrator, suspend, delay, or interrupt all or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performance of the Services under a Purchase Order to the extent directed by Company. In such event, Subcontractor will resume work upon the suspended activities only upon written notice from Company’s Subcontract Administrator that is provided to Subcontractor’s Administrator. Where appropriate, an extension of the time for performance and pricing will be negotiated by the parties. Notwithstanding the foregoing, once Subcontractor has begun preparing a Sample for sequencing, that Sample may not be suspended. Subcontractor must provide supporting documentation regarding Samples that Subcontractor identifies as being not subject to suspension.</w:t>
      </w:r>
    </w:p>
    <w:p>
      <w:pPr>
        <w:spacing w:after="0" w:line="3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Termination:</w:t>
      </w:r>
    </w:p>
    <w:p>
      <w:pPr>
        <w:spacing w:after="0" w:line="130" w:lineRule="exact"/>
        <w:rPr>
          <w:sz w:val="20"/>
          <w:szCs w:val="20"/>
          <w:color w:val="auto"/>
        </w:rPr>
      </w:pPr>
    </w:p>
    <w:p>
      <w:pPr>
        <w:ind w:left="1400" w:right="20" w:hanging="768"/>
        <w:spacing w:after="0" w:line="271" w:lineRule="auto"/>
        <w:tabs>
          <w:tab w:leader="none" w:pos="138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7"/>
          <w:szCs w:val="17"/>
          <w:b w:val="1"/>
          <w:bCs w:val="1"/>
          <w:color w:val="auto"/>
        </w:rPr>
        <w:t xml:space="preserve">Termination for Convenience: </w:t>
      </w:r>
      <w:r>
        <w:rPr>
          <w:rFonts w:ascii="Arial" w:cs="Arial" w:eastAsia="Arial" w:hAnsi="Arial"/>
          <w:sz w:val="17"/>
          <w:szCs w:val="17"/>
          <w:color w:val="auto"/>
        </w:rPr>
        <w:t>All or part of this Agreement and/or any individual Purchase Orders may be terminated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its convenience in the event the Client terminates the Client Contract (or the part of the Client Contract that affects the individual Purchase Order(s) that Company is terminating hereunder) for Client’s convenience. In the event the Company terminates the Agreement, or one or more Purchase Orders after Subcontractor has begun preparing a Sample for sequencing, the Company will be charged a cancellation fee equal to the costs reasonably incurred by Illumina up to that point and for which payment has not been received, including but not limited to Illumina’s then current list price of all materials used or produced, including, without limitation, flow cells and reagents. In no event shall Subcontractor’s cancellation fee exceed the amount it would have received for sequencing of each Sample terminated.</w:t>
      </w:r>
    </w:p>
    <w:p>
      <w:pPr>
        <w:sectPr>
          <w:pgSz w:w="11900" w:h="16838" w:orient="portrait"/>
          <w:cols w:equalWidth="0" w:num="1">
            <w:col w:w="11000"/>
          </w:cols>
          <w:pgMar w:left="460" w:top="269" w:right="43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10</w:t>
      </w:r>
    </w:p>
    <w:p>
      <w:pPr>
        <w:spacing w:after="0" w:line="15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b w:val="1"/>
          <w:bCs w:val="1"/>
          <w:color w:val="auto"/>
        </w:rPr>
        <w:t>Termination for Default:</w:t>
      </w:r>
    </w:p>
    <w:p>
      <w:pPr>
        <w:spacing w:after="0" w:line="134" w:lineRule="exact"/>
        <w:rPr>
          <w:sz w:val="20"/>
          <w:szCs w:val="20"/>
          <w:color w:val="auto"/>
        </w:rPr>
      </w:pPr>
    </w:p>
    <w:p>
      <w:pPr>
        <w:ind w:left="2060" w:right="220" w:hanging="640"/>
        <w:spacing w:after="0" w:line="293" w:lineRule="auto"/>
        <w:tabs>
          <w:tab w:leader="none" w:pos="206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Company shall make a commercially reasonable effort to keep Subcontractor informed of any complaints or concerns regarding the Services that Company is providing to the Client. Company shall make a commercially reasonable effort to provide Subcontractor notice of any Client complaints or concerns that could be related to the Services Subcontractor provides to Company. Further, the parties will work together in good-faith and jointly negotiate with the Client so as to avoid the Client finding Company in default under any terms and conditions of the Client Contract that may result from Subcontractor’s actual or alleged default under any terms and conditions of this Agreement.</w:t>
      </w:r>
    </w:p>
    <w:p>
      <w:pPr>
        <w:spacing w:after="0" w:line="68" w:lineRule="exact"/>
        <w:rPr>
          <w:rFonts w:ascii="Arial" w:cs="Arial" w:eastAsia="Arial" w:hAnsi="Arial"/>
          <w:sz w:val="16"/>
          <w:szCs w:val="16"/>
          <w:color w:val="auto"/>
        </w:rPr>
      </w:pPr>
    </w:p>
    <w:p>
      <w:pPr>
        <w:ind w:left="2060" w:right="460" w:hanging="640"/>
        <w:spacing w:after="0" w:line="290" w:lineRule="auto"/>
        <w:tabs>
          <w:tab w:leader="none" w:pos="206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Company and Subcontractor may, by written notice to the other, terminate the whole or any part of the Agreement for default in the event that the other party (i) materially fails to perform any of the provisions of this Agreement, or</w:t>
      </w:r>
    </w:p>
    <w:p>
      <w:pPr>
        <w:spacing w:after="0" w:line="1" w:lineRule="exact"/>
        <w:rPr>
          <w:rFonts w:ascii="Arial" w:cs="Arial" w:eastAsia="Arial" w:hAnsi="Arial"/>
          <w:sz w:val="16"/>
          <w:szCs w:val="16"/>
          <w:color w:val="auto"/>
        </w:rPr>
      </w:pPr>
    </w:p>
    <w:p>
      <w:pPr>
        <w:ind w:left="2340" w:hanging="272"/>
        <w:spacing w:after="0"/>
        <w:tabs>
          <w:tab w:leader="none" w:pos="2340" w:val="left"/>
        </w:tabs>
        <w:numPr>
          <w:ilvl w:val="1"/>
          <w:numId w:val="545"/>
        </w:numPr>
        <w:rPr>
          <w:rFonts w:ascii="Arial" w:cs="Arial" w:eastAsia="Arial" w:hAnsi="Arial"/>
          <w:sz w:val="17"/>
          <w:szCs w:val="17"/>
          <w:color w:val="auto"/>
        </w:rPr>
      </w:pPr>
      <w:r>
        <w:rPr>
          <w:rFonts w:ascii="Arial" w:cs="Arial" w:eastAsia="Arial" w:hAnsi="Arial"/>
          <w:sz w:val="17"/>
          <w:szCs w:val="17"/>
          <w:color w:val="auto"/>
        </w:rPr>
        <w:t>materially fails to make progress so as to endanger performance of the Agreement in accordance with its terms, or,</w:t>
      </w:r>
    </w:p>
    <w:p>
      <w:pPr>
        <w:spacing w:after="0" w:line="20" w:lineRule="exact"/>
        <w:rPr>
          <w:rFonts w:ascii="Arial" w:cs="Arial" w:eastAsia="Arial" w:hAnsi="Arial"/>
          <w:sz w:val="17"/>
          <w:szCs w:val="17"/>
          <w:color w:val="auto"/>
        </w:rPr>
      </w:pPr>
    </w:p>
    <w:p>
      <w:pPr>
        <w:ind w:left="2060" w:right="160" w:firstLine="8"/>
        <w:spacing w:after="0" w:line="255" w:lineRule="auto"/>
        <w:tabs>
          <w:tab w:leader="none" w:pos="2375" w:val="left"/>
        </w:tabs>
        <w:numPr>
          <w:ilvl w:val="1"/>
          <w:numId w:val="545"/>
        </w:numPr>
        <w:rPr>
          <w:rFonts w:ascii="Arial" w:cs="Arial" w:eastAsia="Arial" w:hAnsi="Arial"/>
          <w:sz w:val="18"/>
          <w:szCs w:val="18"/>
          <w:color w:val="auto"/>
        </w:rPr>
      </w:pPr>
      <w:r>
        <w:rPr>
          <w:rFonts w:ascii="Arial" w:cs="Arial" w:eastAsia="Arial" w:hAnsi="Arial"/>
          <w:sz w:val="18"/>
          <w:szCs w:val="18"/>
          <w:color w:val="auto"/>
        </w:rPr>
        <w:t>in the reasonable opinion of the party giving notice of default, becomes financially or legally incapable of completing the work and does not provide a plan of correction or recovery that is reasonably acceptable to the other party within a period of [***] after receipt of written notice from the party specifying such failure.</w:t>
      </w:r>
    </w:p>
    <w:p>
      <w:pPr>
        <w:spacing w:after="0" w:line="94" w:lineRule="exact"/>
        <w:rPr>
          <w:rFonts w:ascii="Arial" w:cs="Arial" w:eastAsia="Arial" w:hAnsi="Arial"/>
          <w:sz w:val="18"/>
          <w:szCs w:val="18"/>
          <w:color w:val="auto"/>
        </w:rPr>
      </w:pPr>
    </w:p>
    <w:p>
      <w:pPr>
        <w:ind w:left="2060" w:hanging="640"/>
        <w:spacing w:after="0" w:line="255" w:lineRule="auto"/>
        <w:tabs>
          <w:tab w:leader="none" w:pos="20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the event of termination of the entire Agreement by Subcontractor for Company’s default pursuant to Section 14.2.2(2), Subcontractor will be entitled to a cancellation fee equal to the costs reasonably incurred by Illumina up to that point and for which payment has not been received, including but not limited to Illumina’s then current list price of all materials used or produced, including, without limitation, flow cells and reagents. In no event shall Subcontractor’s cancellation fee exceed the amount it would have received for sequencing of each Sample terminated, but not until completion of the project and the assessment of all costs associated with its completion.</w:t>
      </w:r>
    </w:p>
    <w:p>
      <w:pPr>
        <w:spacing w:after="0" w:line="96" w:lineRule="exact"/>
        <w:rPr>
          <w:rFonts w:ascii="Arial" w:cs="Arial" w:eastAsia="Arial" w:hAnsi="Arial"/>
          <w:sz w:val="18"/>
          <w:szCs w:val="18"/>
          <w:color w:val="auto"/>
        </w:rPr>
      </w:pPr>
    </w:p>
    <w:p>
      <w:pPr>
        <w:ind w:left="2060" w:hanging="640"/>
        <w:spacing w:after="0" w:line="291" w:lineRule="auto"/>
        <w:tabs>
          <w:tab w:leader="none" w:pos="206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Cost of Cover. In the event Company terminates for a default by Subcontractor under this Section 14.2.2, the Company may acquire similar services by subcontract in order to complete the work, complete the work itself, or otherwise complete the work in any other reasonable manner. Illumina will reimburse Company for the difference between the actual costs incurred by Company in completing the work that was not completed by Subcontractor, as a direct result of Subcontractor’s default, during the remainder of the term of the applicable Purchase Order(s) and the amount Subcontractor would have charged Company had it completed such work (the “</w:t>
      </w:r>
      <w:r>
        <w:rPr>
          <w:rFonts w:ascii="Arial" w:cs="Arial" w:eastAsia="Arial" w:hAnsi="Arial"/>
          <w:sz w:val="16"/>
          <w:szCs w:val="16"/>
          <w:b w:val="1"/>
          <w:bCs w:val="1"/>
          <w:color w:val="auto"/>
        </w:rPr>
        <w:t>Cost of Cover</w:t>
      </w:r>
      <w:r>
        <w:rPr>
          <w:rFonts w:ascii="Arial" w:cs="Arial" w:eastAsia="Arial" w:hAnsi="Arial"/>
          <w:sz w:val="16"/>
          <w:szCs w:val="16"/>
          <w:color w:val="auto"/>
        </w:rPr>
        <w:t>”). Company shall invoice Illumina for such Cost of Cover amount within [***] of the effective date of termination and Illumina shall pay such invoice within [***] of its receipt.</w:t>
      </w:r>
    </w:p>
    <w:p>
      <w:pPr>
        <w:spacing w:after="0" w:line="70" w:lineRule="exact"/>
        <w:rPr>
          <w:rFonts w:ascii="Arial" w:cs="Arial" w:eastAsia="Arial" w:hAnsi="Arial"/>
          <w:sz w:val="16"/>
          <w:szCs w:val="16"/>
          <w:color w:val="auto"/>
        </w:rPr>
      </w:pPr>
    </w:p>
    <w:p>
      <w:pPr>
        <w:ind w:left="2060" w:right="40" w:hanging="640"/>
        <w:spacing w:after="0" w:line="271" w:lineRule="auto"/>
        <w:tabs>
          <w:tab w:leader="none" w:pos="206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Client Damages. In the event Company terminates for a default by Subcontractor under this Section 14.2.2 and such default by Subcontractor directly results in the Company being in material default of the Client Contract and such material default by Company directly results in the Client either terminating the Client Contract or otherwise exercising Client’s rights under the Client Contract against Company with respect to such material default by Company, Subcontractor agrees to be liable to the Company to the same extent that Company is liable to the Client. Accordingly, if Client is legally entitled to recover damages or reimbursements from Company pursuant to the terms of the Client Contract for such material default (“</w:t>
      </w:r>
      <w:r>
        <w:rPr>
          <w:rFonts w:ascii="Arial" w:cs="Arial" w:eastAsia="Arial" w:hAnsi="Arial"/>
          <w:sz w:val="17"/>
          <w:szCs w:val="17"/>
          <w:b w:val="1"/>
          <w:bCs w:val="1"/>
          <w:color w:val="auto"/>
        </w:rPr>
        <w:t>Default Damages</w:t>
      </w:r>
      <w:r>
        <w:rPr>
          <w:rFonts w:ascii="Arial" w:cs="Arial" w:eastAsia="Arial" w:hAnsi="Arial"/>
          <w:sz w:val="17"/>
          <w:szCs w:val="17"/>
          <w:color w:val="auto"/>
        </w:rPr>
        <w:t>”) then Subcontractor shall reimburse Company for 100% of any Default Damages that Company actually pays to Client.</w:t>
      </w:r>
    </w:p>
    <w:p>
      <w:pPr>
        <w:spacing w:after="0" w:line="82" w:lineRule="exact"/>
        <w:rPr>
          <w:rFonts w:ascii="Arial" w:cs="Arial" w:eastAsia="Arial" w:hAnsi="Arial"/>
          <w:sz w:val="17"/>
          <w:szCs w:val="17"/>
          <w:color w:val="auto"/>
        </w:rPr>
      </w:pPr>
    </w:p>
    <w:p>
      <w:pPr>
        <w:ind w:left="2060" w:right="280" w:hanging="640"/>
        <w:spacing w:after="0" w:line="263" w:lineRule="auto"/>
        <w:tabs>
          <w:tab w:leader="none" w:pos="20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Exclusive and Non-Cumulative Remedies. Paragraphs (4) and (5) of this Section 14.2.2 are Company’s only remedies available in the event of termination of all or part of this Agreement due to Subcontractor’s default. Further, Company is only entitled to elect one of the remedies.</w:t>
      </w:r>
    </w:p>
    <w:p>
      <w:pPr>
        <w:sectPr>
          <w:pgSz w:w="11900" w:h="16838" w:orient="portrait"/>
          <w:cols w:equalWidth="0" w:num="1">
            <w:col w:w="11000"/>
          </w:cols>
          <w:pgMar w:left="460" w:top="270" w:right="43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11</w:t>
      </w:r>
    </w:p>
    <w:p>
      <w:pPr>
        <w:spacing w:after="0" w:line="161"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For clarity, Company must choose the remedy available under paragraph (4) or paragraph (5), but not both paragraphs.</w:t>
      </w:r>
    </w:p>
    <w:p>
      <w:pPr>
        <w:spacing w:after="0" w:line="153" w:lineRule="exact"/>
        <w:rPr>
          <w:sz w:val="20"/>
          <w:szCs w:val="20"/>
          <w:color w:val="auto"/>
        </w:rPr>
      </w:pPr>
    </w:p>
    <w:p>
      <w:pPr>
        <w:ind w:left="2060" w:right="280" w:hanging="640"/>
        <w:spacing w:after="0" w:line="263" w:lineRule="auto"/>
        <w:tabs>
          <w:tab w:leader="none" w:pos="20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after notice of termination for default, it is determined for any reason that Subcontractor was not in default or that the default was excusable, the rights and obligations of the parties will be the same as if the notice of termination had been issued pursuant to termination for convenience.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MISCELLANEOUS PROVISIONS</w:t>
      </w:r>
    </w:p>
    <w:p>
      <w:pPr>
        <w:spacing w:after="0" w:line="130" w:lineRule="exact"/>
        <w:rPr>
          <w:sz w:val="20"/>
          <w:szCs w:val="20"/>
          <w:color w:val="auto"/>
        </w:rPr>
      </w:pPr>
    </w:p>
    <w:p>
      <w:pPr>
        <w:ind w:left="640" w:right="200" w:hanging="647"/>
        <w:spacing w:after="0" w:line="288"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b w:val="1"/>
          <w:bCs w:val="1"/>
          <w:color w:val="auto"/>
        </w:rPr>
        <w:t xml:space="preserve">Subcontract: </w:t>
      </w:r>
      <w:r>
        <w:rPr>
          <w:rFonts w:ascii="Arial" w:cs="Arial" w:eastAsia="Arial" w:hAnsi="Arial"/>
          <w:sz w:val="17"/>
          <w:szCs w:val="17"/>
          <w:color w:val="auto"/>
        </w:rPr>
        <w:t>The Subcontractor shall not further subcontract any Services to be performed under this Agreement without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 from the Company. Neither this Agreement nor any lower tier Subcontract will create any contractual relationship between any lower tier Subcontractor and Client or Company, nor any liability of Client or Company to any lower tier Subcontractor.</w:t>
      </w:r>
    </w:p>
    <w:p>
      <w:pPr>
        <w:spacing w:after="0" w:line="65" w:lineRule="exact"/>
        <w:rPr>
          <w:sz w:val="20"/>
          <w:szCs w:val="20"/>
          <w:color w:val="auto"/>
        </w:rPr>
      </w:pPr>
    </w:p>
    <w:p>
      <w:pPr>
        <w:ind w:left="640" w:hanging="647"/>
        <w:spacing w:after="0" w:line="274"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b w:val="1"/>
          <w:bCs w:val="1"/>
          <w:color w:val="auto"/>
        </w:rPr>
        <w:t xml:space="preserve">Assignment: </w:t>
      </w:r>
      <w:r>
        <w:rPr>
          <w:rFonts w:ascii="Arial" w:cs="Arial" w:eastAsia="Arial" w:hAnsi="Arial"/>
          <w:sz w:val="17"/>
          <w:szCs w:val="17"/>
          <w:color w:val="auto"/>
        </w:rPr>
        <w:t>The Subcontractor and Company shall not transfer, assign or hypothecate its interest in this Agreement without the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other, which shall not be unreasonably withheld. However, no consent shall be required for any assignment in connection with any merger, acquisition or the sale of all or substantially all of the stock or assets of either party to a party that agrees in writing to be bound by the terms and conditions of this Agreement; provided that, Company may not assign this Agreement to any party that, in Subcontractor’s reasonable judgment, is a competitor of Subcontractor. Any attempted transfer, assignment, or hypothecation without such written consent shall be void and confer no rights upon any third person and shall constitute a default hereunder.</w:t>
      </w:r>
    </w:p>
    <w:p>
      <w:pPr>
        <w:spacing w:after="0" w:line="77" w:lineRule="exact"/>
        <w:rPr>
          <w:sz w:val="20"/>
          <w:szCs w:val="20"/>
          <w:color w:val="auto"/>
        </w:rPr>
      </w:pPr>
    </w:p>
    <w:p>
      <w:pPr>
        <w:ind w:left="640" w:right="220" w:hanging="647"/>
        <w:spacing w:after="0" w:line="281" w:lineRule="auto"/>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b w:val="1"/>
          <w:bCs w:val="1"/>
          <w:color w:val="auto"/>
        </w:rPr>
        <w:t xml:space="preserve">Third Party Liability: </w:t>
      </w:r>
      <w:r>
        <w:rPr>
          <w:rFonts w:ascii="Arial" w:cs="Arial" w:eastAsia="Arial" w:hAnsi="Arial"/>
          <w:sz w:val="18"/>
          <w:szCs w:val="18"/>
          <w:color w:val="auto"/>
        </w:rPr>
        <w:t>This Agreement does not create any rights or benefits to parties other than Company and the Subcontractor. No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beneficiaries are intended by this Agreement.</w:t>
      </w:r>
    </w:p>
    <w:p>
      <w:pPr>
        <w:spacing w:after="0" w:line="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b w:val="1"/>
          <w:bCs w:val="1"/>
          <w:color w:val="auto"/>
        </w:rPr>
        <w:t>Rights and Remedies:</w:t>
      </w:r>
    </w:p>
    <w:p>
      <w:pPr>
        <w:spacing w:after="0" w:line="134" w:lineRule="exact"/>
        <w:rPr>
          <w:sz w:val="20"/>
          <w:szCs w:val="20"/>
          <w:color w:val="auto"/>
        </w:rPr>
      </w:pPr>
    </w:p>
    <w:p>
      <w:pPr>
        <w:jc w:val="both"/>
        <w:ind w:left="1400" w:right="80" w:hanging="768"/>
        <w:spacing w:after="0" w:line="259" w:lineRule="auto"/>
        <w:tabs>
          <w:tab w:leader="none" w:pos="138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8"/>
          <w:szCs w:val="18"/>
          <w:color w:val="auto"/>
        </w:rPr>
        <w:t>No failures of or delay by the Company or Subcontractor in the exercise of any right under this Agreement shall constitute a waiver thereof, nor shall any single or partial exercise of any such right preclude other or further exercise thereof or of any other such right. The waiver by the Company or Subcontractor of any breach of any provision of this Agreement shall not be deemed to be a waiver of any subsequent breach or of any other provision of this Agreement.</w:t>
      </w:r>
    </w:p>
    <w:p>
      <w:pPr>
        <w:spacing w:after="0" w:line="91" w:lineRule="exact"/>
        <w:rPr>
          <w:sz w:val="20"/>
          <w:szCs w:val="20"/>
          <w:color w:val="auto"/>
        </w:rPr>
      </w:pPr>
    </w:p>
    <w:p>
      <w:pPr>
        <w:ind w:left="1400" w:hanging="768"/>
        <w:spacing w:after="0" w:line="263" w:lineRule="auto"/>
        <w:tabs>
          <w:tab w:leader="none" w:pos="1380"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8"/>
          <w:szCs w:val="18"/>
          <w:color w:val="auto"/>
        </w:rPr>
        <w:t>Neither the Company’s nor the Client’s review, approval, nor payment for, any of the services required under this Agreement shall be construed to have operated as a waiver of any rights arising under this Agreement or of any cause of action arising out of the performance of this Agreement.</w:t>
      </w:r>
    </w:p>
    <w:p>
      <w:pPr>
        <w:spacing w:after="0" w:line="88" w:lineRule="exact"/>
        <w:rPr>
          <w:sz w:val="20"/>
          <w:szCs w:val="20"/>
          <w:color w:val="auto"/>
        </w:rPr>
      </w:pPr>
    </w:p>
    <w:p>
      <w:pPr>
        <w:ind w:left="1400" w:right="40" w:hanging="768"/>
        <w:spacing w:after="0" w:line="277" w:lineRule="auto"/>
        <w:tabs>
          <w:tab w:leader="none" w:pos="1380" w:val="left"/>
        </w:tabs>
        <w:rPr>
          <w:sz w:val="20"/>
          <w:szCs w:val="20"/>
          <w:color w:val="auto"/>
        </w:rPr>
      </w:pPr>
      <w:r>
        <w:rPr>
          <w:rFonts w:ascii="Arial" w:cs="Arial" w:eastAsia="Arial" w:hAnsi="Arial"/>
          <w:sz w:val="18"/>
          <w:szCs w:val="18"/>
          <w:color w:val="auto"/>
        </w:rPr>
        <w:t>15.4.3</w:t>
      </w:r>
      <w:r>
        <w:rPr>
          <w:sz w:val="20"/>
          <w:szCs w:val="20"/>
          <w:color w:val="auto"/>
        </w:rPr>
        <w:tab/>
      </w:r>
      <w:r>
        <w:rPr>
          <w:rFonts w:ascii="Arial" w:cs="Arial" w:eastAsia="Arial" w:hAnsi="Arial"/>
          <w:sz w:val="18"/>
          <w:szCs w:val="18"/>
          <w:color w:val="auto"/>
        </w:rPr>
        <w:t>The rights and remedies of the Company and the Subcontractor provided for under this Agreement are in addition to any other rights and remedies provided by law, unless expressly stated otherwise in this Agreement.</w:t>
      </w:r>
    </w:p>
    <w:p>
      <w:pPr>
        <w:spacing w:after="0" w:line="71" w:lineRule="exact"/>
        <w:rPr>
          <w:sz w:val="20"/>
          <w:szCs w:val="20"/>
          <w:color w:val="auto"/>
        </w:rPr>
      </w:pPr>
    </w:p>
    <w:p>
      <w:pPr>
        <w:ind w:left="640" w:right="300" w:hanging="647"/>
        <w:spacing w:after="0" w:line="288"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During the pendency of any controversy or claim hereunder, the Subcontractor shall proceed diligently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the Subcontract and in accordance with the direction of the Company. The preceding does not apply to Company’s payment obligations to Subcontractor or any remedies available to Illumina as a result of Company’s undisputed breach.</w:t>
      </w:r>
    </w:p>
    <w:p>
      <w:pPr>
        <w:spacing w:after="0" w:line="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b w:val="1"/>
          <w:bCs w:val="1"/>
          <w:color w:val="auto"/>
        </w:rPr>
        <w:t>Priority Rating: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[INTENTIONALLY OMITTED AND RESERVED.]</w:t>
      </w:r>
    </w:p>
    <w:p>
      <w:pPr>
        <w:spacing w:after="0" w:line="126" w:lineRule="exact"/>
        <w:rPr>
          <w:sz w:val="20"/>
          <w:szCs w:val="20"/>
          <w:color w:val="auto"/>
        </w:rPr>
      </w:pPr>
    </w:p>
    <w:p>
      <w:pPr>
        <w:ind w:left="640" w:hanging="647"/>
        <w:spacing w:after="0" w:line="314" w:lineRule="auto"/>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b w:val="1"/>
          <w:bCs w:val="1"/>
          <w:color w:val="auto"/>
        </w:rPr>
        <w:t xml:space="preserve">Applicable Law: </w:t>
      </w:r>
      <w:r>
        <w:rPr>
          <w:rFonts w:ascii="Arial" w:cs="Arial" w:eastAsia="Arial" w:hAnsi="Arial"/>
          <w:sz w:val="16"/>
          <w:szCs w:val="16"/>
          <w:color w:val="auto"/>
        </w:rPr>
        <w:t>In the performance of the work provided by this Agreement, the Subcontractor and Company shall comply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Federal, State and local laws, rules, ordinances, codes, and regulations (collectively “</w:t>
      </w:r>
      <w:r>
        <w:rPr>
          <w:rFonts w:ascii="Arial" w:cs="Arial" w:eastAsia="Arial" w:hAnsi="Arial"/>
          <w:sz w:val="16"/>
          <w:szCs w:val="16"/>
          <w:b w:val="1"/>
          <w:bCs w:val="1"/>
          <w:color w:val="auto"/>
        </w:rPr>
        <w:t>Laws</w:t>
      </w:r>
      <w:r>
        <w:rPr>
          <w:rFonts w:ascii="Arial" w:cs="Arial" w:eastAsia="Arial" w:hAnsi="Arial"/>
          <w:sz w:val="16"/>
          <w:szCs w:val="16"/>
          <w:color w:val="auto"/>
        </w:rPr>
        <w:t>”) that are applicable to the subject matter of, and source of funding for (but only to the extent the laws applicable to the source of funding require that such Laws be imposed on the</w:t>
      </w:r>
    </w:p>
    <w:p>
      <w:pPr>
        <w:sectPr>
          <w:pgSz w:w="11900" w:h="16838" w:orient="portrait"/>
          <w:cols w:equalWidth="0" w:num="1">
            <w:col w:w="10980"/>
          </w:cols>
          <w:pgMar w:left="460" w:top="270" w:right="45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12</w:t>
      </w:r>
    </w:p>
    <w:p>
      <w:pPr>
        <w:spacing w:after="0" w:line="161" w:lineRule="exact"/>
        <w:rPr>
          <w:sz w:val="20"/>
          <w:szCs w:val="20"/>
          <w:color w:val="auto"/>
        </w:rPr>
      </w:pPr>
    </w:p>
    <w:p>
      <w:pPr>
        <w:ind w:left="640" w:right="160"/>
        <w:spacing w:after="0" w:line="259" w:lineRule="auto"/>
        <w:rPr>
          <w:sz w:val="20"/>
          <w:szCs w:val="20"/>
          <w:color w:val="auto"/>
        </w:rPr>
      </w:pPr>
      <w:r>
        <w:rPr>
          <w:rFonts w:ascii="Arial" w:cs="Arial" w:eastAsia="Arial" w:hAnsi="Arial"/>
          <w:sz w:val="18"/>
          <w:szCs w:val="18"/>
          <w:color w:val="auto"/>
        </w:rPr>
        <w:t>Subcontractor), this Agreement. This Agreement is shall be construed, interpreted and applied in accordance with the laws of the State of California (without reference to conflicts of laws provisions). Subcontractor agrees to release, defend, indemnify and hold Company harmless against any and all liability or loss which may arise in connection with any failure to comply with applicable law, regulations and rules as outlined above.</w:t>
      </w:r>
    </w:p>
    <w:p>
      <w:pPr>
        <w:spacing w:after="0" w:line="87" w:lineRule="exact"/>
        <w:rPr>
          <w:sz w:val="20"/>
          <w:szCs w:val="20"/>
          <w:color w:val="auto"/>
        </w:rPr>
      </w:pPr>
    </w:p>
    <w:p>
      <w:pPr>
        <w:ind w:left="640" w:right="180" w:hanging="647"/>
        <w:spacing w:after="0" w:line="256" w:lineRule="auto"/>
        <w:tabs>
          <w:tab w:leader="none" w:pos="6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b w:val="1"/>
          <w:bCs w:val="1"/>
          <w:color w:val="auto"/>
        </w:rPr>
        <w:t xml:space="preserve">Entire Agreement, Modifications, Headings, Severability: </w:t>
      </w:r>
      <w:r>
        <w:rPr>
          <w:rFonts w:ascii="Arial" w:cs="Arial" w:eastAsia="Arial" w:hAnsi="Arial"/>
          <w:sz w:val="18"/>
          <w:szCs w:val="18"/>
          <w:color w:val="auto"/>
        </w:rPr>
        <w:t>The parties acknowledge that this Agreement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them and supersedes all prior representations, warranties, agreements, and understandings oral or written between the parties with respect to its subject matter. Unless stated otherwise in this Agreement, this Agreement may not be modified except in writing signed by both parties. The headings to this Agreement are for convenience and reference purposes only and shall not constitute a part of the Agreement. If any element of this Agreement is later held to violate the law or a regulation, that element shall be deemed void, and all remaining provisions shall continue in force.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 EXPORT COMPLIANCE</w:t>
      </w:r>
    </w:p>
    <w:p>
      <w:pPr>
        <w:spacing w:after="0" w:line="134"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Article 16 applies where this Agreement involves any export to a non-U.S. country, to a foreign person within the U.S. or from one non-U.S. country to another.</w:t>
      </w:r>
    </w:p>
    <w:p>
      <w:pPr>
        <w:spacing w:after="0" w:line="75" w:lineRule="exact"/>
        <w:rPr>
          <w:sz w:val="20"/>
          <w:szCs w:val="20"/>
          <w:color w:val="auto"/>
        </w:rPr>
      </w:pPr>
    </w:p>
    <w:p>
      <w:pPr>
        <w:ind w:left="640" w:right="20" w:hanging="647"/>
        <w:spacing w:after="0" w:line="256" w:lineRule="auto"/>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Subcontractor and Company will conduct its business operations in accordance with all applicable U.S. and foreign laws, ordinances, codes and regulations. Subcontractor shall comply with all applicable export laws, restrictions and regulations of any United States, European Union or other foreign agency or authority and agrees not to import, export or re-export, or allow the import, export or re-export of, any product, technology or information it obtains or learns pursuant to this Agreement (or any direct product thereof) in violation of any such laws, restrictions or regulations.</w:t>
      </w:r>
    </w:p>
    <w:p>
      <w:pPr>
        <w:spacing w:after="0" w:line="18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Company and Subcontractor confirm reading this document in full and confirm that they understand the terms of this Agreement. Company and Subcontractor freely enter into this Agreement. The Agreement becomes effective on the latest date of execution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SUBCONTRACTOR:</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COMPANY:</w:t>
            </w: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Illumina,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Personalis, Inc.</w:t>
            </w:r>
          </w:p>
        </w:tc>
      </w:tr>
      <w:tr>
        <w:trPr>
          <w:trHeight w:val="44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s/ Mark Van Oene</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Tillis</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Vice President &amp; General Mgr.</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Finance &amp; Administration</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1/25/18</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1/25/18</w:t>
            </w:r>
          </w:p>
        </w:tc>
      </w:tr>
    </w:tbl>
    <w:p>
      <w:pPr>
        <w:sectPr>
          <w:pgSz w:w="11900" w:h="16838" w:orient="portrait"/>
          <w:cols w:equalWidth="0" w:num="1">
            <w:col w:w="11000"/>
          </w:cols>
          <w:pgMar w:left="460" w:top="269" w:right="439" w:bottom="1440" w:gutter="0" w:footer="0" w:header="0"/>
        </w:sectPr>
      </w:pPr>
    </w:p>
    <w:bookmarkStart w:id="571" w:name="page572"/>
    <w:bookmarkEnd w:id="57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APPENDIX A – CUSTOMER FLOWDOWN CLAUSES</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6"/>
          <w:szCs w:val="16"/>
          <w:color w:val="auto"/>
        </w:rPr>
        <w:t>All costs associated with the obligations set forth herein shall be the responsibility of the subcontractor unless expressly stated otherwise in an SOW.</w:t>
      </w:r>
    </w:p>
    <w:p>
      <w:pPr>
        <w:spacing w:after="0" w:line="35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I – CONTRACT SECURITY</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This Section I (Contract Security) and its applicability shall be interpreted based upon the following:</w:t>
      </w:r>
    </w:p>
    <w:p>
      <w:pPr>
        <w:spacing w:after="0" w:line="121" w:lineRule="exact"/>
        <w:rPr>
          <w:sz w:val="20"/>
          <w:szCs w:val="20"/>
          <w:color w:val="auto"/>
        </w:rPr>
      </w:pPr>
    </w:p>
    <w:p>
      <w:pPr>
        <w:jc w:val="both"/>
        <w:ind w:left="10" w:right="320"/>
        <w:spacing w:after="0" w:line="311" w:lineRule="auto"/>
        <w:rPr>
          <w:sz w:val="20"/>
          <w:szCs w:val="20"/>
          <w:color w:val="auto"/>
        </w:rPr>
      </w:pPr>
      <w:r>
        <w:rPr>
          <w:rFonts w:ascii="Arial" w:cs="Arial" w:eastAsia="Arial" w:hAnsi="Arial"/>
          <w:sz w:val="16"/>
          <w:szCs w:val="16"/>
          <w:color w:val="auto"/>
        </w:rPr>
        <w:t>The VA has clarified that: (i) a System of Records is not being designed, developed, or operated under the Contract, (ii) Subcontractor will not have logical (technical) or physical access to any VA Information System, (iii) Subcontractor is not designing, developing, or operating a VA Information System, and (iv) DNA samples proved by the VA under the Contract are not themselves considered by the VA to be VA Sensitive Information.</w:t>
      </w:r>
    </w:p>
    <w:p>
      <w:pPr>
        <w:spacing w:after="0" w:line="148" w:lineRule="exact"/>
        <w:rPr>
          <w:sz w:val="20"/>
          <w:szCs w:val="20"/>
          <w:color w:val="auto"/>
        </w:rPr>
      </w:pPr>
    </w:p>
    <w:p>
      <w:pPr>
        <w:ind w:left="10" w:right="440"/>
        <w:spacing w:after="0" w:line="290" w:lineRule="auto"/>
        <w:rPr>
          <w:sz w:val="20"/>
          <w:szCs w:val="20"/>
          <w:color w:val="auto"/>
        </w:rPr>
      </w:pPr>
      <w:r>
        <w:rPr>
          <w:rFonts w:ascii="Arial" w:cs="Arial" w:eastAsia="Arial" w:hAnsi="Arial"/>
          <w:sz w:val="16"/>
          <w:szCs w:val="16"/>
          <w:color w:val="auto"/>
        </w:rPr>
        <w:t>With respect to Section A.3(b) of this Section 1 (Contract Security), relating to co-mingling of data, (i) VA and Subcontractor are under the understanding that Subcontractor’s production and data management process does not represent co-mingling of data as defined by the section, and</w:t>
      </w:r>
    </w:p>
    <w:p>
      <w:pPr>
        <w:spacing w:after="0" w:line="1" w:lineRule="exact"/>
        <w:rPr>
          <w:sz w:val="20"/>
          <w:szCs w:val="20"/>
          <w:color w:val="auto"/>
        </w:rPr>
      </w:pPr>
    </w:p>
    <w:p>
      <w:pPr>
        <w:ind w:left="10" w:right="120" w:hanging="10"/>
        <w:spacing w:after="0" w:line="302" w:lineRule="auto"/>
        <w:tabs>
          <w:tab w:leader="none" w:pos="271" w:val="left"/>
        </w:tabs>
        <w:numPr>
          <w:ilvl w:val="0"/>
          <w:numId w:val="547"/>
        </w:numPr>
        <w:rPr>
          <w:rFonts w:ascii="Arial" w:cs="Arial" w:eastAsia="Arial" w:hAnsi="Arial"/>
          <w:sz w:val="16"/>
          <w:szCs w:val="16"/>
          <w:color w:val="auto"/>
        </w:rPr>
      </w:pPr>
      <w:r>
        <w:rPr>
          <w:rFonts w:ascii="Arial" w:cs="Arial" w:eastAsia="Arial" w:hAnsi="Arial"/>
          <w:sz w:val="16"/>
          <w:szCs w:val="16"/>
          <w:color w:val="auto"/>
        </w:rPr>
        <w:t>VA and Subcontractor have established that Subcontractor’s data segregation and separation practices are adequate since (a) the data for each DNA sample is located in a folder structure unique to that DNA sample, (b) no data from other DNA samples of other customers of Subcontractor reside in the same folder, and (c) the data for each DNA sample is 100% tracked by a dedicated database that associates each DNA sample with its project.</w:t>
      </w:r>
    </w:p>
    <w:p>
      <w:pPr>
        <w:spacing w:after="0" w:line="258" w:lineRule="exact"/>
        <w:rPr>
          <w:sz w:val="20"/>
          <w:szCs w:val="20"/>
          <w:color w:val="auto"/>
        </w:rPr>
      </w:pPr>
    </w:p>
    <w:p>
      <w:pPr>
        <w:ind w:left="10" w:right="4720"/>
        <w:spacing w:after="0" w:line="406" w:lineRule="auto"/>
        <w:rPr>
          <w:sz w:val="20"/>
          <w:szCs w:val="20"/>
          <w:color w:val="auto"/>
        </w:rPr>
      </w:pPr>
      <w:r>
        <w:rPr>
          <w:rFonts w:ascii="Arial" w:cs="Arial" w:eastAsia="Arial" w:hAnsi="Arial"/>
          <w:sz w:val="18"/>
          <w:szCs w:val="18"/>
          <w:b w:val="1"/>
          <w:bCs w:val="1"/>
          <w:color w:val="auto"/>
        </w:rPr>
        <w:t xml:space="preserve">A. VA INFORMATION AND INFORMATION SYSTEM SECURITY/PRIVACY </w:t>
      </w:r>
      <w:r>
        <w:rPr>
          <w:rFonts w:ascii="Arial" w:cs="Arial" w:eastAsia="Arial" w:hAnsi="Arial"/>
          <w:sz w:val="18"/>
          <w:szCs w:val="18"/>
          <w:color w:val="auto"/>
        </w:rPr>
        <w:t>1. GENERAL</w:t>
      </w:r>
    </w:p>
    <w:p>
      <w:pPr>
        <w:spacing w:after="0" w:line="59" w:lineRule="exact"/>
        <w:rPr>
          <w:sz w:val="20"/>
          <w:szCs w:val="20"/>
          <w:color w:val="auto"/>
        </w:rPr>
      </w:pPr>
    </w:p>
    <w:p>
      <w:pPr>
        <w:ind w:left="10" w:right="40"/>
        <w:spacing w:after="0" w:line="277" w:lineRule="auto"/>
        <w:rPr>
          <w:sz w:val="20"/>
          <w:szCs w:val="20"/>
          <w:color w:val="auto"/>
        </w:rPr>
      </w:pPr>
      <w:r>
        <w:rPr>
          <w:rFonts w:ascii="Arial" w:cs="Arial" w:eastAsia="Arial" w:hAnsi="Arial"/>
          <w:sz w:val="18"/>
          <w:szCs w:val="18"/>
          <w:color w:val="auto"/>
        </w:rPr>
        <w:t>Contractors, contractor personnel, subcontractors, and subcontractor personnel shall be subject to the same Federal laws, regulations, standards, and VA Directives and Handbooks as VA and VA personnel regarding information and information system security.</w:t>
      </w:r>
    </w:p>
    <w:p>
      <w:pPr>
        <w:spacing w:after="0" w:line="278" w:lineRule="exact"/>
        <w:rPr>
          <w:sz w:val="20"/>
          <w:szCs w:val="20"/>
          <w:color w:val="auto"/>
        </w:rPr>
      </w:pPr>
    </w:p>
    <w:p>
      <w:pPr>
        <w:ind w:left="10"/>
        <w:spacing w:after="0"/>
        <w:rPr>
          <w:sz w:val="20"/>
          <w:szCs w:val="20"/>
          <w:color w:val="auto"/>
        </w:rPr>
      </w:pPr>
      <w:r>
        <w:rPr>
          <w:rFonts w:ascii="Arial" w:cs="Arial" w:eastAsia="Arial" w:hAnsi="Arial"/>
          <w:sz w:val="18"/>
          <w:szCs w:val="18"/>
          <w:color w:val="auto"/>
        </w:rPr>
        <w:t>2. ACCESS TO VA INFORMATION AND VA INFORMATION SYSTEMS</w:t>
      </w:r>
    </w:p>
    <w:p>
      <w:pPr>
        <w:spacing w:after="0" w:line="117" w:lineRule="exact"/>
        <w:rPr>
          <w:sz w:val="20"/>
          <w:szCs w:val="20"/>
          <w:color w:val="auto"/>
        </w:rPr>
      </w:pPr>
    </w:p>
    <w:p>
      <w:pPr>
        <w:ind w:left="10" w:right="160" w:hanging="10"/>
        <w:spacing w:after="0" w:line="341" w:lineRule="auto"/>
        <w:tabs>
          <w:tab w:leader="none" w:pos="304"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 contractor/subcontractor shall request logical (technical) or physical access to VA information and VA information systems for their employees, subcontractors, and affiliates only to the extent necessary to perform the services specified in the contract, agreement, or task order.</w:t>
      </w:r>
    </w:p>
    <w:p>
      <w:pPr>
        <w:spacing w:after="0" w:line="124" w:lineRule="exact"/>
        <w:rPr>
          <w:rFonts w:ascii="Arial" w:cs="Arial" w:eastAsia="Arial" w:hAnsi="Arial"/>
          <w:sz w:val="16"/>
          <w:szCs w:val="16"/>
          <w:color w:val="auto"/>
        </w:rPr>
      </w:pPr>
    </w:p>
    <w:p>
      <w:pPr>
        <w:ind w:left="10" w:right="40" w:hanging="10"/>
        <w:spacing w:after="0" w:line="259" w:lineRule="auto"/>
        <w:tabs>
          <w:tab w:leader="none" w:pos="315"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All contractors, subcontractors, and third-party servicers and associates working with VA information are subject to the same investigative requirements as those of VA appointees or employees who have access to the same types of information. The level and process of background security investigations for contractors must be in accordance with VA Directive and Handbook 0710, Personnel Suitability and Security Program. The Office for Operations, Security, and Preparedness is responsible for these policies and procedures.</w:t>
      </w:r>
    </w:p>
    <w:p>
      <w:pPr>
        <w:spacing w:after="0" w:line="185" w:lineRule="exact"/>
        <w:rPr>
          <w:rFonts w:ascii="Arial" w:cs="Arial" w:eastAsia="Arial" w:hAnsi="Arial"/>
          <w:sz w:val="18"/>
          <w:szCs w:val="18"/>
          <w:color w:val="auto"/>
        </w:rPr>
      </w:pPr>
    </w:p>
    <w:p>
      <w:pPr>
        <w:ind w:left="10" w:hanging="10"/>
        <w:spacing w:after="0" w:line="296" w:lineRule="auto"/>
        <w:tabs>
          <w:tab w:leader="none" w:pos="314" w:val="left"/>
        </w:tabs>
        <w:numPr>
          <w:ilvl w:val="0"/>
          <w:numId w:val="548"/>
        </w:numPr>
        <w:rPr>
          <w:rFonts w:ascii="Arial" w:cs="Arial" w:eastAsia="Arial" w:hAnsi="Arial"/>
          <w:sz w:val="16"/>
          <w:szCs w:val="16"/>
          <w:color w:val="auto"/>
        </w:rPr>
      </w:pPr>
      <w:r>
        <w:rPr>
          <w:rFonts w:ascii="Arial" w:cs="Arial" w:eastAsia="Arial" w:hAnsi="Arial"/>
          <w:sz w:val="16"/>
          <w:szCs w:val="16"/>
          <w:color w:val="auto"/>
        </w:rPr>
        <w:t>Contract personnel who require access to national security programs must have a valid security clearance. National Industrial Security Program (NISP) was established by Executive Order 12829 to ensure that cleared U.S. defense industry contract personnel safeguard the classified information in their possession while performing work on contracts, programs, bids, or research and development efforts. The Department of Veterans Affairs does not have a Memorandum of Agreement with Defense Security Service (DSS). Verification of a Security Clearance must be processed through the Special Security Officer located in the Planning and National Security Service within the Office of Operations, Security, and Preparedness.</w:t>
      </w:r>
    </w:p>
    <w:p>
      <w:pPr>
        <w:sectPr>
          <w:pgSz w:w="11900" w:h="16838" w:orient="portrait"/>
          <w:cols w:equalWidth="0" w:num="1">
            <w:col w:w="10970"/>
          </w:cols>
          <w:pgMar w:left="450" w:top="270" w:right="479" w:bottom="1440" w:gutter="0" w:footer="0" w:header="0"/>
        </w:sectPr>
      </w:pPr>
    </w:p>
    <w:bookmarkStart w:id="572" w:name="page573"/>
    <w:bookmarkEnd w:id="57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40" w:hanging="10"/>
        <w:spacing w:after="0" w:line="279" w:lineRule="auto"/>
        <w:tabs>
          <w:tab w:leader="none" w:pos="324" w:val="left"/>
        </w:tabs>
        <w:numPr>
          <w:ilvl w:val="0"/>
          <w:numId w:val="549"/>
        </w:numPr>
        <w:rPr>
          <w:rFonts w:ascii="Arial" w:cs="Arial" w:eastAsia="Arial" w:hAnsi="Arial"/>
          <w:sz w:val="17"/>
          <w:szCs w:val="17"/>
          <w:color w:val="auto"/>
        </w:rPr>
      </w:pPr>
      <w:r>
        <w:rPr>
          <w:rFonts w:ascii="Arial" w:cs="Arial" w:eastAsia="Arial" w:hAnsi="Arial"/>
          <w:sz w:val="17"/>
          <w:szCs w:val="17"/>
          <w:color w:val="auto"/>
        </w:rPr>
        <w:t>Custom software development and outsourced operations must be located in the U.S. to the maximum extent practical. If such services are proposed to be performed abroad and are not disallowed by other VA policy or mandates, the contractor/subcontractor must state where all non-U.S. services are provided and detail a security plan, deemed to be acceptable by VA, specifically to address mitigation of the resulting problems of communication, control, data protection, and so forth. Location within the U.S. may be an evaluation factor.</w:t>
      </w:r>
    </w:p>
    <w:p>
      <w:pPr>
        <w:spacing w:after="0" w:line="170" w:lineRule="exact"/>
        <w:rPr>
          <w:rFonts w:ascii="Arial" w:cs="Arial" w:eastAsia="Arial" w:hAnsi="Arial"/>
          <w:sz w:val="17"/>
          <w:szCs w:val="17"/>
          <w:color w:val="auto"/>
        </w:rPr>
      </w:pPr>
    </w:p>
    <w:p>
      <w:pPr>
        <w:ind w:left="10" w:right="160" w:hanging="10"/>
        <w:spacing w:after="0" w:line="263" w:lineRule="auto"/>
        <w:tabs>
          <w:tab w:leader="none" w:pos="311"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contractor or subcontractor must notify the Contracting Officer immediately when an employee working on a VA system or with access to VA information is reassigned or leaves the contractor or subcontractor’s employ. The Contracting Officer must also be notified immediately by the contractor or subcontractor prior to an unfriendly termination.</w:t>
      </w:r>
    </w:p>
    <w:p>
      <w:pPr>
        <w:spacing w:after="0" w:line="291" w:lineRule="exact"/>
        <w:rPr>
          <w:sz w:val="20"/>
          <w:szCs w:val="20"/>
          <w:color w:val="auto"/>
        </w:rPr>
      </w:pPr>
    </w:p>
    <w:p>
      <w:pPr>
        <w:ind w:left="10"/>
        <w:spacing w:after="0"/>
        <w:rPr>
          <w:sz w:val="20"/>
          <w:szCs w:val="20"/>
          <w:color w:val="auto"/>
        </w:rPr>
      </w:pPr>
      <w:r>
        <w:rPr>
          <w:rFonts w:ascii="Arial" w:cs="Arial" w:eastAsia="Arial" w:hAnsi="Arial"/>
          <w:sz w:val="18"/>
          <w:szCs w:val="18"/>
          <w:color w:val="auto"/>
        </w:rPr>
        <w:t>3. VA INFORMATION CUSTODIAL LANGUAGE</w:t>
      </w:r>
    </w:p>
    <w:p>
      <w:pPr>
        <w:spacing w:after="0" w:line="117" w:lineRule="exact"/>
        <w:rPr>
          <w:sz w:val="20"/>
          <w:szCs w:val="20"/>
          <w:color w:val="auto"/>
        </w:rPr>
      </w:pPr>
    </w:p>
    <w:p>
      <w:pPr>
        <w:ind w:left="10" w:right="20" w:hanging="10"/>
        <w:spacing w:after="0" w:line="259" w:lineRule="auto"/>
        <w:tabs>
          <w:tab w:leader="none" w:pos="31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Information made available to the contractor or subcontractor by VA for the performance or administration of this contract or information developed by the contractor/subcontractor in performance or administration of the contract shall be used only for those purposes and shall not be used in any other way without the prior written agreement of the VA. This clause expressly limits the contractor/subcontractor’s rights to use data as described in Rights in Data - General, FAR 52.227-14(d) (1).</w:t>
      </w:r>
    </w:p>
    <w:p>
      <w:pPr>
        <w:spacing w:after="0" w:line="185" w:lineRule="exact"/>
        <w:rPr>
          <w:rFonts w:ascii="Arial" w:cs="Arial" w:eastAsia="Arial" w:hAnsi="Arial"/>
          <w:sz w:val="18"/>
          <w:szCs w:val="18"/>
          <w:color w:val="auto"/>
        </w:rPr>
      </w:pPr>
    </w:p>
    <w:p>
      <w:pPr>
        <w:ind w:left="10" w:right="100" w:hanging="10"/>
        <w:spacing w:after="0" w:line="296" w:lineRule="auto"/>
        <w:tabs>
          <w:tab w:leader="none" w:pos="321" w:val="left"/>
        </w:tabs>
        <w:numPr>
          <w:ilvl w:val="0"/>
          <w:numId w:val="550"/>
        </w:numPr>
        <w:rPr>
          <w:rFonts w:ascii="Arial" w:cs="Arial" w:eastAsia="Arial" w:hAnsi="Arial"/>
          <w:sz w:val="16"/>
          <w:szCs w:val="16"/>
          <w:color w:val="auto"/>
        </w:rPr>
      </w:pPr>
      <w:r>
        <w:rPr>
          <w:rFonts w:ascii="Arial" w:cs="Arial" w:eastAsia="Arial" w:hAnsi="Arial"/>
          <w:sz w:val="16"/>
          <w:szCs w:val="16"/>
          <w:color w:val="auto"/>
        </w:rPr>
        <w:t>VA information should not be co-mingled, if possible, with any other data on the contractors/ subcontractor’s information systems or media storage systems in order to ensure VA requirements related to data protection and media sanitization can be met. If co-mingling must be allowed to meet the requirements of the business need, the contractor must ensure that VA’s information is returned to the VA or destroyed in accordance with VA’s sanitization requirements. VA reserves the right to conduct on site inspections of contractor and subcontractor IT resources to ensure data security controls, separation of data and job duties, and destruction/media sanitization procedures are in compliance with VA directive requirements.</w:t>
      </w:r>
    </w:p>
    <w:p>
      <w:pPr>
        <w:spacing w:after="0" w:line="160" w:lineRule="exact"/>
        <w:rPr>
          <w:rFonts w:ascii="Arial" w:cs="Arial" w:eastAsia="Arial" w:hAnsi="Arial"/>
          <w:sz w:val="16"/>
          <w:szCs w:val="16"/>
          <w:color w:val="auto"/>
        </w:rPr>
      </w:pPr>
    </w:p>
    <w:p>
      <w:pPr>
        <w:ind w:left="10" w:right="40" w:hanging="10"/>
        <w:spacing w:after="0" w:line="273" w:lineRule="auto"/>
        <w:tabs>
          <w:tab w:leader="none" w:pos="314" w:val="left"/>
        </w:tabs>
        <w:numPr>
          <w:ilvl w:val="0"/>
          <w:numId w:val="550"/>
        </w:numPr>
        <w:rPr>
          <w:rFonts w:ascii="Arial" w:cs="Arial" w:eastAsia="Arial" w:hAnsi="Arial"/>
          <w:sz w:val="17"/>
          <w:szCs w:val="17"/>
          <w:color w:val="auto"/>
        </w:rPr>
      </w:pPr>
      <w:r>
        <w:rPr>
          <w:rFonts w:ascii="Arial" w:cs="Arial" w:eastAsia="Arial" w:hAnsi="Arial"/>
          <w:sz w:val="17"/>
          <w:szCs w:val="17"/>
          <w:color w:val="auto"/>
        </w:rPr>
        <w:t>Prior to termination or completion of this contract, contractor/subcontractor must not destroy information received from VA, or gathered/created by the contractor in the course of performing this contract without prior written approval by the VA. Any data destruction done on behalf of VA by a contractor/ subcontractor must be done in accordance with National Archives and Records Administration (NARA) requirements as outlined in VA Directive 6300, Records and Information Management and its Handbook 6300.1 Records Management Procedures, applicable VA Records Control Schedules, and VA Handbook 6500.1, Electronic Media Sanitization. Self-certification by the subcontractor that the data destruction requirements above have been met must be sent to the VA Contracting Officer within 30 days of termination of the contract.</w:t>
      </w:r>
    </w:p>
    <w:p>
      <w:pPr>
        <w:spacing w:after="0" w:line="176" w:lineRule="exact"/>
        <w:rPr>
          <w:rFonts w:ascii="Arial" w:cs="Arial" w:eastAsia="Arial" w:hAnsi="Arial"/>
          <w:sz w:val="17"/>
          <w:szCs w:val="17"/>
          <w:color w:val="auto"/>
        </w:rPr>
      </w:pPr>
    </w:p>
    <w:p>
      <w:pPr>
        <w:ind w:left="10" w:hanging="10"/>
        <w:spacing w:after="0" w:line="275" w:lineRule="auto"/>
        <w:tabs>
          <w:tab w:leader="none" w:pos="321"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contractor/subcontractor must receive, gather, store, back up, maintain, use, disclose and dispose of VA information only in compliance with the terms of the contract and applicable Federal and VA information confidentiality and security laws, regulations and policies. If Federal or VA information confidentiality and security laws, regulations and policies become applicable to the VA information or information systems after execution of the contract, or if NIST issues or updates applicable FIPS or Special Publications (SP) after execution of this contract, the parties agree to negotiate in good faith to implement the information confidentiality and security laws, regulations and policies in this contract.</w:t>
      </w:r>
    </w:p>
    <w:p>
      <w:pPr>
        <w:spacing w:after="0" w:line="175" w:lineRule="exact"/>
        <w:rPr>
          <w:rFonts w:ascii="Arial" w:cs="Arial" w:eastAsia="Arial" w:hAnsi="Arial"/>
          <w:sz w:val="17"/>
          <w:szCs w:val="17"/>
          <w:color w:val="auto"/>
        </w:rPr>
      </w:pPr>
    </w:p>
    <w:p>
      <w:pPr>
        <w:ind w:left="10" w:right="140" w:hanging="10"/>
        <w:spacing w:after="0" w:line="259" w:lineRule="auto"/>
        <w:tabs>
          <w:tab w:leader="none" w:pos="311"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contractor/subcontractor shall not make copies of VA information except as authorized and necessary to perform the terms of the agreement or to preserve electronic information stored on contractor/subcontractor electronic storage media for restoration in case any electronic equipment or data used by the contractor/subcontractor needs to be restored to an operating state. If copies are made for restoration purposes, after the restoration is complete, the copies must be appropriately destroyed.</w:t>
      </w:r>
    </w:p>
    <w:p>
      <w:pPr>
        <w:spacing w:after="0" w:line="185" w:lineRule="exact"/>
        <w:rPr>
          <w:rFonts w:ascii="Arial" w:cs="Arial" w:eastAsia="Arial" w:hAnsi="Arial"/>
          <w:sz w:val="18"/>
          <w:szCs w:val="18"/>
          <w:color w:val="auto"/>
        </w:rPr>
      </w:pPr>
    </w:p>
    <w:p>
      <w:pPr>
        <w:ind w:left="10" w:right="160" w:hanging="10"/>
        <w:spacing w:after="0" w:line="263" w:lineRule="auto"/>
        <w:tabs>
          <w:tab w:leader="none" w:pos="29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If VA determines that the contractor has violated any of the information confidentiality, privacy, and security provisions of the contract, it shall be sufficient grounds for VA to withhold payment to the contractor or third party or terminate the contract for default or terminate for cause under Federal Acquisition Regulation (FAR) part 12.</w:t>
      </w:r>
    </w:p>
    <w:p>
      <w:pPr>
        <w:sectPr>
          <w:pgSz w:w="11900" w:h="16838" w:orient="portrait"/>
          <w:cols w:equalWidth="0" w:num="1">
            <w:col w:w="11010"/>
          </w:cols>
          <w:pgMar w:left="450" w:top="269" w:right="439" w:bottom="1440" w:gutter="0" w:footer="0" w:header="0"/>
        </w:sectPr>
      </w:pPr>
    </w:p>
    <w:bookmarkStart w:id="573" w:name="page574"/>
    <w:bookmarkEnd w:id="57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40" w:hanging="10"/>
        <w:spacing w:after="0" w:line="263" w:lineRule="auto"/>
        <w:tabs>
          <w:tab w:leader="none" w:pos="32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If a VHA contract is terminated for cause, the associated BAA must also be terminated and appropriate actions taken in accordance with VHA Handbook 1600.01, Business Associate Agreements. Absent an agreement to use or disclose protected health information, there is no business associate relationship.</w:t>
      </w:r>
    </w:p>
    <w:p>
      <w:pPr>
        <w:spacing w:after="0" w:line="182" w:lineRule="exact"/>
        <w:rPr>
          <w:rFonts w:ascii="Arial" w:cs="Arial" w:eastAsia="Arial" w:hAnsi="Arial"/>
          <w:sz w:val="18"/>
          <w:szCs w:val="18"/>
          <w:color w:val="auto"/>
        </w:rPr>
      </w:pPr>
    </w:p>
    <w:p>
      <w:pPr>
        <w:ind w:left="10" w:right="100" w:hanging="10"/>
        <w:spacing w:after="0" w:line="277" w:lineRule="auto"/>
        <w:tabs>
          <w:tab w:leader="none" w:pos="321"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contractor/subcontractor must store, transport, or transmit VA sensitive information in an encrypted form, using VA-approved encryption tools that are, at a minimum, FIPS 140-2 validated.</w:t>
      </w:r>
    </w:p>
    <w:p>
      <w:pPr>
        <w:spacing w:after="0" w:line="169" w:lineRule="exact"/>
        <w:rPr>
          <w:rFonts w:ascii="Arial" w:cs="Arial" w:eastAsia="Arial" w:hAnsi="Arial"/>
          <w:sz w:val="18"/>
          <w:szCs w:val="18"/>
          <w:color w:val="auto"/>
        </w:rPr>
      </w:pPr>
    </w:p>
    <w:p>
      <w:pPr>
        <w:ind w:left="10" w:right="380" w:hanging="10"/>
        <w:spacing w:after="0" w:line="277" w:lineRule="auto"/>
        <w:tabs>
          <w:tab w:leader="none" w:pos="281"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contractor/subcontractor’s firewall and Web services security controls, if applicable, shall meet or exceed VA’s minimum requirements. VA Configuration Guidelines are available upon request.</w:t>
      </w:r>
    </w:p>
    <w:p>
      <w:pPr>
        <w:spacing w:after="0" w:line="169" w:lineRule="exact"/>
        <w:rPr>
          <w:rFonts w:ascii="Arial" w:cs="Arial" w:eastAsia="Arial" w:hAnsi="Arial"/>
          <w:sz w:val="18"/>
          <w:szCs w:val="18"/>
          <w:color w:val="auto"/>
        </w:rPr>
      </w:pPr>
    </w:p>
    <w:p>
      <w:pPr>
        <w:jc w:val="both"/>
        <w:ind w:left="10" w:right="40" w:hanging="10"/>
        <w:spacing w:after="0" w:line="259" w:lineRule="auto"/>
        <w:tabs>
          <w:tab w:leader="none" w:pos="28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Except for uses and disclosures of VA information authorized by this contract for performance of the contract, the contractor/subcontractor may use and disclose VA information only in two other situations: (i) in response to a qualifying order of a court of competent jurisdiction, or (ii) with VA’s prior written approval. The contractor/subcontractor must refer all requests for, demands for production of, or inquiries about, VA information and information systems to the VA contracting officer for response.</w:t>
      </w:r>
    </w:p>
    <w:p>
      <w:pPr>
        <w:spacing w:after="0" w:line="185" w:lineRule="exact"/>
        <w:rPr>
          <w:rFonts w:ascii="Arial" w:cs="Arial" w:eastAsia="Arial" w:hAnsi="Arial"/>
          <w:sz w:val="18"/>
          <w:szCs w:val="18"/>
          <w:color w:val="auto"/>
        </w:rPr>
      </w:pPr>
    </w:p>
    <w:p>
      <w:pPr>
        <w:ind w:left="10" w:right="40" w:hanging="10"/>
        <w:spacing w:after="0" w:line="256" w:lineRule="auto"/>
        <w:tabs>
          <w:tab w:leader="none" w:pos="32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Notwithstanding the provision above, the contractor/subcontractor shall not release VA records protected by Title 38 U.S.C. 5705, confidentiality of medical quality assurance records and/or Title 38 U.S.C. 7332, confidentiality of certain health records pertaining to drug addiction, sickle cell anemia, alcoholism or alcohol abuse, or infection with human immunodeficiency virus. If the contractor/subcontractor is in receipt of a court order or other requests for the above mentioned information, that contractor/subcontractor shall immediately refer such court orders or other requests to the VA contracting officer for response.</w:t>
      </w:r>
    </w:p>
    <w:p>
      <w:pPr>
        <w:spacing w:after="0" w:line="191" w:lineRule="exact"/>
        <w:rPr>
          <w:sz w:val="20"/>
          <w:szCs w:val="20"/>
          <w:color w:val="auto"/>
        </w:rPr>
      </w:pPr>
    </w:p>
    <w:p>
      <w:pPr>
        <w:jc w:val="both"/>
        <w:ind w:left="10" w:hanging="10"/>
        <w:spacing w:after="0" w:line="263" w:lineRule="auto"/>
        <w:tabs>
          <w:tab w:leader="none" w:pos="29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For service that involves the storage, generating, transmitting, or exchanging of VA sensitive information but does not require C&amp;A or an MOU-ISA for system interconnection, the contractor/subcontractor must complete a Contractor Security Control Assessment (CSCA) on a yearly basis and provide it to the COR.</w:t>
      </w:r>
    </w:p>
    <w:p>
      <w:pPr>
        <w:spacing w:after="0" w:line="183" w:lineRule="exact"/>
        <w:rPr>
          <w:sz w:val="20"/>
          <w:szCs w:val="20"/>
          <w:color w:val="auto"/>
        </w:rPr>
      </w:pPr>
    </w:p>
    <w:p>
      <w:pPr>
        <w:ind w:left="10" w:right="6300" w:hanging="10"/>
        <w:spacing w:after="0" w:line="500" w:lineRule="auto"/>
        <w:tabs>
          <w:tab w:leader="none" w:pos="19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INFORMATION SYSTEM DESIGN AND DEVELOPMENT SECTION 4 REMOVED</w:t>
      </w:r>
    </w:p>
    <w:p>
      <w:pPr>
        <w:ind w:left="10" w:right="4760" w:hanging="10"/>
        <w:spacing w:after="0" w:line="500" w:lineRule="auto"/>
        <w:tabs>
          <w:tab w:leader="none" w:pos="19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INFORMATION SYSTEM HOSTING, OPERATION, MAINTENANCE, OR USE SECTION 5 REMOVED</w:t>
      </w:r>
    </w:p>
    <w:p>
      <w:pPr>
        <w:ind w:left="190" w:hanging="190"/>
        <w:spacing w:after="0"/>
        <w:tabs>
          <w:tab w:leader="none" w:pos="19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SECURITY INCIDENT INVESTIGATION</w:t>
      </w:r>
    </w:p>
    <w:p>
      <w:pPr>
        <w:spacing w:after="0" w:line="117" w:lineRule="exact"/>
        <w:rPr>
          <w:sz w:val="20"/>
          <w:szCs w:val="20"/>
          <w:color w:val="auto"/>
        </w:rPr>
      </w:pPr>
    </w:p>
    <w:p>
      <w:pPr>
        <w:ind w:left="10" w:right="100" w:hanging="10"/>
        <w:spacing w:after="0" w:line="279" w:lineRule="auto"/>
        <w:tabs>
          <w:tab w:leader="none" w:pos="311"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The term “security incident” means an event that has, or could have, resulted in unauthorized access to, loss or damage to VA assets, or sensitive information, or an action that breaches VA security procedures. The contractor/subcontractor shall immediately notify the COR and simultaneously, the designated ISO and Privacy Officer for the contract of any known or suspected security/privacy incidents, or any unauthorized disclosure of sensitive information, including that contained in system(s) to which the contractor/subcontractor has access.</w:t>
      </w:r>
    </w:p>
    <w:p>
      <w:pPr>
        <w:spacing w:after="0" w:line="170" w:lineRule="exact"/>
        <w:rPr>
          <w:rFonts w:ascii="Arial" w:cs="Arial" w:eastAsia="Arial" w:hAnsi="Arial"/>
          <w:sz w:val="17"/>
          <w:szCs w:val="17"/>
          <w:color w:val="auto"/>
        </w:rPr>
      </w:pPr>
    </w:p>
    <w:p>
      <w:pPr>
        <w:ind w:left="10" w:right="180" w:hanging="10"/>
        <w:spacing w:after="0" w:line="263" w:lineRule="auto"/>
        <w:tabs>
          <w:tab w:leader="none" w:pos="321"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To the extent known by the contractor/subcontractor, the contractor/subcontractor’s notice to VA shall identify the information involved, the circumstances surrounding the incident (including to whom, how, when, and where the VA information or assets were placed at risk or compromised), and any other information that the contractor/subcontractor considers relevant.</w:t>
      </w:r>
    </w:p>
    <w:p>
      <w:pPr>
        <w:spacing w:after="0" w:line="182" w:lineRule="exact"/>
        <w:rPr>
          <w:rFonts w:ascii="Arial" w:cs="Arial" w:eastAsia="Arial" w:hAnsi="Arial"/>
          <w:sz w:val="18"/>
          <w:szCs w:val="18"/>
          <w:color w:val="auto"/>
        </w:rPr>
      </w:pPr>
    </w:p>
    <w:p>
      <w:pPr>
        <w:ind w:left="10" w:right="420" w:hanging="10"/>
        <w:spacing w:after="0" w:line="286" w:lineRule="auto"/>
        <w:tabs>
          <w:tab w:leader="none" w:pos="311" w:val="left"/>
        </w:tabs>
        <w:numPr>
          <w:ilvl w:val="0"/>
          <w:numId w:val="554"/>
        </w:numPr>
        <w:rPr>
          <w:rFonts w:ascii="Arial" w:cs="Arial" w:eastAsia="Arial" w:hAnsi="Arial"/>
          <w:sz w:val="17"/>
          <w:szCs w:val="17"/>
          <w:color w:val="auto"/>
        </w:rPr>
      </w:pPr>
      <w:r>
        <w:rPr>
          <w:rFonts w:ascii="Arial" w:cs="Arial" w:eastAsia="Arial" w:hAnsi="Arial"/>
          <w:sz w:val="17"/>
          <w:szCs w:val="17"/>
          <w:color w:val="auto"/>
        </w:rPr>
        <w:t>With respect to unsecured protected health information, the business associate is deemed to have discovered a data breach when the business associate knew or should have known of a breach of such information. Upon discovery, the business associate must notify the covered entity of the breach. Notifications need to be made in accordance with the executed business associate agreement.</w:t>
      </w:r>
    </w:p>
    <w:p>
      <w:pPr>
        <w:sectPr>
          <w:pgSz w:w="11900" w:h="16838" w:orient="portrait"/>
          <w:cols w:equalWidth="0" w:num="1">
            <w:col w:w="10990"/>
          </w:cols>
          <w:pgMar w:left="450" w:top="270" w:right="459" w:bottom="1440" w:gutter="0" w:footer="0" w:header="0"/>
        </w:sectPr>
      </w:pPr>
    </w:p>
    <w:bookmarkStart w:id="574" w:name="page575"/>
    <w:bookmarkEnd w:id="57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60" w:hanging="10"/>
        <w:spacing w:after="0" w:line="255" w:lineRule="auto"/>
        <w:tabs>
          <w:tab w:leader="none" w:pos="32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In instances of theft or break-in or other criminal activity, the contractor/subcontractor must concurrently report the incident to the appropriate law enforcement entity (or entities) of jurisdiction, including the VA OIG and Security and Law Enforcement. The contractor, its employees, and its subcontractors and their employees shall cooperate with VA and any law enforcement authority responsible for the investigation and prosecution of any possible criminal law violation(s) associated with any incident. The contractor/subcontractor shall cooperate with VA in any civil litigation to recover VA information, obtain monetary or other compensation from a third party for damages arising from any incident, or obtain injunctive relief against any third party arising from, or related to, the incident.</w:t>
      </w:r>
    </w:p>
    <w:p>
      <w:pPr>
        <w:spacing w:after="0" w:line="299" w:lineRule="exact"/>
        <w:rPr>
          <w:sz w:val="20"/>
          <w:szCs w:val="20"/>
          <w:color w:val="auto"/>
        </w:rPr>
      </w:pPr>
    </w:p>
    <w:p>
      <w:pPr>
        <w:ind w:left="10"/>
        <w:spacing w:after="0"/>
        <w:rPr>
          <w:sz w:val="20"/>
          <w:szCs w:val="20"/>
          <w:color w:val="auto"/>
        </w:rPr>
      </w:pPr>
      <w:r>
        <w:rPr>
          <w:rFonts w:ascii="Arial" w:cs="Arial" w:eastAsia="Arial" w:hAnsi="Arial"/>
          <w:sz w:val="18"/>
          <w:szCs w:val="18"/>
          <w:color w:val="auto"/>
        </w:rPr>
        <w:t>7. LIQUIDATED DAMAGES FOR DATA BREACH</w:t>
      </w:r>
    </w:p>
    <w:p>
      <w:pPr>
        <w:spacing w:after="0" w:line="117" w:lineRule="exact"/>
        <w:rPr>
          <w:sz w:val="20"/>
          <w:szCs w:val="20"/>
          <w:color w:val="auto"/>
        </w:rPr>
      </w:pPr>
    </w:p>
    <w:p>
      <w:pPr>
        <w:ind w:left="10" w:right="160" w:hanging="10"/>
        <w:spacing w:after="0" w:line="263" w:lineRule="auto"/>
        <w:tabs>
          <w:tab w:leader="none" w:pos="314" w:val="left"/>
        </w:tabs>
        <w:numPr>
          <w:ilvl w:val="0"/>
          <w:numId w:val="556"/>
        </w:numPr>
        <w:rPr>
          <w:rFonts w:ascii="Arial" w:cs="Arial" w:eastAsia="Arial" w:hAnsi="Arial"/>
          <w:sz w:val="18"/>
          <w:szCs w:val="18"/>
          <w:color w:val="auto"/>
        </w:rPr>
      </w:pPr>
      <w:r>
        <w:rPr>
          <w:rFonts w:ascii="Arial" w:cs="Arial" w:eastAsia="Arial" w:hAnsi="Arial"/>
          <w:sz w:val="18"/>
          <w:szCs w:val="18"/>
          <w:color w:val="auto"/>
        </w:rPr>
        <w:t>Consistent with the requirements of 38 U.S.C. §5725, a contract may require access to sensitive personal information. If so, the contractor is liable to VA for liquidated damages in the event of a data breach or privacy incident involving any SP1the contractor/subcontractor processes or maintains under this contract.</w:t>
      </w:r>
    </w:p>
    <w:p>
      <w:pPr>
        <w:spacing w:after="0" w:line="182" w:lineRule="exact"/>
        <w:rPr>
          <w:rFonts w:ascii="Arial" w:cs="Arial" w:eastAsia="Arial" w:hAnsi="Arial"/>
          <w:sz w:val="18"/>
          <w:szCs w:val="18"/>
          <w:color w:val="auto"/>
        </w:rPr>
      </w:pPr>
    </w:p>
    <w:p>
      <w:pPr>
        <w:ind w:left="10" w:hanging="10"/>
        <w:spacing w:after="0" w:line="254" w:lineRule="auto"/>
        <w:tabs>
          <w:tab w:leader="none" w:pos="19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contractor/subcontractor shall provide notice to VA of a “security incident” as set forth in the Security Incident Investigation section above. Upon such notification, VA must secure from a non-Department entity or the VA Office of Inspector General an independent risk analysis of the data breach to determine the level of risk associated with the data breach for the potential misuse of any sensitive personal information involved in the data breach. The term ‘data breach’ means the loss, theft, or other unauthorized access, or any access other than that incidental to the scope of employment, to data containing sensitive personal information, in electronic or printed form, that results in the potential compromise of the confidentiality or integrity of the data. Contractor shall fully cooperate with the entity performing the risk analysis. Failure to cooperate may be deemed a material breach and grounds for contract termination.</w:t>
      </w:r>
    </w:p>
    <w:p>
      <w:pPr>
        <w:spacing w:after="0" w:line="193" w:lineRule="exact"/>
        <w:rPr>
          <w:rFonts w:ascii="Arial" w:cs="Arial" w:eastAsia="Arial" w:hAnsi="Arial"/>
          <w:sz w:val="18"/>
          <w:szCs w:val="18"/>
          <w:color w:val="auto"/>
        </w:rPr>
      </w:pPr>
    </w:p>
    <w:p>
      <w:pPr>
        <w:ind w:left="310" w:hanging="310"/>
        <w:spacing w:after="0"/>
        <w:tabs>
          <w:tab w:leader="none" w:pos="31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Each risk analysis shall address all relevant information concerning the data breach, including the following:</w:t>
      </w:r>
    </w:p>
    <w:p>
      <w:pPr>
        <w:spacing w:after="0" w:line="225" w:lineRule="exact"/>
        <w:rPr>
          <w:sz w:val="20"/>
          <w:szCs w:val="20"/>
          <w:color w:val="auto"/>
        </w:rPr>
      </w:pPr>
    </w:p>
    <w:p>
      <w:pPr>
        <w:ind w:left="390" w:hanging="390"/>
        <w:spacing w:after="0"/>
        <w:tabs>
          <w:tab w:leader="none" w:pos="39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Nature of the event (loss, theft, unauthorized access);</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Description of the event, including:</w:t>
      </w:r>
    </w:p>
    <w:p>
      <w:pPr>
        <w:spacing w:after="0" w:line="225" w:lineRule="exact"/>
        <w:rPr>
          <w:sz w:val="20"/>
          <w:szCs w:val="20"/>
          <w:color w:val="auto"/>
        </w:rPr>
      </w:pPr>
    </w:p>
    <w:p>
      <w:pPr>
        <w:ind w:left="370" w:hanging="370"/>
        <w:spacing w:after="0"/>
        <w:tabs>
          <w:tab w:leader="none" w:pos="37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date of occurrence;</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data elements involved, including any PII, such as full name, social security number, date of birth, home address, account number, disability code;</w:t>
      </w:r>
    </w:p>
    <w:p>
      <w:pPr>
        <w:spacing w:after="0" w:line="248" w:lineRule="exact"/>
        <w:rPr>
          <w:sz w:val="20"/>
          <w:szCs w:val="20"/>
          <w:color w:val="auto"/>
        </w:rPr>
      </w:pPr>
    </w:p>
    <w:p>
      <w:pPr>
        <w:ind w:left="390" w:hanging="390"/>
        <w:spacing w:after="0"/>
        <w:tabs>
          <w:tab w:leader="none" w:pos="39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Number of individuals affected or potentially affected;</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Names of individuals or groups affected or potentially affected;</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59"/>
        </w:numPr>
        <w:rPr>
          <w:rFonts w:ascii="Arial" w:cs="Arial" w:eastAsia="Arial" w:hAnsi="Arial"/>
          <w:sz w:val="16"/>
          <w:szCs w:val="16"/>
          <w:color w:val="auto"/>
        </w:rPr>
      </w:pPr>
      <w:r>
        <w:rPr>
          <w:rFonts w:ascii="Arial" w:cs="Arial" w:eastAsia="Arial" w:hAnsi="Arial"/>
          <w:sz w:val="16"/>
          <w:szCs w:val="16"/>
          <w:color w:val="auto"/>
        </w:rPr>
        <w:t>Ease of logical data access to the lost, stolen or improperly accessed data in light of the degree of protection for the data, e.g., unencrypted, plain</w:t>
      </w:r>
    </w:p>
    <w:p>
      <w:pPr>
        <w:spacing w:after="0" w:line="46"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8"/>
          <w:szCs w:val="18"/>
          <w:color w:val="auto"/>
        </w:rPr>
        <w:t>text;</w:t>
      </w:r>
    </w:p>
    <w:p>
      <w:pPr>
        <w:spacing w:after="0" w:line="210" w:lineRule="exact"/>
        <w:rPr>
          <w:rFonts w:ascii="Arial" w:cs="Arial" w:eastAsia="Arial" w:hAnsi="Arial"/>
          <w:sz w:val="16"/>
          <w:szCs w:val="16"/>
          <w:color w:val="auto"/>
        </w:rPr>
      </w:pPr>
    </w:p>
    <w:p>
      <w:pPr>
        <w:ind w:left="370" w:hanging="370"/>
        <w:spacing w:after="0"/>
        <w:tabs>
          <w:tab w:leader="none" w:pos="37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Amount of time the data has been out of VA control;</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59"/>
        </w:numPr>
        <w:rPr>
          <w:rFonts w:ascii="Arial" w:cs="Arial" w:eastAsia="Arial" w:hAnsi="Arial"/>
          <w:sz w:val="16"/>
          <w:szCs w:val="16"/>
          <w:color w:val="auto"/>
        </w:rPr>
      </w:pPr>
      <w:r>
        <w:rPr>
          <w:rFonts w:ascii="Arial" w:cs="Arial" w:eastAsia="Arial" w:hAnsi="Arial"/>
          <w:sz w:val="16"/>
          <w:szCs w:val="16"/>
          <w:color w:val="auto"/>
        </w:rPr>
        <w:t>The likelihood that the sensitive personal information will or has been compromised (made accessible to and usable by unauthorized persons);</w:t>
      </w:r>
    </w:p>
    <w:p>
      <w:pPr>
        <w:spacing w:after="0" w:line="247" w:lineRule="exact"/>
        <w:rPr>
          <w:rFonts w:ascii="Arial" w:cs="Arial" w:eastAsia="Arial" w:hAnsi="Arial"/>
          <w:sz w:val="16"/>
          <w:szCs w:val="16"/>
          <w:color w:val="auto"/>
        </w:rPr>
      </w:pPr>
    </w:p>
    <w:p>
      <w:pPr>
        <w:ind w:left="390" w:hanging="390"/>
        <w:spacing w:after="0"/>
        <w:tabs>
          <w:tab w:leader="none" w:pos="39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Known misuses of data containing sensitive personal information, if any;</w:t>
      </w:r>
    </w:p>
    <w:p>
      <w:pPr>
        <w:sectPr>
          <w:pgSz w:w="11900" w:h="16838" w:orient="portrait"/>
          <w:cols w:equalWidth="0" w:num="1">
            <w:col w:w="10990"/>
          </w:cols>
          <w:pgMar w:left="450" w:top="270" w:right="459" w:bottom="1440" w:gutter="0" w:footer="0" w:header="0"/>
        </w:sectPr>
      </w:pPr>
    </w:p>
    <w:bookmarkStart w:id="575" w:name="page576"/>
    <w:bookmarkEnd w:id="57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370" w:hanging="370"/>
        <w:spacing w:after="0"/>
        <w:tabs>
          <w:tab w:leader="none" w:pos="37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Assessment of the potential harm to the affected individuals;</w:t>
      </w:r>
    </w:p>
    <w:p>
      <w:pPr>
        <w:spacing w:after="0" w:line="224" w:lineRule="exact"/>
        <w:rPr>
          <w:rFonts w:ascii="Arial" w:cs="Arial" w:eastAsia="Arial" w:hAnsi="Arial"/>
          <w:sz w:val="18"/>
          <w:szCs w:val="18"/>
          <w:color w:val="auto"/>
        </w:rPr>
      </w:pPr>
    </w:p>
    <w:p>
      <w:pPr>
        <w:ind w:left="470" w:hanging="470"/>
        <w:spacing w:after="0"/>
        <w:tabs>
          <w:tab w:leader="none" w:pos="47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Data breach analysis as outlined in 6500.2 Handbook, Management of Security and Privacy Incidents, as appropriate; and</w:t>
      </w:r>
    </w:p>
    <w:p>
      <w:pPr>
        <w:spacing w:after="0" w:line="224" w:lineRule="exact"/>
        <w:rPr>
          <w:rFonts w:ascii="Arial" w:cs="Arial" w:eastAsia="Arial" w:hAnsi="Arial"/>
          <w:sz w:val="18"/>
          <w:szCs w:val="18"/>
          <w:color w:val="auto"/>
        </w:rPr>
      </w:pPr>
    </w:p>
    <w:p>
      <w:pPr>
        <w:ind w:left="10" w:right="100" w:hanging="10"/>
        <w:spacing w:after="0" w:line="277" w:lineRule="auto"/>
        <w:tabs>
          <w:tab w:leader="none" w:pos="479"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Whether credit protection services may assist record subjects in avoiding or mitigating the results of identity theft based on the sensitive personal information that may have been compromised.</w:t>
      </w:r>
    </w:p>
    <w:p>
      <w:pPr>
        <w:spacing w:after="0" w:line="170" w:lineRule="exact"/>
        <w:rPr>
          <w:sz w:val="20"/>
          <w:szCs w:val="20"/>
          <w:color w:val="auto"/>
        </w:rPr>
      </w:pPr>
    </w:p>
    <w:p>
      <w:pPr>
        <w:jc w:val="both"/>
        <w:ind w:left="10" w:right="380" w:hanging="10"/>
        <w:spacing w:after="0" w:line="341" w:lineRule="auto"/>
        <w:tabs>
          <w:tab w:leader="none" w:pos="324" w:val="left"/>
        </w:tabs>
        <w:numPr>
          <w:ilvl w:val="0"/>
          <w:numId w:val="561"/>
        </w:numPr>
        <w:rPr>
          <w:rFonts w:ascii="Arial" w:cs="Arial" w:eastAsia="Arial" w:hAnsi="Arial"/>
          <w:sz w:val="16"/>
          <w:szCs w:val="16"/>
          <w:color w:val="auto"/>
        </w:rPr>
      </w:pPr>
      <w:r>
        <w:rPr>
          <w:rFonts w:ascii="Arial" w:cs="Arial" w:eastAsia="Arial" w:hAnsi="Arial"/>
          <w:sz w:val="16"/>
          <w:szCs w:val="16"/>
          <w:color w:val="auto"/>
        </w:rPr>
        <w:t>Based on the determinations of the independent risk analysis, the contractor shall be responsible for paying to the VA liquidated damages in the amount of $37.50 per affected individual to cover the cost of providing credit protection services to affected individuals consisting of the following:</w:t>
      </w:r>
    </w:p>
    <w:p>
      <w:pPr>
        <w:spacing w:after="0" w:line="125" w:lineRule="exact"/>
        <w:rPr>
          <w:sz w:val="20"/>
          <w:szCs w:val="20"/>
          <w:color w:val="auto"/>
        </w:rPr>
      </w:pPr>
    </w:p>
    <w:p>
      <w:pPr>
        <w:ind w:left="390" w:hanging="390"/>
        <w:spacing w:after="0"/>
        <w:tabs>
          <w:tab w:leader="none" w:pos="39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Notification;</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One year of credit monitoring services consisting of automatic daily monitoring of at least 3 relevant credit bureau reports;</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Data breach analysis;</w:t>
      </w:r>
    </w:p>
    <w:p>
      <w:pPr>
        <w:spacing w:after="0" w:line="224" w:lineRule="exact"/>
        <w:rPr>
          <w:rFonts w:ascii="Arial" w:cs="Arial" w:eastAsia="Arial" w:hAnsi="Arial"/>
          <w:sz w:val="18"/>
          <w:szCs w:val="18"/>
          <w:color w:val="auto"/>
        </w:rPr>
      </w:pPr>
    </w:p>
    <w:p>
      <w:pPr>
        <w:ind w:left="10" w:right="20" w:hanging="10"/>
        <w:spacing w:after="0" w:line="277" w:lineRule="auto"/>
        <w:tabs>
          <w:tab w:leader="none" w:pos="39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Fraud resolution services, including writing dispute letters, initiating fraud alerts and credit freezes, to assist affected individuals to bring matters to resolution;</w:t>
      </w:r>
    </w:p>
    <w:p>
      <w:pPr>
        <w:spacing w:after="0" w:line="169" w:lineRule="exact"/>
        <w:rPr>
          <w:rFonts w:ascii="Arial" w:cs="Arial" w:eastAsia="Arial" w:hAnsi="Arial"/>
          <w:sz w:val="18"/>
          <w:szCs w:val="18"/>
          <w:color w:val="auto"/>
        </w:rPr>
      </w:pPr>
    </w:p>
    <w:p>
      <w:pPr>
        <w:ind w:left="390" w:hanging="390"/>
        <w:spacing w:after="0"/>
        <w:tabs>
          <w:tab w:leader="none" w:pos="39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One year of identity theft insurance with $20,000.00 coverage at $0 deductible; and</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Necessary legal expenses the subjects may incur to repair falsified or damaged credit records, histories, or financial affairs.</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8. SECURITY CONTROLS COMPLIANCE TESTING</w:t>
      </w:r>
    </w:p>
    <w:p>
      <w:pPr>
        <w:spacing w:after="0" w:line="117" w:lineRule="exact"/>
        <w:rPr>
          <w:sz w:val="20"/>
          <w:szCs w:val="20"/>
          <w:color w:val="auto"/>
        </w:rPr>
      </w:pPr>
    </w:p>
    <w:p>
      <w:pPr>
        <w:ind w:left="10"/>
        <w:spacing w:after="0" w:line="255" w:lineRule="auto"/>
        <w:rPr>
          <w:sz w:val="20"/>
          <w:szCs w:val="20"/>
          <w:color w:val="auto"/>
        </w:rPr>
      </w:pPr>
      <w:r>
        <w:rPr>
          <w:rFonts w:ascii="Arial" w:cs="Arial" w:eastAsia="Arial" w:hAnsi="Arial"/>
          <w:sz w:val="18"/>
          <w:szCs w:val="18"/>
          <w:color w:val="auto"/>
        </w:rPr>
        <w:t>On a periodic basis, VA, including the Office of Inspector General, reserves the right to evaluate any or all of the security controls and privacy practices implemented by the contractor under the clauses contained within the contract. With 10 working-days’ notice, at the request of the government, the contractor must fully cooperate and assist in a government-sponsored security controls assessment at each location wherein VA information is processed or stored, or information systems are developed, operated, maintained, or used on behalf of VA, including those initiated by the Office of Inspector General. The government may conduct a security control assessment on shorter notice (to include unannounced assessments) as determined by VA in the event of a security incident or at any other time.</w:t>
      </w:r>
    </w:p>
    <w:p>
      <w:pPr>
        <w:spacing w:after="0" w:line="299" w:lineRule="exact"/>
        <w:rPr>
          <w:sz w:val="20"/>
          <w:szCs w:val="20"/>
          <w:color w:val="auto"/>
        </w:rPr>
      </w:pPr>
    </w:p>
    <w:p>
      <w:pPr>
        <w:ind w:left="10"/>
        <w:spacing w:after="0"/>
        <w:rPr>
          <w:sz w:val="20"/>
          <w:szCs w:val="20"/>
          <w:color w:val="auto"/>
        </w:rPr>
      </w:pPr>
      <w:r>
        <w:rPr>
          <w:rFonts w:ascii="Arial" w:cs="Arial" w:eastAsia="Arial" w:hAnsi="Arial"/>
          <w:sz w:val="18"/>
          <w:szCs w:val="18"/>
          <w:color w:val="auto"/>
        </w:rPr>
        <w:t>9. TRAINING</w:t>
      </w:r>
    </w:p>
    <w:p>
      <w:pPr>
        <w:spacing w:after="0" w:line="117" w:lineRule="exact"/>
        <w:rPr>
          <w:sz w:val="20"/>
          <w:szCs w:val="20"/>
          <w:color w:val="auto"/>
        </w:rPr>
      </w:pPr>
    </w:p>
    <w:p>
      <w:pPr>
        <w:ind w:left="10" w:right="740" w:hanging="10"/>
        <w:spacing w:after="0" w:line="277" w:lineRule="auto"/>
        <w:tabs>
          <w:tab w:leader="none" w:pos="30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All contractor employees and subcontractor employees requiring access to VA information and VA information systems shall complete the following before being granted access to VA information and its systems:</w:t>
      </w:r>
    </w:p>
    <w:p>
      <w:pPr>
        <w:spacing w:after="0" w:line="170" w:lineRule="exact"/>
        <w:rPr>
          <w:sz w:val="20"/>
          <w:szCs w:val="20"/>
          <w:color w:val="auto"/>
        </w:rPr>
      </w:pPr>
    </w:p>
    <w:p>
      <w:pPr>
        <w:ind w:left="10" w:right="560" w:hanging="10"/>
        <w:spacing w:after="0" w:line="277" w:lineRule="auto"/>
        <w:tabs>
          <w:tab w:leader="none" w:pos="399" w:val="left"/>
        </w:tabs>
        <w:numPr>
          <w:ilvl w:val="0"/>
          <w:numId w:val="564"/>
        </w:numPr>
        <w:rPr>
          <w:rFonts w:ascii="Arial" w:cs="Arial" w:eastAsia="Arial" w:hAnsi="Arial"/>
          <w:sz w:val="18"/>
          <w:szCs w:val="18"/>
          <w:color w:val="auto"/>
        </w:rPr>
      </w:pPr>
      <w:r>
        <w:rPr>
          <w:rFonts w:ascii="Arial" w:cs="Arial" w:eastAsia="Arial" w:hAnsi="Arial"/>
          <w:sz w:val="18"/>
          <w:szCs w:val="18"/>
          <w:color w:val="auto"/>
        </w:rPr>
        <w:t>Sign and acknowledge (either manually or electronically) understanding of and responsibilities for compliance with the Contractor Rules of Behavior, Appendix E relating to access to VA information and information systems;</w:t>
      </w:r>
    </w:p>
    <w:p>
      <w:pPr>
        <w:spacing w:after="0" w:line="169" w:lineRule="exact"/>
        <w:rPr>
          <w:rFonts w:ascii="Arial" w:cs="Arial" w:eastAsia="Arial" w:hAnsi="Arial"/>
          <w:sz w:val="18"/>
          <w:szCs w:val="18"/>
          <w:color w:val="auto"/>
        </w:rPr>
      </w:pPr>
    </w:p>
    <w:p>
      <w:pPr>
        <w:ind w:left="390" w:hanging="390"/>
        <w:spacing w:after="0"/>
        <w:tabs>
          <w:tab w:leader="none" w:pos="39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Successfully complete the VA Cyber Security Awareness and Rules of Behavior training and annually complete required security training;</w:t>
      </w:r>
    </w:p>
    <w:p>
      <w:pPr>
        <w:spacing w:after="0" w:line="236" w:lineRule="exact"/>
        <w:rPr>
          <w:rFonts w:ascii="Arial" w:cs="Arial" w:eastAsia="Arial" w:hAnsi="Arial"/>
          <w:sz w:val="17"/>
          <w:szCs w:val="17"/>
          <w:color w:val="auto"/>
        </w:rPr>
      </w:pPr>
    </w:p>
    <w:p>
      <w:pPr>
        <w:ind w:left="390" w:hanging="390"/>
        <w:spacing w:after="0"/>
        <w:tabs>
          <w:tab w:leader="none" w:pos="39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Successfully complete the appropriate VA privacy training and annually complete required privacy training; and</w:t>
      </w:r>
    </w:p>
    <w:p>
      <w:pPr>
        <w:spacing w:after="0" w:line="224" w:lineRule="exact"/>
        <w:rPr>
          <w:rFonts w:ascii="Arial" w:cs="Arial" w:eastAsia="Arial" w:hAnsi="Arial"/>
          <w:sz w:val="18"/>
          <w:szCs w:val="18"/>
          <w:color w:val="auto"/>
        </w:rPr>
      </w:pPr>
    </w:p>
    <w:p>
      <w:pPr>
        <w:ind w:left="10" w:right="160" w:hanging="10"/>
        <w:spacing w:after="0" w:line="311" w:lineRule="auto"/>
        <w:tabs>
          <w:tab w:leader="none" w:pos="399" w:val="left"/>
        </w:tabs>
        <w:numPr>
          <w:ilvl w:val="0"/>
          <w:numId w:val="564"/>
        </w:numPr>
        <w:rPr>
          <w:rFonts w:ascii="Arial" w:cs="Arial" w:eastAsia="Arial" w:hAnsi="Arial"/>
          <w:sz w:val="16"/>
          <w:szCs w:val="16"/>
          <w:color w:val="auto"/>
        </w:rPr>
      </w:pPr>
      <w:r>
        <w:rPr>
          <w:rFonts w:ascii="Arial" w:cs="Arial" w:eastAsia="Arial" w:hAnsi="Arial"/>
          <w:sz w:val="16"/>
          <w:szCs w:val="16"/>
          <w:color w:val="auto"/>
        </w:rPr>
        <w:t>Successfully complete any additional cyber security or privacy training, as required for VA personnel with equivalent information system access [to be defined by the VA program official and provided to the contracting officer for inclusion in the solicitation document – e.g., any role-based information security training required in accordance with NIST Special Publication 800-16, Information Technology Security Training Requirements.]</w:t>
      </w:r>
    </w:p>
    <w:p>
      <w:pPr>
        <w:sectPr>
          <w:pgSz w:w="11900" w:h="16838" w:orient="portrait"/>
          <w:cols w:equalWidth="0" w:num="1">
            <w:col w:w="11010"/>
          </w:cols>
          <w:pgMar w:left="450" w:top="270" w:right="439" w:bottom="1440" w:gutter="0" w:footer="0" w:header="0"/>
        </w:sectPr>
      </w:pPr>
    </w:p>
    <w:bookmarkStart w:id="576" w:name="page577"/>
    <w:bookmarkEnd w:id="57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720" w:hanging="10"/>
        <w:spacing w:after="0" w:line="341" w:lineRule="auto"/>
        <w:tabs>
          <w:tab w:leader="none" w:pos="321"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subcontractor shall provide to the contracting officer and/or the COR a copy of the training certificates and certification of signing the Contractor Rules of Behavior for each applicable employee within 1 week of the initiation of the contract and annually thereafter, as required.</w:t>
      </w:r>
    </w:p>
    <w:p>
      <w:pPr>
        <w:spacing w:after="0" w:line="124" w:lineRule="exact"/>
        <w:rPr>
          <w:rFonts w:ascii="Arial" w:cs="Arial" w:eastAsia="Arial" w:hAnsi="Arial"/>
          <w:sz w:val="16"/>
          <w:szCs w:val="16"/>
          <w:color w:val="auto"/>
        </w:rPr>
      </w:pPr>
    </w:p>
    <w:p>
      <w:pPr>
        <w:ind w:left="10" w:hanging="10"/>
        <w:spacing w:after="0" w:line="263" w:lineRule="auto"/>
        <w:tabs>
          <w:tab w:leader="none" w:pos="31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Failure to complete the mandatory annual training and sign the Rules of Behavior annually, within the timeframe required, is grounds for suspension or termination of all physical or electronic access privileges and removal from work on the contract until such time as the training and documents are complete.</w:t>
      </w:r>
    </w:p>
    <w:p>
      <w:pPr>
        <w:spacing w:after="0" w:line="291" w:lineRule="exact"/>
        <w:rPr>
          <w:sz w:val="20"/>
          <w:szCs w:val="20"/>
          <w:color w:val="auto"/>
        </w:rPr>
      </w:pPr>
    </w:p>
    <w:p>
      <w:pPr>
        <w:ind w:left="10"/>
        <w:spacing w:after="0"/>
        <w:rPr>
          <w:sz w:val="20"/>
          <w:szCs w:val="20"/>
          <w:color w:val="auto"/>
        </w:rPr>
      </w:pPr>
      <w:r>
        <w:rPr>
          <w:rFonts w:ascii="Arial" w:cs="Arial" w:eastAsia="Arial" w:hAnsi="Arial"/>
          <w:sz w:val="18"/>
          <w:szCs w:val="18"/>
          <w:color w:val="auto"/>
        </w:rPr>
        <w:t>CONTRACTOR RULES OF BEHAVIOR</w:t>
      </w:r>
    </w:p>
    <w:p>
      <w:pPr>
        <w:spacing w:after="0" w:line="117" w:lineRule="exact"/>
        <w:rPr>
          <w:sz w:val="20"/>
          <w:szCs w:val="20"/>
          <w:color w:val="auto"/>
        </w:rPr>
      </w:pPr>
    </w:p>
    <w:p>
      <w:pPr>
        <w:ind w:left="10" w:right="20"/>
        <w:spacing w:after="0" w:line="279" w:lineRule="auto"/>
        <w:rPr>
          <w:sz w:val="20"/>
          <w:szCs w:val="20"/>
          <w:color w:val="auto"/>
        </w:rPr>
      </w:pPr>
      <w:r>
        <w:rPr>
          <w:rFonts w:ascii="Arial" w:cs="Arial" w:eastAsia="Arial" w:hAnsi="Arial"/>
          <w:sz w:val="17"/>
          <w:szCs w:val="17"/>
          <w:color w:val="auto"/>
        </w:rPr>
        <w:t>This User Agreement contains rights and authorizations regarding my access to and use of any information assets or resources associated with my performance of services under the contract terms with the Department of Veterans Affairs (VA). This User Agreement covers my access to all VA data whether electronic or hard copy (“Data”), VA information systems and resources (“Systems”), and VA sites (“Sites”). This User Agreement incorporates Rules of Behavior for using VA, and other information systems and resources under the contract.</w:t>
      </w:r>
    </w:p>
    <w:p>
      <w:pPr>
        <w:spacing w:after="0" w:line="170" w:lineRule="exact"/>
        <w:rPr>
          <w:sz w:val="20"/>
          <w:szCs w:val="20"/>
          <w:color w:val="auto"/>
        </w:rPr>
      </w:pPr>
    </w:p>
    <w:p>
      <w:pPr>
        <w:ind w:left="10"/>
        <w:spacing w:after="0"/>
        <w:tabs>
          <w:tab w:leader="none" w:pos="289"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GENERAL TERMS AND CONDITIONS FOR ALL ACTIONS AND ACTIVITIES UNDER THE CONTRACT:</w:t>
      </w:r>
    </w:p>
    <w:p>
      <w:pPr>
        <w:spacing w:after="0" w:line="225" w:lineRule="exact"/>
        <w:rPr>
          <w:sz w:val="20"/>
          <w:szCs w:val="20"/>
          <w:color w:val="auto"/>
        </w:rPr>
      </w:pPr>
    </w:p>
    <w:p>
      <w:pPr>
        <w:ind w:left="10" w:right="340" w:hanging="10"/>
        <w:spacing w:after="0" w:line="277" w:lineRule="auto"/>
        <w:tabs>
          <w:tab w:leader="none" w:pos="31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 understand and agree that I have no reasonable expectation of privacy in accessing or using any VA, or other Federal Government information systems.</w:t>
      </w:r>
    </w:p>
    <w:p>
      <w:pPr>
        <w:spacing w:after="0" w:line="169" w:lineRule="exact"/>
        <w:rPr>
          <w:rFonts w:ascii="Arial" w:cs="Arial" w:eastAsia="Arial" w:hAnsi="Arial"/>
          <w:sz w:val="18"/>
          <w:szCs w:val="18"/>
          <w:color w:val="auto"/>
        </w:rPr>
      </w:pPr>
    </w:p>
    <w:p>
      <w:pPr>
        <w:ind w:left="10" w:right="140" w:hanging="10"/>
        <w:spacing w:after="0" w:line="301" w:lineRule="auto"/>
        <w:tabs>
          <w:tab w:leader="none" w:pos="324" w:val="left"/>
        </w:tabs>
        <w:numPr>
          <w:ilvl w:val="0"/>
          <w:numId w:val="566"/>
        </w:numPr>
        <w:rPr>
          <w:rFonts w:ascii="Arial" w:cs="Arial" w:eastAsia="Arial" w:hAnsi="Arial"/>
          <w:sz w:val="16"/>
          <w:szCs w:val="16"/>
          <w:color w:val="auto"/>
        </w:rPr>
      </w:pPr>
      <w:r>
        <w:rPr>
          <w:rFonts w:ascii="Arial" w:cs="Arial" w:eastAsia="Arial" w:hAnsi="Arial"/>
          <w:sz w:val="16"/>
          <w:szCs w:val="16"/>
          <w:color w:val="auto"/>
        </w:rPr>
        <w:t>I consent to reviews and actions by the Office of Information &amp; Technology (OI&amp;T) staff designated and authorized by the VA Chief Information Officer (CIO) and to the VA OIG regarding my access to and use of any information assets or resources associated with my performance of services under the contract terms with the VA. These actions may include monitoring, recording, copying, inspecting, restricting access, blocking, tracking, and disclosing to all authorized Ol&amp;T, VA, and law enforcement personnel as directed by the VA CIO without my prior consent or notification.</w:t>
      </w:r>
    </w:p>
    <w:p>
      <w:pPr>
        <w:spacing w:after="0" w:line="156" w:lineRule="exact"/>
        <w:rPr>
          <w:rFonts w:ascii="Arial" w:cs="Arial" w:eastAsia="Arial" w:hAnsi="Arial"/>
          <w:sz w:val="16"/>
          <w:szCs w:val="16"/>
          <w:color w:val="auto"/>
        </w:rPr>
      </w:pPr>
    </w:p>
    <w:p>
      <w:pPr>
        <w:ind w:left="10" w:right="660" w:hanging="10"/>
        <w:spacing w:after="0" w:line="277" w:lineRule="auto"/>
        <w:tabs>
          <w:tab w:leader="none" w:pos="31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 consent to reviews and actions by authorized VA systems administrators and Information Security Officers solely for protection of the VA infrastructure, including, but</w:t>
      </w:r>
    </w:p>
    <w:p>
      <w:pPr>
        <w:spacing w:after="0" w:line="170" w:lineRule="exact"/>
        <w:rPr>
          <w:sz w:val="20"/>
          <w:szCs w:val="20"/>
          <w:color w:val="auto"/>
        </w:rPr>
      </w:pPr>
    </w:p>
    <w:p>
      <w:pPr>
        <w:ind w:left="10" w:right="60"/>
        <w:spacing w:after="0" w:line="277" w:lineRule="auto"/>
        <w:rPr>
          <w:sz w:val="20"/>
          <w:szCs w:val="20"/>
          <w:color w:val="auto"/>
        </w:rPr>
      </w:pPr>
      <w:r>
        <w:rPr>
          <w:rFonts w:ascii="Arial" w:cs="Arial" w:eastAsia="Arial" w:hAnsi="Arial"/>
          <w:sz w:val="18"/>
          <w:szCs w:val="18"/>
          <w:color w:val="auto"/>
        </w:rPr>
        <w:t>not limited to monitoring, recording, auditing, inspecting, investigating, restricting access, blocking, tracking, disclosing to authorized personnel, or any other authorized actions by all authorized Ol&amp;T, VA, and law enforcement personnel.</w:t>
      </w:r>
    </w:p>
    <w:p>
      <w:pPr>
        <w:spacing w:after="0" w:line="170" w:lineRule="exact"/>
        <w:rPr>
          <w:sz w:val="20"/>
          <w:szCs w:val="20"/>
          <w:color w:val="auto"/>
        </w:rPr>
      </w:pPr>
    </w:p>
    <w:p>
      <w:pPr>
        <w:ind w:left="10" w:right="40" w:hanging="10"/>
        <w:spacing w:after="0" w:line="263" w:lineRule="auto"/>
        <w:tabs>
          <w:tab w:leader="none" w:pos="32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 understand and accept that unauthorized attempts or acts to access, upload, change, or delete information on Federal Government systems; modify Federal government systems; deny access to Federal government systems; accrue resources for unauthorized use on Federal government systems; or otherwise misuse Federal government systems or resources are prohibited.</w:t>
      </w:r>
    </w:p>
    <w:p>
      <w:pPr>
        <w:spacing w:after="0" w:line="182" w:lineRule="exact"/>
        <w:rPr>
          <w:rFonts w:ascii="Arial" w:cs="Arial" w:eastAsia="Arial" w:hAnsi="Arial"/>
          <w:sz w:val="18"/>
          <w:szCs w:val="18"/>
          <w:color w:val="auto"/>
        </w:rPr>
      </w:pPr>
    </w:p>
    <w:p>
      <w:pPr>
        <w:ind w:left="10" w:right="60" w:hanging="10"/>
        <w:spacing w:after="0" w:line="263" w:lineRule="auto"/>
        <w:tabs>
          <w:tab w:leader="none" w:pos="31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 understand that such unauthorized attempts or acts are subject to action that may result in criminal, civil, or administrative penalties. This includes penalties for violations of Federal laws including, but not limited to, 18 U.S.C. §1030 (fraud and related activity in connection with computers) and 18 U.S.C. §2701 (unlawful access to stored communications).</w:t>
      </w:r>
    </w:p>
    <w:p>
      <w:pPr>
        <w:spacing w:after="0" w:line="182" w:lineRule="exact"/>
        <w:rPr>
          <w:rFonts w:ascii="Arial" w:cs="Arial" w:eastAsia="Arial" w:hAnsi="Arial"/>
          <w:sz w:val="18"/>
          <w:szCs w:val="18"/>
          <w:color w:val="auto"/>
        </w:rPr>
      </w:pPr>
    </w:p>
    <w:p>
      <w:pPr>
        <w:ind w:left="10" w:right="200" w:hanging="10"/>
        <w:spacing w:after="0" w:line="259" w:lineRule="auto"/>
        <w:tabs>
          <w:tab w:leader="none" w:pos="29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 agree that Ol&amp;T staff, in the course of obtaining access to information or systems on my behalf for performance under the contract, may provide information about me including, but not limited to, appropriate unique personal identifiers such as date of birth and social security number to other system administrators, Information Security Officers (ISOs), or other authorized staff without further notifying me or obtaining additional written or verbal permission from me.</w:t>
      </w:r>
    </w:p>
    <w:p>
      <w:pPr>
        <w:sectPr>
          <w:pgSz w:w="11900" w:h="16838" w:orient="portrait"/>
          <w:cols w:equalWidth="0" w:num="1">
            <w:col w:w="10990"/>
          </w:cols>
          <w:pgMar w:left="450" w:top="270" w:right="459" w:bottom="1440" w:gutter="0" w:footer="0" w:header="0"/>
        </w:sectPr>
      </w:pPr>
    </w:p>
    <w:bookmarkStart w:id="577" w:name="page578"/>
    <w:bookmarkEnd w:id="57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120" w:hanging="10"/>
        <w:spacing w:after="0" w:line="311" w:lineRule="auto"/>
        <w:tabs>
          <w:tab w:leader="none" w:pos="324"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 understand I must comply with VA’s security and data privacy directives and handbooks. I understand that copies of those directives and handbooks can be obtained from the Contracting Officer’s Technical Representative (COR). If the contractor believes the policies and guidance provided by the COR is a material unilateral change to the contract, the contractor must elevate such concerns to the Contracting Officer for resolution.</w:t>
      </w:r>
    </w:p>
    <w:p>
      <w:pPr>
        <w:spacing w:after="0" w:line="148" w:lineRule="exact"/>
        <w:rPr>
          <w:rFonts w:ascii="Arial" w:cs="Arial" w:eastAsia="Arial" w:hAnsi="Arial"/>
          <w:sz w:val="16"/>
          <w:szCs w:val="16"/>
          <w:color w:val="auto"/>
        </w:rPr>
      </w:pPr>
    </w:p>
    <w:p>
      <w:pPr>
        <w:ind w:left="310" w:hanging="310"/>
        <w:spacing w:after="0"/>
        <w:tabs>
          <w:tab w:leader="none" w:pos="31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 will report suspected or identified information security/privacy incidents to the COR and to the local ISO or Privacy Officer as appropriate.</w:t>
      </w:r>
    </w:p>
    <w:p>
      <w:pPr>
        <w:spacing w:after="0" w:line="344" w:lineRule="exact"/>
        <w:rPr>
          <w:sz w:val="20"/>
          <w:szCs w:val="20"/>
          <w:color w:val="auto"/>
        </w:rPr>
      </w:pPr>
    </w:p>
    <w:p>
      <w:pPr>
        <w:ind w:left="10"/>
        <w:spacing w:after="0"/>
        <w:tabs>
          <w:tab w:leader="none" w:pos="289"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GENERAL RULES OF BEHAVIOR</w:t>
      </w:r>
    </w:p>
    <w:p>
      <w:pPr>
        <w:spacing w:after="0" w:line="117" w:lineRule="exact"/>
        <w:rPr>
          <w:sz w:val="20"/>
          <w:szCs w:val="20"/>
          <w:color w:val="auto"/>
        </w:rPr>
      </w:pPr>
    </w:p>
    <w:p>
      <w:pPr>
        <w:ind w:left="10" w:right="340" w:hanging="10"/>
        <w:spacing w:after="0" w:line="286" w:lineRule="auto"/>
        <w:tabs>
          <w:tab w:leader="none" w:pos="314" w:val="left"/>
        </w:tabs>
        <w:numPr>
          <w:ilvl w:val="0"/>
          <w:numId w:val="569"/>
        </w:numPr>
        <w:rPr>
          <w:rFonts w:ascii="Arial" w:cs="Arial" w:eastAsia="Arial" w:hAnsi="Arial"/>
          <w:sz w:val="17"/>
          <w:szCs w:val="17"/>
          <w:color w:val="auto"/>
        </w:rPr>
      </w:pPr>
      <w:r>
        <w:rPr>
          <w:rFonts w:ascii="Arial" w:cs="Arial" w:eastAsia="Arial" w:hAnsi="Arial"/>
          <w:sz w:val="17"/>
          <w:szCs w:val="17"/>
          <w:color w:val="auto"/>
        </w:rPr>
        <w:t>Rules of Behavior are part of a comprehensive program to provide complete information security. These rules establish standards of behavior in recognition of the fact that knowledgeable users are the foundation of a successful security program. Users must understand that taking personal responsibility for the security of their computer and the information it contains is an essential part of their job.</w:t>
      </w:r>
    </w:p>
    <w:p>
      <w:pPr>
        <w:spacing w:after="0" w:line="164" w:lineRule="exact"/>
        <w:rPr>
          <w:rFonts w:ascii="Arial" w:cs="Arial" w:eastAsia="Arial" w:hAnsi="Arial"/>
          <w:sz w:val="17"/>
          <w:szCs w:val="17"/>
          <w:color w:val="auto"/>
        </w:rPr>
      </w:pPr>
    </w:p>
    <w:p>
      <w:pPr>
        <w:ind w:left="310" w:hanging="310"/>
        <w:spacing w:after="0"/>
        <w:tabs>
          <w:tab w:leader="none" w:pos="31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following rules apply to all VA contractors. I agree to:</w:t>
      </w:r>
    </w:p>
    <w:p>
      <w:pPr>
        <w:spacing w:after="0" w:line="225" w:lineRule="exact"/>
        <w:rPr>
          <w:sz w:val="20"/>
          <w:szCs w:val="20"/>
          <w:color w:val="auto"/>
        </w:rPr>
      </w:pPr>
    </w:p>
    <w:p>
      <w:pPr>
        <w:ind w:left="10" w:right="200" w:hanging="10"/>
        <w:spacing w:after="0" w:line="277"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Follow established procedures for requesting, accessing, and closing user accounts and access. I will not request or obtain access beyond what is normally granted to users or by what is outlined in the contract.</w:t>
      </w:r>
    </w:p>
    <w:p>
      <w:pPr>
        <w:spacing w:after="0" w:line="169" w:lineRule="exact"/>
        <w:rPr>
          <w:rFonts w:ascii="Arial" w:cs="Arial" w:eastAsia="Arial" w:hAnsi="Arial"/>
          <w:sz w:val="18"/>
          <w:szCs w:val="18"/>
          <w:color w:val="auto"/>
        </w:rPr>
      </w:pPr>
    </w:p>
    <w:p>
      <w:pPr>
        <w:ind w:left="390" w:hanging="390"/>
        <w:spacing w:after="0"/>
        <w:tabs>
          <w:tab w:leader="none" w:pos="39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Use only systems, software, databases, and data which I am authorized to use, including any copyright restrictions.</w:t>
      </w:r>
    </w:p>
    <w:p>
      <w:pPr>
        <w:spacing w:after="0" w:line="224" w:lineRule="exact"/>
        <w:rPr>
          <w:rFonts w:ascii="Arial" w:cs="Arial" w:eastAsia="Arial" w:hAnsi="Arial"/>
          <w:sz w:val="18"/>
          <w:szCs w:val="18"/>
          <w:color w:val="auto"/>
        </w:rPr>
      </w:pPr>
    </w:p>
    <w:p>
      <w:pPr>
        <w:ind w:left="10" w:hanging="10"/>
        <w:spacing w:after="0" w:line="263"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 will not use other equipment (OE) (non-contractor owned) for the storage, transfer, or processing of VA sensitive information without a VA CIO approved waiver, unless it has been reviewed and approved by local management and is included in the language of the contract. If authorized to use OE IT equipment, I must ensure that the system meets all applicable 6500 Handbook requirements for OE.</w:t>
      </w:r>
    </w:p>
    <w:p>
      <w:pPr>
        <w:spacing w:after="0" w:line="182" w:lineRule="exact"/>
        <w:rPr>
          <w:rFonts w:ascii="Arial" w:cs="Arial" w:eastAsia="Arial" w:hAnsi="Arial"/>
          <w:sz w:val="18"/>
          <w:szCs w:val="18"/>
          <w:color w:val="auto"/>
        </w:rPr>
      </w:pPr>
    </w:p>
    <w:p>
      <w:pPr>
        <w:ind w:left="10" w:right="140" w:hanging="10"/>
        <w:spacing w:after="0" w:line="277"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Not use my position of trust and access rights to exploit system controls or access information for any reason other than in the performance of the contract.</w:t>
      </w:r>
    </w:p>
    <w:p>
      <w:pPr>
        <w:spacing w:after="0" w:line="169" w:lineRule="exact"/>
        <w:rPr>
          <w:rFonts w:ascii="Arial" w:cs="Arial" w:eastAsia="Arial" w:hAnsi="Arial"/>
          <w:sz w:val="18"/>
          <w:szCs w:val="18"/>
          <w:color w:val="auto"/>
        </w:rPr>
      </w:pPr>
    </w:p>
    <w:p>
      <w:pPr>
        <w:ind w:left="10" w:right="60" w:hanging="10"/>
        <w:spacing w:after="0" w:line="259"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Not attempt to override or disable security, technical, or management controls unless expressly permitted to do so as an explicit requirement under the contract or at the direction of the COR or ISO. If I am allowed or required to have a local administrator account on a government-owned computer, that local administrative account does not confer me unrestricted access or use, nor the authority to bypass security or other controls except as expressly permitted by the VA CIO or CIO’s designee.</w:t>
      </w:r>
    </w:p>
    <w:p>
      <w:pPr>
        <w:spacing w:after="0" w:line="185" w:lineRule="exact"/>
        <w:rPr>
          <w:rFonts w:ascii="Arial" w:cs="Arial" w:eastAsia="Arial" w:hAnsi="Arial"/>
          <w:sz w:val="18"/>
          <w:szCs w:val="18"/>
          <w:color w:val="auto"/>
        </w:rPr>
      </w:pPr>
    </w:p>
    <w:p>
      <w:pPr>
        <w:ind w:left="10" w:right="100" w:hanging="10"/>
        <w:spacing w:after="0" w:line="263"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Contractors’ use of systems, information, or sites is strictly limited to fulfill the terms of the contract. I understand no personal use is authorized. I will only use other Federal government information systems as expressly authorized by the terms of those systems. I accept that the restrictions under ethics regulations and criminal law still apply.</w:t>
      </w:r>
    </w:p>
    <w:p>
      <w:pPr>
        <w:spacing w:after="0" w:line="182" w:lineRule="exact"/>
        <w:rPr>
          <w:rFonts w:ascii="Arial" w:cs="Arial" w:eastAsia="Arial" w:hAnsi="Arial"/>
          <w:sz w:val="18"/>
          <w:szCs w:val="18"/>
          <w:color w:val="auto"/>
        </w:rPr>
      </w:pPr>
    </w:p>
    <w:p>
      <w:pPr>
        <w:ind w:left="390" w:hanging="390"/>
        <w:spacing w:after="0"/>
        <w:tabs>
          <w:tab w:leader="none" w:pos="39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Grant access to systems and information only to those who have an official need to know.</w:t>
      </w:r>
    </w:p>
    <w:p>
      <w:pPr>
        <w:spacing w:after="0" w:line="224" w:lineRule="exact"/>
        <w:rPr>
          <w:rFonts w:ascii="Arial" w:cs="Arial" w:eastAsia="Arial" w:hAnsi="Arial"/>
          <w:sz w:val="18"/>
          <w:szCs w:val="18"/>
          <w:color w:val="auto"/>
        </w:rPr>
      </w:pPr>
    </w:p>
    <w:p>
      <w:pPr>
        <w:ind w:left="390" w:hanging="390"/>
        <w:spacing w:after="0"/>
        <w:tabs>
          <w:tab w:leader="none" w:pos="39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Protect passwords from access by other individuals.</w:t>
      </w:r>
    </w:p>
    <w:p>
      <w:pPr>
        <w:spacing w:after="0" w:line="224" w:lineRule="exact"/>
        <w:rPr>
          <w:rFonts w:ascii="Arial" w:cs="Arial" w:eastAsia="Arial" w:hAnsi="Arial"/>
          <w:sz w:val="18"/>
          <w:szCs w:val="18"/>
          <w:color w:val="auto"/>
        </w:rPr>
      </w:pPr>
    </w:p>
    <w:p>
      <w:pPr>
        <w:ind w:left="10" w:right="20" w:hanging="10"/>
        <w:spacing w:after="0" w:line="277" w:lineRule="auto"/>
        <w:tabs>
          <w:tab w:leader="none" w:pos="3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Create and change passwords in accordance with VA Handbook 6500 on systems and any devices protecting VA information as well as the rules of behavior and security settings for the particular system in question.</w:t>
      </w:r>
    </w:p>
    <w:p>
      <w:pPr>
        <w:spacing w:after="0" w:line="169" w:lineRule="exact"/>
        <w:rPr>
          <w:rFonts w:ascii="Arial" w:cs="Arial" w:eastAsia="Arial" w:hAnsi="Arial"/>
          <w:sz w:val="18"/>
          <w:szCs w:val="18"/>
          <w:color w:val="auto"/>
        </w:rPr>
      </w:pPr>
    </w:p>
    <w:p>
      <w:pPr>
        <w:ind w:left="10" w:right="100" w:hanging="10"/>
        <w:spacing w:after="0" w:line="286" w:lineRule="auto"/>
        <w:tabs>
          <w:tab w:leader="none" w:pos="48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Protect information and systems from unauthorized disclosure, use, modification, or destruction. I will only use encryption that is FIPS 140-2 validated to safeguard VA sensitive information, both safeguarding VA sensitive information in storage and in transit regarding my access to and use of any information assets or resources associated with my performance of services under the contract terms with the VA.</w:t>
      </w:r>
    </w:p>
    <w:p>
      <w:pPr>
        <w:sectPr>
          <w:pgSz w:w="11900" w:h="16838" w:orient="portrait"/>
          <w:cols w:equalWidth="0" w:num="1">
            <w:col w:w="10990"/>
          </w:cols>
          <w:pgMar w:left="450" w:top="269" w:right="459" w:bottom="1440" w:gutter="0" w:footer="0" w:header="0"/>
        </w:sectPr>
      </w:pPr>
    </w:p>
    <w:bookmarkStart w:id="578" w:name="page579"/>
    <w:bookmarkEnd w:id="57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right="420" w:hanging="10"/>
        <w:spacing w:after="0" w:line="277" w:lineRule="auto"/>
        <w:tabs>
          <w:tab w:leader="none" w:pos="483" w:val="left"/>
        </w:tabs>
        <w:numPr>
          <w:ilvl w:val="0"/>
          <w:numId w:val="571"/>
        </w:numPr>
        <w:rPr>
          <w:rFonts w:ascii="Arial" w:cs="Arial" w:eastAsia="Arial" w:hAnsi="Arial"/>
          <w:sz w:val="18"/>
          <w:szCs w:val="18"/>
          <w:color w:val="auto"/>
        </w:rPr>
      </w:pPr>
      <w:r>
        <w:rPr>
          <w:rFonts w:ascii="Arial" w:cs="Arial" w:eastAsia="Arial" w:hAnsi="Arial"/>
          <w:sz w:val="18"/>
          <w:szCs w:val="18"/>
          <w:color w:val="auto"/>
        </w:rPr>
        <w:t>Follow VA Handbook 6500.1, Electronic Media Sanitization to protect VA information. I will contact the COR for policies and guidance on complying with this requirement and will follow the COR’s orders.</w:t>
      </w:r>
    </w:p>
    <w:p>
      <w:pPr>
        <w:spacing w:after="0" w:line="169" w:lineRule="exact"/>
        <w:rPr>
          <w:rFonts w:ascii="Arial" w:cs="Arial" w:eastAsia="Arial" w:hAnsi="Arial"/>
          <w:sz w:val="18"/>
          <w:szCs w:val="18"/>
          <w:color w:val="auto"/>
        </w:rPr>
      </w:pPr>
    </w:p>
    <w:p>
      <w:pPr>
        <w:ind w:left="10" w:right="20" w:hanging="10"/>
        <w:spacing w:after="0" w:line="263" w:lineRule="auto"/>
        <w:tabs>
          <w:tab w:leader="none" w:pos="48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Ensure that the COR has previously approved VA information for public dissemination, including e-mail communications outside of the VA as appropriate. I will not make any unauthorized disclosure of any VA sensitive information through the use of any means of communication including but not limited to e-mail, instant messaging, online chat, and web bulletin boards or logs.</w:t>
      </w:r>
    </w:p>
    <w:p>
      <w:pPr>
        <w:spacing w:after="0" w:line="182" w:lineRule="exact"/>
        <w:rPr>
          <w:rFonts w:ascii="Arial" w:cs="Arial" w:eastAsia="Arial" w:hAnsi="Arial"/>
          <w:sz w:val="18"/>
          <w:szCs w:val="18"/>
          <w:color w:val="auto"/>
        </w:rPr>
      </w:pPr>
    </w:p>
    <w:p>
      <w:pPr>
        <w:ind w:left="10" w:right="200" w:hanging="10"/>
        <w:spacing w:after="0" w:line="307" w:lineRule="auto"/>
        <w:tabs>
          <w:tab w:leader="none" w:pos="489" w:val="left"/>
        </w:tabs>
        <w:numPr>
          <w:ilvl w:val="0"/>
          <w:numId w:val="571"/>
        </w:numPr>
        <w:rPr>
          <w:rFonts w:ascii="Arial" w:cs="Arial" w:eastAsia="Arial" w:hAnsi="Arial"/>
          <w:sz w:val="17"/>
          <w:szCs w:val="17"/>
          <w:color w:val="auto"/>
        </w:rPr>
      </w:pPr>
      <w:r>
        <w:rPr>
          <w:rFonts w:ascii="Arial" w:cs="Arial" w:eastAsia="Arial" w:hAnsi="Arial"/>
          <w:sz w:val="17"/>
          <w:szCs w:val="17"/>
          <w:color w:val="auto"/>
        </w:rPr>
        <w:t>Not host, set up, administer, or run an Internet server related to my access to and use of any information assets or resources associated with my performance of services under the contract terms with the VA unless explicitly authorized under the contract or in writing by the COR.</w:t>
      </w:r>
    </w:p>
    <w:p>
      <w:pPr>
        <w:spacing w:after="0" w:line="147" w:lineRule="exact"/>
        <w:rPr>
          <w:rFonts w:ascii="Arial" w:cs="Arial" w:eastAsia="Arial" w:hAnsi="Arial"/>
          <w:sz w:val="17"/>
          <w:szCs w:val="17"/>
          <w:color w:val="auto"/>
        </w:rPr>
      </w:pPr>
    </w:p>
    <w:p>
      <w:pPr>
        <w:ind w:left="10" w:right="220" w:hanging="10"/>
        <w:spacing w:after="0" w:line="341" w:lineRule="auto"/>
        <w:tabs>
          <w:tab w:leader="none" w:pos="489" w:val="left"/>
        </w:tabs>
        <w:numPr>
          <w:ilvl w:val="0"/>
          <w:numId w:val="571"/>
        </w:numPr>
        <w:rPr>
          <w:rFonts w:ascii="Arial" w:cs="Arial" w:eastAsia="Arial" w:hAnsi="Arial"/>
          <w:sz w:val="16"/>
          <w:szCs w:val="16"/>
          <w:color w:val="auto"/>
        </w:rPr>
      </w:pPr>
      <w:r>
        <w:rPr>
          <w:rFonts w:ascii="Arial" w:cs="Arial" w:eastAsia="Arial" w:hAnsi="Arial"/>
          <w:sz w:val="16"/>
          <w:szCs w:val="16"/>
          <w:color w:val="auto"/>
        </w:rPr>
        <w:t>Protect government property from theft, destruction, or misuse. I will follow VA directives and handbooks on handling Federal government IT equipment, information, and systems. I will not take VA sensitive information from the workplace without authorization from the COR.</w:t>
      </w:r>
    </w:p>
    <w:p>
      <w:pPr>
        <w:spacing w:after="0" w:line="124" w:lineRule="exact"/>
        <w:rPr>
          <w:rFonts w:ascii="Arial" w:cs="Arial" w:eastAsia="Arial" w:hAnsi="Arial"/>
          <w:sz w:val="16"/>
          <w:szCs w:val="16"/>
          <w:color w:val="auto"/>
        </w:rPr>
      </w:pPr>
    </w:p>
    <w:p>
      <w:pPr>
        <w:ind w:left="10" w:right="180" w:hanging="10"/>
        <w:spacing w:after="0" w:line="263" w:lineRule="auto"/>
        <w:tabs>
          <w:tab w:leader="none" w:pos="48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Only use anti-virus software, antispyware, and firewall/intrusion detection software authorized by VA. I will contact the COR for policies and guidance on complying with this requirement and will follow the COR’s orders regarding my access to and use of any information assets or resources associated with my performance of services under the contract terms with VA.</w:t>
      </w:r>
    </w:p>
    <w:p>
      <w:pPr>
        <w:spacing w:after="0" w:line="182" w:lineRule="exact"/>
        <w:rPr>
          <w:rFonts w:ascii="Arial" w:cs="Arial" w:eastAsia="Arial" w:hAnsi="Arial"/>
          <w:sz w:val="18"/>
          <w:szCs w:val="18"/>
          <w:color w:val="auto"/>
        </w:rPr>
      </w:pPr>
    </w:p>
    <w:p>
      <w:pPr>
        <w:ind w:left="10" w:right="60" w:hanging="10"/>
        <w:spacing w:after="0" w:line="277" w:lineRule="auto"/>
        <w:tabs>
          <w:tab w:leader="none" w:pos="48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Not disable or degrade the standard anti-virus software, antispyware, and/or firewall/intrusion detection software on the computer I use to access and use information assets or resources associated with my performance of services under the contract terms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with VA. I will report anti-virus, antispyware, firewall or intrusion detection software errors, or significant alert messages to the COR.</w:t>
      </w:r>
    </w:p>
    <w:p>
      <w:pPr>
        <w:spacing w:after="0" w:line="225" w:lineRule="exact"/>
        <w:rPr>
          <w:sz w:val="20"/>
          <w:szCs w:val="20"/>
          <w:color w:val="auto"/>
        </w:rPr>
      </w:pPr>
    </w:p>
    <w:p>
      <w:pPr>
        <w:ind w:left="470" w:hanging="470"/>
        <w:spacing w:after="0"/>
        <w:tabs>
          <w:tab w:leader="none" w:pos="47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Understand that restoration of service of any VA system is a concern of all users of the system.</w:t>
      </w:r>
    </w:p>
    <w:p>
      <w:pPr>
        <w:spacing w:after="0" w:line="224" w:lineRule="exact"/>
        <w:rPr>
          <w:rFonts w:ascii="Arial" w:cs="Arial" w:eastAsia="Arial" w:hAnsi="Arial"/>
          <w:sz w:val="18"/>
          <w:szCs w:val="18"/>
          <w:color w:val="auto"/>
        </w:rPr>
      </w:pPr>
    </w:p>
    <w:p>
      <w:pPr>
        <w:ind w:left="470" w:hanging="470"/>
        <w:spacing w:after="0"/>
        <w:tabs>
          <w:tab w:leader="none" w:pos="47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Complete required information security and privacy training, and complete required training for the particular systems to which I require access.</w:t>
      </w:r>
    </w:p>
    <w:p>
      <w:pPr>
        <w:spacing w:after="0" w:line="356" w:lineRule="exact"/>
        <w:rPr>
          <w:sz w:val="20"/>
          <w:szCs w:val="20"/>
          <w:color w:val="auto"/>
        </w:rPr>
      </w:pPr>
    </w:p>
    <w:p>
      <w:pPr>
        <w:ind w:left="10"/>
        <w:spacing w:after="0"/>
        <w:tabs>
          <w:tab w:leader="none" w:pos="289"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ADDITIONAL CONDITIONS FOR USE OF NON- VA INFORMATION TECHNOLOGY RESOURCES</w:t>
      </w:r>
    </w:p>
    <w:p>
      <w:pPr>
        <w:spacing w:after="0" w:line="117" w:lineRule="exact"/>
        <w:rPr>
          <w:sz w:val="20"/>
          <w:szCs w:val="20"/>
          <w:color w:val="auto"/>
        </w:rPr>
      </w:pPr>
    </w:p>
    <w:p>
      <w:pPr>
        <w:ind w:left="10" w:right="160" w:hanging="10"/>
        <w:spacing w:after="0" w:line="277" w:lineRule="auto"/>
        <w:tabs>
          <w:tab w:leader="none" w:pos="31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When required to complete work under the contract, I will directly connect to the VA network whenever possible. If a direct connection to the VA network is not possible, then I will use VA approved remote access software and services.</w:t>
      </w:r>
    </w:p>
    <w:p>
      <w:pPr>
        <w:spacing w:after="0" w:line="169" w:lineRule="exact"/>
        <w:rPr>
          <w:rFonts w:ascii="Arial" w:cs="Arial" w:eastAsia="Arial" w:hAnsi="Arial"/>
          <w:sz w:val="18"/>
          <w:szCs w:val="18"/>
          <w:color w:val="auto"/>
        </w:rPr>
      </w:pPr>
    </w:p>
    <w:p>
      <w:pPr>
        <w:ind w:left="10" w:hanging="10"/>
        <w:spacing w:after="0" w:line="277" w:lineRule="auto"/>
        <w:tabs>
          <w:tab w:leader="none" w:pos="32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Remote access to non-public VA information technology resources is prohibited from publicly-available IT computers, such as remotely connecting to the internal VA network from computers in a public library.</w:t>
      </w:r>
    </w:p>
    <w:p>
      <w:pPr>
        <w:spacing w:after="0" w:line="169" w:lineRule="exact"/>
        <w:rPr>
          <w:rFonts w:ascii="Arial" w:cs="Arial" w:eastAsia="Arial" w:hAnsi="Arial"/>
          <w:sz w:val="18"/>
          <w:szCs w:val="18"/>
          <w:color w:val="auto"/>
        </w:rPr>
      </w:pPr>
    </w:p>
    <w:p>
      <w:pPr>
        <w:ind w:left="10" w:right="240" w:hanging="10"/>
        <w:spacing w:after="0" w:line="307" w:lineRule="auto"/>
        <w:tabs>
          <w:tab w:leader="none" w:pos="314" w:val="left"/>
        </w:tabs>
        <w:numPr>
          <w:ilvl w:val="0"/>
          <w:numId w:val="573"/>
        </w:numPr>
        <w:rPr>
          <w:rFonts w:ascii="Arial" w:cs="Arial" w:eastAsia="Arial" w:hAnsi="Arial"/>
          <w:sz w:val="17"/>
          <w:szCs w:val="17"/>
          <w:color w:val="auto"/>
        </w:rPr>
      </w:pPr>
      <w:r>
        <w:rPr>
          <w:rFonts w:ascii="Arial" w:cs="Arial" w:eastAsia="Arial" w:hAnsi="Arial"/>
          <w:sz w:val="17"/>
          <w:szCs w:val="17"/>
          <w:color w:val="auto"/>
        </w:rPr>
        <w:t>I will not have both a VA network line and any kind of non-VA network line including a wireless network card, modem with phone line, or other network device physically connected to my computer at the same time, unless the dual connection is explicitly authorized by the COR.</w:t>
      </w:r>
    </w:p>
    <w:p>
      <w:pPr>
        <w:spacing w:after="0" w:line="147" w:lineRule="exact"/>
        <w:rPr>
          <w:rFonts w:ascii="Arial" w:cs="Arial" w:eastAsia="Arial" w:hAnsi="Arial"/>
          <w:sz w:val="17"/>
          <w:szCs w:val="17"/>
          <w:color w:val="auto"/>
        </w:rPr>
      </w:pPr>
    </w:p>
    <w:p>
      <w:pPr>
        <w:ind w:left="10" w:right="140" w:hanging="10"/>
        <w:spacing w:after="0" w:line="263" w:lineRule="auto"/>
        <w:tabs>
          <w:tab w:leader="none" w:pos="32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I understand that I may not obviate or evade my responsibility to adhere to VA security requirements by subcontracting any work under any given contract or agreement with VA, and that any subcontractor(s) I engage shall likewise be bound by the same security requirements and penalties for violating the same.</w:t>
      </w:r>
    </w:p>
    <w:p>
      <w:pPr>
        <w:sectPr>
          <w:pgSz w:w="11900" w:h="16838" w:orient="portrait"/>
          <w:cols w:equalWidth="0" w:num="1">
            <w:col w:w="10950"/>
          </w:cols>
          <w:pgMar w:left="450" w:top="271" w:right="49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STATEMENT ON LITIGATION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User Agreement does not and should not be relied upon to create any other right or benefit, substantive or procedural, enforceable by law, by a party to litigation with the United States Government.</w:t>
      </w:r>
    </w:p>
    <w:p>
      <w:pPr>
        <w:spacing w:after="0" w:line="27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ACKNOWLEDGEMENT AND ACCEPTANCE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acknowledge receipt of this User Agreement. I understand and accept all terms and conditions of this User Agreement, and I will comply with the terms and conditions of this agreement and any additional VA warning banners, directives, handbooks, notices, or directions regarding access to or use of information systems or information. The terms and conditions of this document do not supersede the terms and conditions of the signatory’s employer and VA.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your full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 4 digits of SSN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Contractor’s Company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and return the original signed document to the COR within the timeframe stated in the terms of the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CONTRACTOR AND SUBCONTRACTOR PERSONNEL SECURITY REQUIREMENTS: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stated above, all costs associated with the obligations set forth herein shall be the responsibility of the subcontractor unless expressly stated otherwise in a task order. To the extent that contractor incurs expense on behalf of subcontractor under this section, contractor may retain the amounts for the expenses incurred from payments due to subcontractor or, at contractor’s option, may invoice subcontractor for these expenses.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 CONFIDENTIALITY AND NON-DISCLOSURE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samples and data provided by the Government and all data first produced or delivered during this contract is the sole property of the VA. The subcontractor recognizes that in the performance of this subcontract it may receive or have access to sensitive or confidential information, including personal information of VA employees and information proprietary in nature by system contractors, equipment manufacturers and other private or public entities. The subcontractor shall restrict access to sensitive or confidential information to the minimum number of employees necessary for subcontract performance.</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subcontractor shall indoctrinate its employees and all lower-tier subcontractor employees working on this subcontract on the laws, rules and regulations governing access to sensitive and/or confidential information. All persons concerned shall understand that unauthorized access to or use of sensitive or confidential information related to this subcontract shall result in immediate termination of the individual or individuals from the subcontract and be subject to legal prosecution to the fullest extent of the law.</w:t>
      </w:r>
    </w:p>
    <w:p>
      <w:pPr>
        <w:sectPr>
          <w:pgSz w:w="11900" w:h="16838" w:orient="portrait"/>
          <w:cols w:equalWidth="0" w:num="1">
            <w:col w:w="11000"/>
          </w:cols>
          <w:pgMar w:left="460" w:top="270" w:right="439" w:bottom="1440" w:gutter="0" w:footer="0" w:header="0"/>
        </w:sectPr>
      </w:pPr>
    </w:p>
    <w:bookmarkStart w:id="580" w:name="page581"/>
    <w:bookmarkEnd w:id="580"/>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jc w:val="both"/>
        <w:ind w:left="10" w:right="420"/>
        <w:spacing w:after="0" w:line="277" w:lineRule="auto"/>
        <w:rPr>
          <w:sz w:val="20"/>
          <w:szCs w:val="20"/>
          <w:color w:val="auto"/>
        </w:rPr>
      </w:pPr>
      <w:r>
        <w:rPr>
          <w:rFonts w:ascii="Arial" w:cs="Arial" w:eastAsia="Arial" w:hAnsi="Arial"/>
          <w:sz w:val="18"/>
          <w:szCs w:val="18"/>
          <w:color w:val="auto"/>
        </w:rPr>
        <w:t>The contractor is required to conduct an appropriate background investigation on all of its employees and subcontractor employees working on this contract and who require access to government computer systems.</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III – ADDITIONAL FLOWDOWN CLAUSES</w:t>
      </w:r>
    </w:p>
    <w:p>
      <w:pPr>
        <w:spacing w:after="0" w:line="121" w:lineRule="exact"/>
        <w:rPr>
          <w:sz w:val="20"/>
          <w:szCs w:val="20"/>
          <w:color w:val="auto"/>
        </w:rPr>
      </w:pPr>
    </w:p>
    <w:p>
      <w:pPr>
        <w:ind w:left="10" w:right="260"/>
        <w:spacing w:after="0" w:line="277" w:lineRule="auto"/>
        <w:rPr>
          <w:sz w:val="20"/>
          <w:szCs w:val="20"/>
          <w:color w:val="auto"/>
        </w:rPr>
      </w:pPr>
      <w:r>
        <w:rPr>
          <w:rFonts w:ascii="Arial" w:cs="Arial" w:eastAsia="Arial" w:hAnsi="Arial"/>
          <w:sz w:val="18"/>
          <w:szCs w:val="18"/>
          <w:color w:val="auto"/>
        </w:rPr>
        <w:t>The clauses from the prime contract have been modified by contractor to reflect the contractual relationship between the contractor and subcontractor and to reflect the applicable obligations.</w:t>
      </w:r>
    </w:p>
    <w:p>
      <w:pPr>
        <w:spacing w:after="0" w:line="166" w:lineRule="exact"/>
        <w:rPr>
          <w:sz w:val="20"/>
          <w:szCs w:val="20"/>
          <w:color w:val="auto"/>
        </w:rPr>
      </w:pPr>
    </w:p>
    <w:p>
      <w:pPr>
        <w:jc w:val="both"/>
        <w:ind w:left="10" w:right="400"/>
        <w:spacing w:after="0" w:line="266" w:lineRule="auto"/>
        <w:rPr>
          <w:sz w:val="20"/>
          <w:szCs w:val="20"/>
          <w:color w:val="auto"/>
        </w:rPr>
      </w:pPr>
      <w:r>
        <w:rPr>
          <w:rFonts w:ascii="Arial" w:cs="Arial" w:eastAsia="Arial" w:hAnsi="Arial"/>
          <w:sz w:val="18"/>
          <w:szCs w:val="18"/>
          <w:b w:val="1"/>
          <w:bCs w:val="1"/>
          <w:color w:val="auto"/>
        </w:rPr>
        <w:t xml:space="preserve">52.204-10 REPORTING EXECUTIVE COMPENSATION AND FIRST-TIER SUBCONTRACT AWARDS (OCT 2016) </w:t>
      </w:r>
      <w:r>
        <w:rPr>
          <w:rFonts w:ascii="Arial" w:cs="Arial" w:eastAsia="Arial" w:hAnsi="Arial"/>
          <w:sz w:val="18"/>
          <w:szCs w:val="18"/>
          <w:color w:val="auto"/>
        </w:rPr>
        <w:t>Subcontractor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information required for contractor to submit the information required under (d)(2) of this clause and will provide information required under (d)(3) if the circumstances in (d)(3)(i) and (ii) are applicable.</w:t>
      </w:r>
    </w:p>
    <w:p>
      <w:pPr>
        <w:spacing w:after="0" w:line="175" w:lineRule="exact"/>
        <w:rPr>
          <w:sz w:val="20"/>
          <w:szCs w:val="20"/>
          <w:color w:val="auto"/>
        </w:rPr>
      </w:pPr>
    </w:p>
    <w:p>
      <w:pPr>
        <w:ind w:left="10" w:right="780"/>
        <w:spacing w:after="0" w:line="281" w:lineRule="auto"/>
        <w:rPr>
          <w:sz w:val="20"/>
          <w:szCs w:val="20"/>
          <w:color w:val="auto"/>
        </w:rPr>
      </w:pPr>
      <w:r>
        <w:rPr>
          <w:rFonts w:ascii="Arial" w:cs="Arial" w:eastAsia="Arial" w:hAnsi="Arial"/>
          <w:sz w:val="18"/>
          <w:szCs w:val="18"/>
          <w:b w:val="1"/>
          <w:bCs w:val="1"/>
          <w:color w:val="auto"/>
        </w:rPr>
        <w:t>52.203-99 PROHIBITION ON CONTRACTING WITH ENTITIES THAT REQUIRE CERTAIN INTERNAL CONFIDENTIALITY AGREEMENTS (DEVIATION) (FEB 2015)</w:t>
      </w:r>
    </w:p>
    <w:p>
      <w:pPr>
        <w:spacing w:after="0" w:line="167" w:lineRule="exact"/>
        <w:rPr>
          <w:sz w:val="20"/>
          <w:szCs w:val="20"/>
          <w:color w:val="auto"/>
        </w:rPr>
      </w:pPr>
    </w:p>
    <w:p>
      <w:pPr>
        <w:ind w:left="10" w:right="440" w:hanging="10"/>
        <w:spacing w:after="0" w:line="259" w:lineRule="auto"/>
        <w:tabs>
          <w:tab w:leader="none" w:pos="386"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subcontractor shall not require employees or subcontractors seeking to report fraud, waste, or abuse to sign or comply with internal confidentiality agreements or statements prohibiting or otherwise restricting such employees or subcontractors from lawfully reporting such waste, fraud, or abuse to a designated investigative or law enforcement representative of a Federal department or agency authorized to receive such information.</w:t>
      </w:r>
    </w:p>
    <w:p>
      <w:pPr>
        <w:spacing w:after="0" w:line="185" w:lineRule="exact"/>
        <w:rPr>
          <w:rFonts w:ascii="Arial" w:cs="Arial" w:eastAsia="Arial" w:hAnsi="Arial"/>
          <w:sz w:val="18"/>
          <w:szCs w:val="18"/>
          <w:color w:val="auto"/>
        </w:rPr>
      </w:pPr>
    </w:p>
    <w:p>
      <w:pPr>
        <w:ind w:left="10" w:right="60" w:hanging="10"/>
        <w:spacing w:after="0" w:line="277" w:lineRule="auto"/>
        <w:tabs>
          <w:tab w:leader="none" w:pos="396"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subcontractor shall notify employees that the prohibitions and restrictions of any internal confidentiality agreements covered by this clause are no longer in effect.</w:t>
      </w:r>
    </w:p>
    <w:p>
      <w:pPr>
        <w:spacing w:after="0" w:line="169" w:lineRule="exact"/>
        <w:rPr>
          <w:rFonts w:ascii="Arial" w:cs="Arial" w:eastAsia="Arial" w:hAnsi="Arial"/>
          <w:sz w:val="18"/>
          <w:szCs w:val="18"/>
          <w:color w:val="auto"/>
        </w:rPr>
      </w:pPr>
    </w:p>
    <w:p>
      <w:pPr>
        <w:ind w:left="10" w:right="220" w:hanging="10"/>
        <w:spacing w:after="0" w:line="277" w:lineRule="auto"/>
        <w:tabs>
          <w:tab w:leader="none" w:pos="386"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prohibition in paragraph (a) of this clause does not contravene requirements applicable to Standard Form 312, Form 4414, or any other form issued by a Federal department or agency governing the nondisclosure of classified information.</w:t>
      </w:r>
    </w:p>
    <w:p>
      <w:pPr>
        <w:spacing w:after="0" w:line="170" w:lineRule="exact"/>
        <w:rPr>
          <w:sz w:val="20"/>
          <w:szCs w:val="20"/>
          <w:color w:val="auto"/>
        </w:rPr>
      </w:pPr>
    </w:p>
    <w:p>
      <w:pPr>
        <w:jc w:val="both"/>
        <w:ind w:left="10"/>
        <w:spacing w:after="0" w:line="263" w:lineRule="auto"/>
        <w:rPr>
          <w:sz w:val="20"/>
          <w:szCs w:val="20"/>
          <w:color w:val="auto"/>
        </w:rPr>
      </w:pPr>
      <w:r>
        <w:rPr>
          <w:rFonts w:ascii="Arial" w:cs="Arial" w:eastAsia="Arial" w:hAnsi="Arial"/>
          <w:sz w:val="18"/>
          <w:szCs w:val="18"/>
          <w:color w:val="auto"/>
        </w:rPr>
        <w:t>(d)(1) In accordance with section 743 of Division E, Title VII, of the Consolidated and Further Continuing Resolution Appropriations Act, 2015 (Pub. L. 113-235), use of funds appropriated (or otherwise made available) under that or any other Act may be prohibited, if the Government determines that the Contractor is not in compliance with the provisions of this clause.</w:t>
      </w:r>
    </w:p>
    <w:p>
      <w:pPr>
        <w:spacing w:after="0" w:line="183" w:lineRule="exact"/>
        <w:rPr>
          <w:sz w:val="20"/>
          <w:szCs w:val="20"/>
          <w:color w:val="auto"/>
        </w:rPr>
      </w:pPr>
    </w:p>
    <w:p>
      <w:pPr>
        <w:ind w:left="10" w:right="1620" w:hanging="10"/>
        <w:spacing w:after="0" w:line="527" w:lineRule="auto"/>
        <w:tabs>
          <w:tab w:leader="none" w:pos="26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Government may seek any available remedies in the event the contractor fails to comply with the provisions of this clause. (End of Clause)</w:t>
      </w:r>
    </w:p>
    <w:p>
      <w:pPr>
        <w:spacing w:after="0" w:line="5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52.216-19 ORDER LIMITATIONS (OCT 1995)</w:t>
      </w:r>
    </w:p>
    <w:p>
      <w:pPr>
        <w:spacing w:after="0" w:line="121" w:lineRule="exact"/>
        <w:rPr>
          <w:sz w:val="20"/>
          <w:szCs w:val="20"/>
          <w:color w:val="auto"/>
        </w:rPr>
      </w:pPr>
    </w:p>
    <w:p>
      <w:pPr>
        <w:ind w:left="10" w:right="360" w:hanging="10"/>
        <w:spacing w:after="0" w:line="277" w:lineRule="auto"/>
        <w:tabs>
          <w:tab w:leader="none" w:pos="25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Minimum order. When the contractor requires supplies or services covered by this contract in an amount of less than 1 each, the contractor is not obligated to purchase, nor is the subcontractor obligated to furnish, those supplies or services under the contract.</w:t>
      </w:r>
    </w:p>
    <w:p>
      <w:pPr>
        <w:spacing w:after="0" w:line="169" w:lineRule="exact"/>
        <w:rPr>
          <w:rFonts w:ascii="Arial" w:cs="Arial" w:eastAsia="Arial" w:hAnsi="Arial"/>
          <w:sz w:val="18"/>
          <w:szCs w:val="18"/>
          <w:color w:val="auto"/>
        </w:rPr>
      </w:pPr>
    </w:p>
    <w:p>
      <w:pPr>
        <w:ind w:left="250" w:hanging="250"/>
        <w:spacing w:after="0"/>
        <w:tabs>
          <w:tab w:leader="none" w:pos="25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Maximum order. The subcontractor is not obligated to honor—</w:t>
      </w:r>
    </w:p>
    <w:p>
      <w:pPr>
        <w:spacing w:after="0" w:line="225" w:lineRule="exact"/>
        <w:rPr>
          <w:sz w:val="20"/>
          <w:szCs w:val="20"/>
          <w:color w:val="auto"/>
        </w:rPr>
      </w:pPr>
    </w:p>
    <w:p>
      <w:pPr>
        <w:ind w:left="250" w:hanging="250"/>
        <w:spacing w:after="0"/>
        <w:tabs>
          <w:tab w:leader="none" w:pos="25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order for a single item in excess of 500 each per month;</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order for a combination of items in excess of 500 each per month; or</w:t>
      </w:r>
    </w:p>
    <w:p>
      <w:pPr>
        <w:spacing w:after="0" w:line="224" w:lineRule="exact"/>
        <w:rPr>
          <w:rFonts w:ascii="Arial" w:cs="Arial" w:eastAsia="Arial" w:hAnsi="Arial"/>
          <w:sz w:val="18"/>
          <w:szCs w:val="18"/>
          <w:color w:val="auto"/>
        </w:rPr>
      </w:pPr>
    </w:p>
    <w:p>
      <w:pPr>
        <w:ind w:left="10" w:right="100" w:hanging="10"/>
        <w:spacing w:after="0" w:line="277" w:lineRule="auto"/>
        <w:tabs>
          <w:tab w:leader="none" w:pos="26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 series of orders from the same ordering office within 30 days that together call for quantities exceeding the limitation in paragraph (b)(1) or (2) of this section.</w:t>
      </w:r>
    </w:p>
    <w:p>
      <w:pPr>
        <w:sectPr>
          <w:pgSz w:w="11900" w:h="16838" w:orient="portrait"/>
          <w:cols w:equalWidth="0" w:num="1">
            <w:col w:w="11010"/>
          </w:cols>
          <w:pgMar w:left="450" w:top="270" w:right="439" w:bottom="1440" w:gutter="0" w:footer="0" w:header="0"/>
        </w:sectPr>
      </w:pPr>
    </w:p>
    <w:bookmarkStart w:id="581" w:name="page582"/>
    <w:bookmarkEnd w:id="58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250" w:hanging="250"/>
        <w:spacing w:after="0"/>
        <w:tabs>
          <w:tab w:leader="none" w:pos="25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6" w:lineRule="exact"/>
        <w:rPr>
          <w:rFonts w:ascii="Arial" w:cs="Arial" w:eastAsia="Arial" w:hAnsi="Arial"/>
          <w:sz w:val="18"/>
          <w:szCs w:val="18"/>
          <w:color w:val="auto"/>
        </w:rPr>
      </w:pPr>
    </w:p>
    <w:p>
      <w:pPr>
        <w:ind w:left="10" w:hanging="10"/>
        <w:spacing w:after="0" w:line="254" w:lineRule="auto"/>
        <w:tabs>
          <w:tab w:leader="none" w:pos="26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Notwithstanding paragraphs (b) and (c) of this section, the subcontractor shall honor any order exceeding the maximum order limitations in paragraph (b), unless that order (or orders) is returned to the contractor within 2 days after issuance, with written notice stating the subcontractor’s intent not to ship the item (or items) called for and the reasons. Upon receiving this notice, the contractor or the Government may acquire the supplies or services from another source.</w:t>
      </w:r>
    </w:p>
    <w:p>
      <w:pPr>
        <w:spacing w:after="0" w:line="1"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(End of Clause)</w:t>
      </w:r>
    </w:p>
    <w:p>
      <w:pPr>
        <w:spacing w:after="0" w:line="31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52.217-9 OPTION TO EXTEND THE TERM OF THE CONTRACT (MAR 2000)</w:t>
      </w:r>
    </w:p>
    <w:p>
      <w:pPr>
        <w:spacing w:after="0" w:line="121" w:lineRule="exact"/>
        <w:rPr>
          <w:sz w:val="20"/>
          <w:szCs w:val="20"/>
          <w:color w:val="auto"/>
        </w:rPr>
      </w:pPr>
    </w:p>
    <w:p>
      <w:pPr>
        <w:ind w:left="10" w:right="180" w:hanging="10"/>
        <w:spacing w:after="0" w:line="277" w:lineRule="auto"/>
        <w:tabs>
          <w:tab w:leader="none" w:pos="25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contractor may extend the term of this subcontract by written notice to the subcontractor within 45 days, which must be mutually approved by both parties.</w:t>
      </w:r>
    </w:p>
    <w:p>
      <w:pPr>
        <w:spacing w:after="0" w:line="169" w:lineRule="exact"/>
        <w:rPr>
          <w:rFonts w:ascii="Arial" w:cs="Arial" w:eastAsia="Arial" w:hAnsi="Arial"/>
          <w:sz w:val="18"/>
          <w:szCs w:val="18"/>
          <w:color w:val="auto"/>
        </w:rPr>
      </w:pPr>
    </w:p>
    <w:p>
      <w:pPr>
        <w:ind w:left="250" w:hanging="250"/>
        <w:spacing w:after="0"/>
        <w:tabs>
          <w:tab w:leader="none" w:pos="25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If the contractor exercises this option, the extended subcontract shall be considered to include this option clause.</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total duration of this subcontract, including the exercise of any options under this clause, shall not exceed five (5) years.</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(End of Clause)</w:t>
      </w:r>
    </w:p>
    <w:p>
      <w:pPr>
        <w:spacing w:after="0" w:line="31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VAAR 852.203-70 COMMERCIAL ADVERTISING (JAN 2008)</w:t>
      </w:r>
    </w:p>
    <w:p>
      <w:pPr>
        <w:spacing w:after="0" w:line="121" w:lineRule="exact"/>
        <w:rPr>
          <w:sz w:val="20"/>
          <w:szCs w:val="20"/>
          <w:color w:val="auto"/>
        </w:rPr>
      </w:pPr>
    </w:p>
    <w:p>
      <w:pPr>
        <w:ind w:left="10" w:right="200"/>
        <w:spacing w:after="0" w:line="277" w:lineRule="auto"/>
        <w:rPr>
          <w:sz w:val="20"/>
          <w:szCs w:val="20"/>
          <w:color w:val="auto"/>
        </w:rPr>
      </w:pPr>
      <w:r>
        <w:rPr>
          <w:rFonts w:ascii="Arial" w:cs="Arial" w:eastAsia="Arial" w:hAnsi="Arial"/>
          <w:sz w:val="18"/>
          <w:szCs w:val="18"/>
          <w:color w:val="auto"/>
        </w:rPr>
        <w:t>The subcontractor agrees that it will not advertise the award of the subcontract in his/her commercial advertising in such a manner as to state or imply that Personalis or the Department of Veterans Affairs endorses a product, project or commercial line of endeavor.</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52.252-2 CLAUSES INCORPORATED BY REFERENCE (FEB 1998)</w:t>
      </w:r>
    </w:p>
    <w:p>
      <w:pPr>
        <w:spacing w:after="0" w:line="121" w:lineRule="exact"/>
        <w:rPr>
          <w:sz w:val="20"/>
          <w:szCs w:val="20"/>
          <w:color w:val="auto"/>
        </w:rPr>
      </w:pPr>
    </w:p>
    <w:p>
      <w:pPr>
        <w:ind w:left="10" w:right="40"/>
        <w:spacing w:after="0" w:line="263" w:lineRule="auto"/>
        <w:rPr>
          <w:sz w:val="20"/>
          <w:szCs w:val="20"/>
          <w:color w:val="auto"/>
        </w:rPr>
      </w:pPr>
      <w:r>
        <w:rPr>
          <w:rFonts w:ascii="Arial" w:cs="Arial" w:eastAsia="Arial" w:hAnsi="Arial"/>
          <w:sz w:val="18"/>
          <w:szCs w:val="18"/>
          <w:color w:val="auto"/>
        </w:rPr>
        <w:t xml:space="preserve">This subcontract incorporates one or more clauses by reference, with the same force and effect as if they were given in full text. The full text of a clause may be accessed electronically at this/these address(es): </w:t>
      </w:r>
      <w:r>
        <w:rPr>
          <w:rFonts w:ascii="Arial" w:cs="Arial" w:eastAsia="Arial" w:hAnsi="Arial"/>
          <w:sz w:val="18"/>
          <w:szCs w:val="18"/>
          <w:u w:val="single" w:color="auto"/>
          <w:color w:val="auto"/>
        </w:rPr>
        <w:t>http://www.acquisition.gov/far/index.html</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http://www.va.gov/oal/librarv/vaar/</w:t>
      </w:r>
    </w:p>
    <w:p>
      <w:pPr>
        <w:spacing w:after="0" w:line="183" w:lineRule="exact"/>
        <w:rPr>
          <w:sz w:val="20"/>
          <w:szCs w:val="20"/>
          <w:color w:val="auto"/>
        </w:rPr>
      </w:pPr>
    </w:p>
    <w:p>
      <w:pPr>
        <w:ind w:left="10" w:right="80"/>
        <w:spacing w:after="0" w:line="277" w:lineRule="auto"/>
        <w:rPr>
          <w:sz w:val="20"/>
          <w:szCs w:val="20"/>
          <w:color w:val="auto"/>
        </w:rPr>
      </w:pPr>
      <w:r>
        <w:rPr>
          <w:rFonts w:ascii="Arial" w:cs="Arial" w:eastAsia="Arial" w:hAnsi="Arial"/>
          <w:sz w:val="18"/>
          <w:szCs w:val="18"/>
          <w:color w:val="auto"/>
        </w:rPr>
        <w:t>52.204-9 PERSONAL IDENTITY VERIFICATION OF CONTRACTOR PERSONNEL (JAN 2011) (required only if Subcontractor requires routine physical access to a Federally-controlled facility and/or routine access to a Federally-controlled information system)</w:t>
      </w:r>
    </w:p>
    <w:p>
      <w:pPr>
        <w:spacing w:after="0" w:line="170" w:lineRule="exact"/>
        <w:rPr>
          <w:sz w:val="20"/>
          <w:szCs w:val="20"/>
          <w:color w:val="auto"/>
        </w:rPr>
      </w:pPr>
    </w:p>
    <w:p>
      <w:pPr>
        <w:ind w:left="10" w:right="1380"/>
        <w:spacing w:after="0" w:line="277" w:lineRule="auto"/>
        <w:rPr>
          <w:sz w:val="20"/>
          <w:szCs w:val="20"/>
          <w:color w:val="auto"/>
        </w:rPr>
      </w:pPr>
      <w:r>
        <w:rPr>
          <w:rFonts w:ascii="Arial" w:cs="Arial" w:eastAsia="Arial" w:hAnsi="Arial"/>
          <w:sz w:val="18"/>
          <w:szCs w:val="18"/>
          <w:color w:val="auto"/>
        </w:rPr>
        <w:t>52.203-17 CONTRACTOR EMPLOYEE WHISTLEBLOWER RIGHTS AND REQUIREMENT TO INFORM EMPLOYEES OF WHISTLEBLOWER RIGHTS (APR 2014)</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52.227-14 RIGHTS IN DATA—GENERAL (MAY 2014)</w:t>
      </w:r>
    </w:p>
    <w:p>
      <w:pPr>
        <w:spacing w:after="0" w:line="117" w:lineRule="exact"/>
        <w:rPr>
          <w:sz w:val="20"/>
          <w:szCs w:val="20"/>
          <w:color w:val="auto"/>
        </w:rPr>
      </w:pPr>
    </w:p>
    <w:p>
      <w:pPr>
        <w:ind w:left="10" w:right="580"/>
        <w:spacing w:after="0" w:line="277" w:lineRule="auto"/>
        <w:rPr>
          <w:sz w:val="20"/>
          <w:szCs w:val="20"/>
          <w:color w:val="auto"/>
        </w:rPr>
      </w:pPr>
      <w:r>
        <w:rPr>
          <w:rFonts w:ascii="Arial" w:cs="Arial" w:eastAsia="Arial" w:hAnsi="Arial"/>
          <w:sz w:val="18"/>
          <w:szCs w:val="18"/>
          <w:color w:val="auto"/>
        </w:rPr>
        <w:t>(This clause is applicable to Subcontractor to the extent that it is applicable to Contractor. Subcontractor shall provide the data and rights therein necessary to fulfill Contractor’s prime contract obligations.)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52.227-16 ADDITIONAL DATA REQUIREMENTS (JUN 1987)</w:t>
      </w:r>
    </w:p>
    <w:p>
      <w:pPr>
        <w:spacing w:after="0" w:line="117" w:lineRule="exact"/>
        <w:rPr>
          <w:sz w:val="20"/>
          <w:szCs w:val="20"/>
          <w:color w:val="auto"/>
        </w:rPr>
      </w:pPr>
    </w:p>
    <w:p>
      <w:pPr>
        <w:ind w:left="10" w:right="580"/>
        <w:spacing w:after="0" w:line="277" w:lineRule="auto"/>
        <w:rPr>
          <w:sz w:val="20"/>
          <w:szCs w:val="20"/>
          <w:color w:val="auto"/>
        </w:rPr>
      </w:pPr>
      <w:r>
        <w:rPr>
          <w:rFonts w:ascii="Arial" w:cs="Arial" w:eastAsia="Arial" w:hAnsi="Arial"/>
          <w:sz w:val="18"/>
          <w:szCs w:val="18"/>
          <w:color w:val="auto"/>
        </w:rPr>
        <w:t>(This clause is applicable to Subcontractor to the extent that it is applicable to Contractor. Subcontractor shall provide the data and rights therein necessary to fulfill Contractor’s prime contract obligations.)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52.203-13 Contractor Code of Business Ethics and Conduct (OCT 2015) (Pub. L. 110-252, Title VI, Chapter 1 (41 U.S.C. 251 note))</w:t>
      </w:r>
    </w:p>
    <w:p>
      <w:pPr>
        <w:spacing w:after="0" w:line="117" w:lineRule="exact"/>
        <w:rPr>
          <w:sz w:val="20"/>
          <w:szCs w:val="20"/>
          <w:color w:val="auto"/>
        </w:rPr>
      </w:pPr>
    </w:p>
    <w:p>
      <w:pPr>
        <w:ind w:left="10" w:right="200"/>
        <w:spacing w:after="0" w:line="286" w:lineRule="auto"/>
        <w:rPr>
          <w:sz w:val="20"/>
          <w:szCs w:val="20"/>
          <w:color w:val="auto"/>
        </w:rPr>
      </w:pPr>
      <w:r>
        <w:rPr>
          <w:rFonts w:ascii="Arial" w:cs="Arial" w:eastAsia="Arial" w:hAnsi="Arial"/>
          <w:sz w:val="17"/>
          <w:szCs w:val="17"/>
          <w:color w:val="auto"/>
        </w:rPr>
        <w:t>Mandatory written disclosures required by FAR clause 52.203-13 to the Department of Veterans Affairs, Office of Inspector General (OIG) must be made electronically through the VA OIG Hotline at http://www.va.gov/oig/contacts/hotline.asp and clicking on “FAR clause 52.203-13 Reporting.” If you experience difficulty accessing the website, call the Hotline at 1-800-488-8244 for further instructions.</w:t>
      </w:r>
    </w:p>
    <w:p>
      <w:pPr>
        <w:sectPr>
          <w:pgSz w:w="11900" w:h="16838" w:orient="portrait"/>
          <w:cols w:equalWidth="0" w:num="1">
            <w:col w:w="10970"/>
          </w:cols>
          <w:pgMar w:left="450" w:top="270" w:right="47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52.219-8, Utilization of Small Business Concerns (NOV 2016) (15 U.S.C. 637(d)(2) and (3)), in all subcontracts that offer further subcontracting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52.222-17, Nondisplacement of Qualified Workers (MAY 2014) (E.O. 13495). Flow down required in accordance with paragraph (1) of FAR clause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52.222-17.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52.222-21, Prohibition of Segregated Facilities (APR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52.222-26 Equal Opportunity (SEP 2016) (E.O. 11246)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52.222-35 Equal Opportunity for Veterans (OCT 2015) (38 U.S.C. 4212)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52.222-36 Affirmative Action for Workers with Disabilities (Oct 2010) (29 U.S.C. 793)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52.222-37, Employment Reports on Veterans (FEB 2016) (38 U.S.C. 4212).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52.222-40 Notification of Employee Rights Under the National Labor Relations Act (DEC 2010) (E.O. 13496). Flow down required in accordance with paragraph (1) of FAR clause 52.222-40.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52.222-41 Service Contract Labor Standards (MAY 2014) (41 U.S.C. chapter 67).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52.222-50 Combating Trafficking in Persons (MAR 2015) (22 U.S.C. chapter 78 and E.O. 13627), Alternate I (MAR 2015) of 52.222-50 (22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chapter 78 and E.O. 13627).</w:t>
      </w:r>
    </w:p>
    <w:p>
      <w:pPr>
        <w:spacing w:after="0" w:line="2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52.222-51, Exemption from Application of the Service Contract Labor Standards to Contracts for Maintenance, Calibration, or Repair of Certain Equipment—Requirements (MAY 2014) (41 U.S.C. chapter 67).</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52.222-53, Exemption from Application of the Service Contract Labor Standards to Contracts for Certain Services—Requirements (MAY 2014) (41 U.S.C. chapter 67).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52.222-54 Employee Eligibility Verification (OCT 2015) (E. O. 12989).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52.222-55, Minimum Wages Under Executive Order 13658 (DEC 2015).</w:t>
      </w:r>
    </w:p>
    <w:p>
      <w:pPr>
        <w:spacing w:after="0" w:line="225"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52.222-59, Compliance with Labor Laws (Executive Order 13673) (OCT 2016) (Applies at $50 million for solicitations and resultant contracts issued from October 25, 2016 through April 24, 2017; applies at $500,000 for solicitations and resultant contracts issued after April 24, 2017).</w:t>
      </w:r>
    </w:p>
    <w:p>
      <w:pPr>
        <w:spacing w:after="0" w:line="14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Note to paragraph (e)(1)(xvii): By a court order issued on October 24, 2016, 52.222-59 is enjoined indefinitely as of the date of the order. The enjoined paragraph will become effective immediately if the court terminates the injunction. At that time, DoD, GSA, and NASA will publish a document in the Federal Register advising the public of the termination of the injunction.</w:t>
      </w:r>
    </w:p>
    <w:p>
      <w:pPr>
        <w:sectPr>
          <w:pgSz w:w="11900" w:h="16838" w:orient="portrait"/>
          <w:cols w:equalWidth="0" w:num="1">
            <w:col w:w="10920"/>
          </w:cols>
          <w:pgMar w:left="460" w:top="270" w:right="519" w:bottom="1440" w:gutter="0" w:footer="0" w:header="0"/>
        </w:sectPr>
      </w:pPr>
    </w:p>
    <w:bookmarkStart w:id="583" w:name="page584"/>
    <w:bookmarkEnd w:id="58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52.222-60, Paycheck Transparency (Executive Order 13673) (OCT 2016)).</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52.222-62 Paid Sick Leave Under Executive Order 13706 (JAN 2017) (E.O. 13706).</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52.224-3, Privacy Training (JAN 2017) (5 U.S.C. 552a), Alternate I (JAN 2017) of 52.224-3.</w:t>
      </w:r>
    </w:p>
    <w:p>
      <w:pPr>
        <w:spacing w:after="0" w:line="225" w:lineRule="exact"/>
        <w:rPr>
          <w:sz w:val="20"/>
          <w:szCs w:val="20"/>
          <w:color w:val="auto"/>
        </w:rPr>
      </w:pPr>
    </w:p>
    <w:p>
      <w:pPr>
        <w:ind w:left="10" w:right="640"/>
        <w:spacing w:after="0" w:line="277" w:lineRule="auto"/>
        <w:rPr>
          <w:sz w:val="20"/>
          <w:szCs w:val="20"/>
          <w:color w:val="auto"/>
        </w:rPr>
      </w:pPr>
      <w:r>
        <w:rPr>
          <w:rFonts w:ascii="Arial" w:cs="Arial" w:eastAsia="Arial" w:hAnsi="Arial"/>
          <w:sz w:val="18"/>
          <w:szCs w:val="18"/>
          <w:color w:val="auto"/>
        </w:rPr>
        <w:t>52.226-6, Promoting Excess Food Donation to Nonprofit Organizations (MAY 2014) (42 U.S.C. 1792). Flow down required in accordance with paragraph (e) of FAR clause 52.226-6.</w:t>
      </w:r>
    </w:p>
    <w:p>
      <w:pPr>
        <w:spacing w:after="0" w:line="170" w:lineRule="exact"/>
        <w:rPr>
          <w:sz w:val="20"/>
          <w:szCs w:val="20"/>
          <w:color w:val="auto"/>
        </w:rPr>
      </w:pPr>
    </w:p>
    <w:p>
      <w:pPr>
        <w:ind w:left="10" w:right="500"/>
        <w:spacing w:after="0" w:line="277" w:lineRule="auto"/>
        <w:rPr>
          <w:sz w:val="20"/>
          <w:szCs w:val="20"/>
          <w:color w:val="auto"/>
        </w:rPr>
      </w:pPr>
      <w:r>
        <w:rPr>
          <w:rFonts w:ascii="Arial" w:cs="Arial" w:eastAsia="Arial" w:hAnsi="Arial"/>
          <w:sz w:val="18"/>
          <w:szCs w:val="18"/>
          <w:color w:val="auto"/>
        </w:rPr>
        <w:t>52.247-64 Preference for Privately Owned U.S.-Flag Commercial Vessels (Feb 2006) (46 U.S.C. Appx. 1241(b) and 10 U.S.C. 2631). Flow down required in accordance with paragraph (d) of FAR clause 52.247-64.</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52.227-17 RIGHTS IN DATA - SPECIAL WORKS (DEC 2007)</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(a) Definitions. As used in this clause—</w:t>
      </w:r>
    </w:p>
    <w:p>
      <w:pPr>
        <w:spacing w:after="0" w:line="225" w:lineRule="exact"/>
        <w:rPr>
          <w:sz w:val="20"/>
          <w:szCs w:val="20"/>
          <w:color w:val="auto"/>
        </w:rPr>
      </w:pPr>
    </w:p>
    <w:p>
      <w:pPr>
        <w:ind w:left="10" w:right="20"/>
        <w:spacing w:after="0" w:line="279" w:lineRule="auto"/>
        <w:rPr>
          <w:sz w:val="20"/>
          <w:szCs w:val="20"/>
          <w:color w:val="auto"/>
        </w:rPr>
      </w:pPr>
      <w:r>
        <w:rPr>
          <w:rFonts w:ascii="Arial" w:cs="Arial" w:eastAsia="Arial" w:hAnsi="Arial"/>
          <w:sz w:val="17"/>
          <w:szCs w:val="17"/>
          <w:color w:val="auto"/>
        </w:rPr>
        <w:t>“Data” means recorded information, regardless of form or the media on which it may be recorded. The term includes technical data and computer software. The term does not include information incidental to subcontract administration, such as financial, administrative, cost or pricing, or management information. “Unlimited rights” means the rights of the Government to use, disclose, reproduce, prepare derivative works, distribute copies to the public, and perform publicly and display publicly, in any manner and for any purpose, and to have or permit others to do so.</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(b) Allocation of Rights.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 The Government and contractor shall have—</w:t>
      </w:r>
    </w:p>
    <w:p>
      <w:pPr>
        <w:spacing w:after="0" w:line="225" w:lineRule="exact"/>
        <w:rPr>
          <w:sz w:val="20"/>
          <w:szCs w:val="20"/>
          <w:color w:val="auto"/>
        </w:rPr>
      </w:pPr>
    </w:p>
    <w:p>
      <w:pPr>
        <w:ind w:left="10" w:right="120" w:hanging="10"/>
        <w:spacing w:after="0" w:line="277" w:lineRule="auto"/>
        <w:tabs>
          <w:tab w:leader="none" w:pos="225" w:val="left"/>
        </w:tabs>
        <w:numPr>
          <w:ilvl w:val="0"/>
          <w:numId w:val="580"/>
        </w:numPr>
        <w:rPr>
          <w:rFonts w:ascii="Arial" w:cs="Arial" w:eastAsia="Arial" w:hAnsi="Arial"/>
          <w:sz w:val="18"/>
          <w:szCs w:val="18"/>
          <w:color w:val="auto"/>
        </w:rPr>
      </w:pPr>
      <w:r>
        <w:rPr>
          <w:rFonts w:ascii="Arial" w:cs="Arial" w:eastAsia="Arial" w:hAnsi="Arial"/>
          <w:sz w:val="18"/>
          <w:szCs w:val="18"/>
          <w:color w:val="auto"/>
        </w:rPr>
        <w:t>Unlimited rights in all data delivered under this subcontract, and in all data first produced in the performance of this subcontract, except as provided in paragraph (c) of this clause.</w:t>
      </w:r>
    </w:p>
    <w:p>
      <w:pPr>
        <w:spacing w:after="0" w:line="169" w:lineRule="exact"/>
        <w:rPr>
          <w:rFonts w:ascii="Arial" w:cs="Arial" w:eastAsia="Arial" w:hAnsi="Arial"/>
          <w:sz w:val="18"/>
          <w:szCs w:val="18"/>
          <w:color w:val="auto"/>
        </w:rPr>
      </w:pPr>
    </w:p>
    <w:p>
      <w:pPr>
        <w:ind w:left="10" w:right="220" w:hanging="10"/>
        <w:spacing w:after="0" w:line="277" w:lineRule="auto"/>
        <w:tabs>
          <w:tab w:leader="none" w:pos="274"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right to limit assertion of copyright in data first produced in the performance of this subcontract, and to obtain assignment of copyright in that data, in accordance with paragraph (c)(1) of this clause.</w:t>
      </w:r>
    </w:p>
    <w:p>
      <w:pPr>
        <w:spacing w:after="0" w:line="169" w:lineRule="exact"/>
        <w:rPr>
          <w:rFonts w:ascii="Arial" w:cs="Arial" w:eastAsia="Arial" w:hAnsi="Arial"/>
          <w:sz w:val="18"/>
          <w:szCs w:val="18"/>
          <w:color w:val="auto"/>
        </w:rPr>
      </w:pPr>
    </w:p>
    <w:p>
      <w:pPr>
        <w:ind w:left="310" w:hanging="310"/>
        <w:spacing w:after="0"/>
        <w:tabs>
          <w:tab w:leader="none" w:pos="31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right to limit the release and use of certain data in accordance with paragraph (d) of this clause.</w:t>
      </w:r>
    </w:p>
    <w:p>
      <w:pPr>
        <w:spacing w:after="0" w:line="225" w:lineRule="exact"/>
        <w:rPr>
          <w:sz w:val="20"/>
          <w:szCs w:val="20"/>
          <w:color w:val="auto"/>
        </w:rPr>
      </w:pPr>
    </w:p>
    <w:p>
      <w:pPr>
        <w:ind w:left="10" w:right="520" w:hanging="10"/>
        <w:spacing w:after="0" w:line="277" w:lineRule="auto"/>
        <w:tabs>
          <w:tab w:leader="none" w:pos="26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subcontractor shall have, to the extent permission is granted in accordance with paragraph (c)(1) of this clause, the right to assert claim to copyright subsisting in data first produced in the performance of this contract.</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(c) Copyright—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 Data first produced in the performance of this contract.</w:t>
      </w:r>
    </w:p>
    <w:p>
      <w:pPr>
        <w:spacing w:after="0" w:line="225" w:lineRule="exact"/>
        <w:rPr>
          <w:sz w:val="20"/>
          <w:szCs w:val="20"/>
          <w:color w:val="auto"/>
        </w:rPr>
      </w:pPr>
    </w:p>
    <w:p>
      <w:pPr>
        <w:ind w:left="10" w:hanging="10"/>
        <w:spacing w:after="0" w:line="254" w:lineRule="auto"/>
        <w:tabs>
          <w:tab w:leader="none" w:pos="22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subcontractor shall not assert or authorize others to assert any claim to copyright subsisting in any data first produced in the performance of this subcontract without prior written permission of the Contracting Officer. When copyright is asserted, the subcontractor shall affix the appropriate copyright notice of 17 U.S.C. 401 or 402 and acknowledgment of Government sponsorship (including prime contract number) to the data when delivered to the contractor for delivery to the Government, as well as when the data are published or deposited for registration as a published work in the U.S. Copyright Office. The subcontractor grants to the Government, contractor and others acting on their behalf, a paid-up, nonexclusive, irrevocable, worldwide license for all delivered data to reproduce, prepare derivative works, distribute copies to the public, and perform publicly and display publicly, by or on behalf of the Government or contractor.</w:t>
      </w:r>
    </w:p>
    <w:p>
      <w:pPr>
        <w:spacing w:after="0" w:line="193" w:lineRule="exact"/>
        <w:rPr>
          <w:rFonts w:ascii="Arial" w:cs="Arial" w:eastAsia="Arial" w:hAnsi="Arial"/>
          <w:sz w:val="18"/>
          <w:szCs w:val="18"/>
          <w:color w:val="auto"/>
        </w:rPr>
      </w:pPr>
    </w:p>
    <w:p>
      <w:pPr>
        <w:ind w:left="10" w:right="240" w:hanging="10"/>
        <w:spacing w:after="0" w:line="263" w:lineRule="auto"/>
        <w:tabs>
          <w:tab w:leader="none" w:pos="274"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If the Government desires to obtain copyright in data first produced in the performance of this contract and permission has not been granted as set forth in paragraph (c)(1)(i) of this clause, the Contracting Officer (through the contractor) shall direct the subcontractor to assign (with or without registration), or obtain the assignment of, the copyright to the Government or its designated assignee.</w:t>
      </w:r>
    </w:p>
    <w:p>
      <w:pPr>
        <w:sectPr>
          <w:pgSz w:w="11900" w:h="16838" w:orient="portrait"/>
          <w:cols w:equalWidth="0" w:num="1">
            <w:col w:w="10990"/>
          </w:cols>
          <w:pgMar w:left="450" w:top="270" w:right="459" w:bottom="1440" w:gutter="0" w:footer="0" w:header="0"/>
        </w:sectPr>
      </w:pPr>
    </w:p>
    <w:bookmarkStart w:id="584" w:name="page585"/>
    <w:bookmarkEnd w:id="58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161" w:lineRule="exact"/>
        <w:rPr>
          <w:sz w:val="20"/>
          <w:szCs w:val="20"/>
          <w:color w:val="auto"/>
        </w:rPr>
      </w:pPr>
    </w:p>
    <w:p>
      <w:pPr>
        <w:ind w:left="10" w:hanging="10"/>
        <w:spacing w:after="0" w:line="259" w:lineRule="auto"/>
        <w:tabs>
          <w:tab w:leader="none" w:pos="26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Data not first produced in the performance of this contract. The subcontractor shall not, without prior written permission of the Subcontract Administrator, incorporate in data delivered under this contract any data not first produced in the performance of this contract and that contain the copyright notice of 17 U.S.C. 401 or 402, unless the subcontractor identifies such data and grants to the Government, or acquires on its behalf, a license of the same scope as set forth in paragraph (c)(1) of this clause.</w:t>
      </w:r>
    </w:p>
    <w:p>
      <w:pPr>
        <w:spacing w:after="0" w:line="186" w:lineRule="exact"/>
        <w:rPr>
          <w:sz w:val="20"/>
          <w:szCs w:val="20"/>
          <w:color w:val="auto"/>
        </w:rPr>
      </w:pPr>
    </w:p>
    <w:p>
      <w:pPr>
        <w:ind w:left="10" w:right="500" w:hanging="10"/>
        <w:spacing w:after="0" w:line="263" w:lineRule="auto"/>
        <w:tabs>
          <w:tab w:leader="none" w:pos="26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Release and use restrictions. Except as otherwise specifically provided for in this contract, the subcontractor shall not use, release, reproduce, distribute, or publish any data first produced in the performance of this contract, nor authorize others to do so, without written permission of the Contracting Officer or contractor.</w:t>
      </w:r>
    </w:p>
    <w:p>
      <w:pPr>
        <w:spacing w:after="0" w:line="182" w:lineRule="exact"/>
        <w:rPr>
          <w:rFonts w:ascii="Arial" w:cs="Arial" w:eastAsia="Arial" w:hAnsi="Arial"/>
          <w:sz w:val="18"/>
          <w:szCs w:val="18"/>
          <w:color w:val="auto"/>
        </w:rPr>
      </w:pPr>
    </w:p>
    <w:p>
      <w:pPr>
        <w:ind w:left="10" w:right="40" w:hanging="10"/>
        <w:spacing w:after="0" w:line="291" w:lineRule="auto"/>
        <w:tabs>
          <w:tab w:leader="none" w:pos="254" w:val="left"/>
        </w:tabs>
        <w:numPr>
          <w:ilvl w:val="0"/>
          <w:numId w:val="584"/>
        </w:numPr>
        <w:rPr>
          <w:rFonts w:ascii="Arial" w:cs="Arial" w:eastAsia="Arial" w:hAnsi="Arial"/>
          <w:sz w:val="16"/>
          <w:szCs w:val="16"/>
          <w:color w:val="auto"/>
        </w:rPr>
      </w:pPr>
      <w:r>
        <w:rPr>
          <w:rFonts w:ascii="Arial" w:cs="Arial" w:eastAsia="Arial" w:hAnsi="Arial"/>
          <w:sz w:val="16"/>
          <w:szCs w:val="16"/>
          <w:color w:val="auto"/>
        </w:rPr>
        <w:t>Indemnity. The Contractor shall indemnify the Government and contractor and their officers, agents, and employees acting for them against any liability, including costs and expenses, incurred as the result of the violation of trade secrets, copyrights, or right of privacy or publicity, arising out of the creation, delivery, publication, or use of any data furnished under this subcontract; or any libelous or other unlawful matter contained in such data. The provisions of this paragraph do not apply unless the Government or contractor provides notice to the subcontractor as soon as practicable of any claim or suit, affords the subcontractor an opportunity under applicable laws, rules, or regulations to participate in the defense of the claim or suit, and obtains the subcontractor’s consent to the settlement of any claim or suit other than as required by final decree of a court of competent jurisdiction; and these provisions do not apply to material furnished to the subcontractor by the Government and incorporated in data to which this clause applies.</w:t>
      </w:r>
    </w:p>
    <w:p>
      <w:pPr>
        <w:sectPr>
          <w:pgSz w:w="11900" w:h="16838" w:orient="portrait"/>
          <w:cols w:equalWidth="0" w:num="1">
            <w:col w:w="10910"/>
          </w:cols>
          <w:pgMar w:left="450" w:top="270" w:right="5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Subcontractor Pricing and Services Description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SUBCONTRACT PRODUCT&amp; PRICING INFORMATION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880" w:type="dxa"/>
            <w:vAlign w:val="bottom"/>
            <w:tcBorders>
              <w:top w:val="single" w:sz="8" w:color="auto"/>
              <w:left w:val="single" w:sz="8" w:color="auto"/>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Catalog#</w:t>
            </w:r>
          </w:p>
        </w:tc>
        <w:tc>
          <w:tcPr>
            <w:tcW w:w="7300" w:type="dxa"/>
            <w:vAlign w:val="bottom"/>
            <w:tcBorders>
              <w:top w:val="single" w:sz="8" w:color="auto"/>
              <w:right w:val="single" w:sz="8" w:color="auto"/>
            </w:tcBorders>
            <w:gridSpan w:val="2"/>
            <w:vMerge w:val="restart"/>
          </w:tcPr>
          <w:p>
            <w:pPr>
              <w:ind w:left="3080"/>
              <w:spacing w:after="0"/>
              <w:rPr>
                <w:sz w:val="20"/>
                <w:szCs w:val="20"/>
                <w:color w:val="auto"/>
              </w:rPr>
            </w:pPr>
            <w:r>
              <w:rPr>
                <w:rFonts w:ascii="Arial" w:cs="Arial" w:eastAsia="Arial" w:hAnsi="Arial"/>
                <w:sz w:val="14"/>
                <w:szCs w:val="14"/>
                <w:b w:val="1"/>
                <w:bCs w:val="1"/>
                <w:color w:val="auto"/>
              </w:rPr>
              <w:t>Product Description</w:t>
            </w:r>
          </w:p>
        </w:tc>
        <w:tc>
          <w:tcPr>
            <w:tcW w:w="5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Subtotal</w:t>
            </w:r>
          </w:p>
        </w:tc>
        <w:tc>
          <w:tcPr>
            <w:tcW w:w="0" w:type="dxa"/>
            <w:vAlign w:val="bottom"/>
          </w:tcPr>
          <w:p>
            <w:pPr>
              <w:spacing w:after="0"/>
              <w:rPr>
                <w:sz w:val="1"/>
                <w:szCs w:val="1"/>
                <w:color w:val="auto"/>
              </w:rPr>
            </w:pPr>
          </w:p>
        </w:tc>
      </w:tr>
      <w:tr>
        <w:trPr>
          <w:trHeight w:val="171"/>
        </w:trPr>
        <w:tc>
          <w:tcPr>
            <w:tcW w:w="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7300" w:type="dxa"/>
            <w:vAlign w:val="bottom"/>
            <w:tcBorders>
              <w:bottom w:val="single" w:sz="8" w:color="auto"/>
              <w:right w:val="single" w:sz="8" w:color="auto"/>
            </w:tcBorders>
            <w:gridSpan w:val="2"/>
            <w:vMerge w:val="continue"/>
          </w:tcPr>
          <w:p>
            <w:pPr>
              <w:spacing w:after="0"/>
              <w:rPr>
                <w:sz w:val="14"/>
                <w:szCs w:val="14"/>
                <w:color w:val="auto"/>
              </w:rPr>
            </w:pPr>
          </w:p>
        </w:tc>
        <w:tc>
          <w:tcPr>
            <w:tcW w:w="540" w:type="dxa"/>
            <w:vAlign w:val="bottom"/>
            <w:tcBorders>
              <w:bottom w:val="single" w:sz="8" w:color="auto"/>
              <w:right w:val="single" w:sz="8" w:color="auto"/>
            </w:tcBorders>
            <w:vMerge w:val="continue"/>
          </w:tcPr>
          <w:p>
            <w:pPr>
              <w:spacing w:after="0"/>
              <w:rPr>
                <w:sz w:val="14"/>
                <w:szCs w:val="14"/>
                <w:color w:val="auto"/>
              </w:rPr>
            </w:pPr>
          </w:p>
        </w:tc>
        <w:tc>
          <w:tcPr>
            <w:tcW w:w="540" w:type="dxa"/>
            <w:vAlign w:val="bottom"/>
            <w:tcBorders>
              <w:bottom w:val="single" w:sz="8" w:color="auto"/>
              <w:right w:val="single" w:sz="8" w:color="auto"/>
            </w:tcBorders>
            <w:vMerge w:val="continue"/>
          </w:tcPr>
          <w:p>
            <w:pPr>
              <w:spacing w:after="0"/>
              <w:rPr>
                <w:sz w:val="14"/>
                <w:szCs w:val="14"/>
                <w:color w:val="auto"/>
              </w:rPr>
            </w:pPr>
          </w:p>
        </w:tc>
        <w:tc>
          <w:tcPr>
            <w:tcW w:w="540" w:type="dxa"/>
            <w:vAlign w:val="bottom"/>
            <w:tcBorders>
              <w:bottom w:val="single" w:sz="8" w:color="auto"/>
              <w:right w:val="single" w:sz="8" w:color="auto"/>
            </w:tcBorders>
            <w:vMerge w:val="continue"/>
          </w:tcPr>
          <w:p>
            <w:pPr>
              <w:spacing w:after="0"/>
              <w:rPr>
                <w:sz w:val="14"/>
                <w:szCs w:val="14"/>
                <w:color w:val="auto"/>
              </w:rPr>
            </w:pPr>
          </w:p>
        </w:tc>
        <w:tc>
          <w:tcPr>
            <w:tcW w:w="54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5"/>
        </w:trPr>
        <w:tc>
          <w:tcPr>
            <w:tcW w:w="8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87"/>
              </w:rPr>
              <w:t>20005138</w:t>
            </w:r>
          </w:p>
        </w:tc>
        <w:tc>
          <w:tcPr>
            <w:tcW w:w="3180" w:type="dxa"/>
            <w:vAlign w:val="bottom"/>
          </w:tcPr>
          <w:p>
            <w:pPr>
              <w:ind w:left="100"/>
              <w:spacing w:after="0" w:line="195" w:lineRule="exact"/>
              <w:rPr>
                <w:sz w:val="20"/>
                <w:szCs w:val="20"/>
                <w:color w:val="auto"/>
              </w:rPr>
            </w:pPr>
            <w:r>
              <w:rPr>
                <w:rFonts w:ascii="Arial" w:cs="Arial" w:eastAsia="Arial" w:hAnsi="Arial"/>
                <w:sz w:val="18"/>
                <w:szCs w:val="18"/>
                <w:color w:val="auto"/>
                <w:w w:val="94"/>
              </w:rPr>
              <w:t>Infinium</w:t>
            </w:r>
            <w:r>
              <w:rPr>
                <w:rFonts w:ascii="Arial" w:cs="Arial" w:eastAsia="Arial" w:hAnsi="Arial"/>
                <w:sz w:val="15"/>
                <w:szCs w:val="15"/>
                <w:color w:val="auto"/>
                <w:w w:val="94"/>
              </w:rPr>
              <w:t>®</w:t>
            </w:r>
            <w:r>
              <w:rPr>
                <w:rFonts w:ascii="Arial" w:cs="Arial" w:eastAsia="Arial" w:hAnsi="Arial"/>
                <w:sz w:val="18"/>
                <w:szCs w:val="18"/>
                <w:color w:val="auto"/>
                <w:w w:val="94"/>
              </w:rPr>
              <w:t>Global Screening Array-24 v1.0</w:t>
            </w:r>
          </w:p>
        </w:tc>
        <w:tc>
          <w:tcPr>
            <w:tcW w:w="41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Kit Fasttrack Service :</w:t>
            </w:r>
          </w:p>
        </w:tc>
        <w:tc>
          <w:tcPr>
            <w:tcW w:w="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80" w:type="dxa"/>
            <w:vAlign w:val="bottom"/>
            <w:tcBorders>
              <w:left w:val="single" w:sz="8" w:color="auto"/>
              <w:right w:val="single" w:sz="8" w:color="auto"/>
            </w:tcBorders>
          </w:tcPr>
          <w:p>
            <w:pPr>
              <w:spacing w:after="0"/>
              <w:rPr>
                <w:sz w:val="10"/>
                <w:szCs w:val="10"/>
                <w:color w:val="auto"/>
              </w:rPr>
            </w:pP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w w:val="94"/>
              </w:rPr>
              <w:t>Infinium</w:t>
            </w:r>
            <w:r>
              <w:rPr>
                <w:rFonts w:ascii="Arial" w:cs="Arial" w:eastAsia="Arial" w:hAnsi="Arial"/>
                <w:sz w:val="15"/>
                <w:szCs w:val="15"/>
                <w:color w:val="auto"/>
                <w:w w:val="94"/>
              </w:rPr>
              <w:t>®</w:t>
            </w:r>
            <w:r>
              <w:rPr>
                <w:rFonts w:ascii="Arial" w:cs="Arial" w:eastAsia="Arial" w:hAnsi="Arial"/>
                <w:sz w:val="18"/>
                <w:szCs w:val="18"/>
                <w:color w:val="auto"/>
                <w:w w:val="94"/>
              </w:rPr>
              <w:t>Global Screening Array-24 v1.0</w:t>
            </w:r>
          </w:p>
        </w:tc>
        <w:tc>
          <w:tcPr>
            <w:tcW w:w="4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Kit (FTS)</w:t>
            </w:r>
          </w:p>
        </w:tc>
        <w:tc>
          <w:tcPr>
            <w:tcW w:w="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bottom w:val="single" w:sz="8" w:color="auto"/>
            </w:tcBorders>
            <w:vMerge w:val="continue"/>
          </w:tcPr>
          <w:p>
            <w:pPr>
              <w:spacing w:after="0"/>
              <w:rPr>
                <w:sz w:val="9"/>
                <w:szCs w:val="9"/>
                <w:color w:val="auto"/>
              </w:rPr>
            </w:pPr>
          </w:p>
        </w:tc>
        <w:tc>
          <w:tcPr>
            <w:tcW w:w="41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Subtotal</w:t>
            </w:r>
          </w:p>
        </w:tc>
        <w:tc>
          <w:tcPr>
            <w:tcW w:w="31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1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Total Maximum Subcontract Price (including shipping and insurance)</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All prices are inclusive of shipping and taxes; provided that, Company is responsible for the costs of shipping the Samples to Subcontractor.</w:t>
      </w:r>
    </w:p>
    <w:p>
      <w:pPr>
        <w:spacing w:after="0" w:line="2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pricing stated above commencing on the Effective Date of the Agreement and valid through December 31, 2021 or later if the US Department of Veteran Affair Contract # VA240-17-D-0107 is extended.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Subcontractor Qualifications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Subcontractor shall have the following qualification, capabilities, and be able to document the following:</w:t>
      </w:r>
    </w:p>
    <w:p>
      <w:pPr>
        <w:spacing w:after="0" w:line="126" w:lineRule="exact"/>
        <w:rPr>
          <w:sz w:val="20"/>
          <w:szCs w:val="20"/>
          <w:color w:val="auto"/>
        </w:rPr>
      </w:pPr>
    </w:p>
    <w:p>
      <w:pPr>
        <w:ind w:left="1060" w:right="200" w:hanging="422"/>
        <w:spacing w:after="0" w:line="347" w:lineRule="auto"/>
        <w:tabs>
          <w:tab w:leader="none" w:pos="106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 xml:space="preserve">Headquarters and laboratory facilities where work to be conducted in is located within the Continental United States. </w:t>
      </w:r>
      <w:r>
        <w:rPr>
          <w:rFonts w:ascii="Arial" w:cs="Arial" w:eastAsia="Arial" w:hAnsi="Arial"/>
          <w:sz w:val="16"/>
          <w:szCs w:val="16"/>
          <w:b w:val="1"/>
          <w:bCs w:val="1"/>
          <w:color w:val="auto"/>
        </w:rPr>
        <w:t>No work shall be</w:t>
      </w:r>
      <w:r>
        <w:rPr>
          <w:rFonts w:ascii="Arial" w:cs="Arial" w:eastAsia="Arial" w:hAnsi="Arial"/>
          <w:sz w:val="16"/>
          <w:szCs w:val="16"/>
          <w:color w:val="auto"/>
        </w:rPr>
        <w:t xml:space="preserve"> </w:t>
      </w:r>
      <w:r>
        <w:rPr>
          <w:rFonts w:ascii="Arial" w:cs="Arial" w:eastAsia="Arial" w:hAnsi="Arial"/>
          <w:sz w:val="16"/>
          <w:szCs w:val="16"/>
          <w:b w:val="1"/>
          <w:bCs w:val="1"/>
          <w:color w:val="auto"/>
        </w:rPr>
        <w:t>performed outside of the United States or in any locality outside of the jurisdiction of the laws of the United States.</w:t>
      </w:r>
    </w:p>
    <w:p>
      <w:pPr>
        <w:spacing w:after="0" w:line="25" w:lineRule="exact"/>
        <w:rPr>
          <w:rFonts w:ascii="Arial" w:cs="Arial" w:eastAsia="Arial" w:hAnsi="Arial"/>
          <w:sz w:val="16"/>
          <w:szCs w:val="16"/>
          <w:color w:val="auto"/>
        </w:rPr>
      </w:pPr>
    </w:p>
    <w:p>
      <w:pPr>
        <w:ind w:left="1060" w:hanging="422"/>
        <w:spacing w:after="0"/>
        <w:tabs>
          <w:tab w:leader="none" w:pos="10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Ability for Sample tracking and management utilizing bar coding to ensure security &amp; traceability of VA samples.</w:t>
      </w:r>
    </w:p>
    <w:p>
      <w:pPr>
        <w:spacing w:after="0" w:line="130" w:lineRule="exact"/>
        <w:rPr>
          <w:rFonts w:ascii="Arial" w:cs="Arial" w:eastAsia="Arial" w:hAnsi="Arial"/>
          <w:sz w:val="18"/>
          <w:szCs w:val="18"/>
          <w:color w:val="auto"/>
        </w:rPr>
      </w:pPr>
    </w:p>
    <w:p>
      <w:pPr>
        <w:ind w:left="1060" w:right="360" w:hanging="422"/>
        <w:spacing w:after="0" w:line="277" w:lineRule="auto"/>
        <w:tabs>
          <w:tab w:leader="none" w:pos="10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Ability to produce documentation of sample handling and processing attributes/audit trail, etc. that would address sample mixing and sample error tracking.</w:t>
      </w:r>
    </w:p>
    <w:p>
      <w:pPr>
        <w:spacing w:after="0" w:line="75" w:lineRule="exact"/>
        <w:rPr>
          <w:rFonts w:ascii="Arial" w:cs="Arial" w:eastAsia="Arial" w:hAnsi="Arial"/>
          <w:sz w:val="18"/>
          <w:szCs w:val="18"/>
          <w:color w:val="auto"/>
        </w:rPr>
      </w:pPr>
    </w:p>
    <w:p>
      <w:pPr>
        <w:ind w:left="1060" w:hanging="422"/>
        <w:spacing w:after="0"/>
        <w:tabs>
          <w:tab w:leader="none" w:pos="10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contractor shall demonstrate that they are certified in Good Laboratory Practice (GLP) and CLIA certification</w:t>
      </w:r>
    </w:p>
    <w:p>
      <w:pPr>
        <w:spacing w:after="0" w:line="130" w:lineRule="exact"/>
        <w:rPr>
          <w:rFonts w:ascii="Arial" w:cs="Arial" w:eastAsia="Arial" w:hAnsi="Arial"/>
          <w:sz w:val="18"/>
          <w:szCs w:val="18"/>
          <w:color w:val="auto"/>
        </w:rPr>
      </w:pPr>
    </w:p>
    <w:p>
      <w:pPr>
        <w:ind w:left="1060" w:right="120" w:hanging="422"/>
        <w:spacing w:after="0" w:line="277" w:lineRule="auto"/>
        <w:tabs>
          <w:tab w:leader="none" w:pos="10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Contractors shall be required to submit for a NACI low level background investigation and security clearance in accordance with the VA IT Security Clause and complete the required training and procedures to comply with these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FastTrack Genotyping Services Description and Specifications:</w:t>
      </w:r>
    </w:p>
    <w:p>
      <w:pPr>
        <w:spacing w:after="0" w:line="117" w:lineRule="exact"/>
        <w:rPr>
          <w:sz w:val="20"/>
          <w:szCs w:val="20"/>
          <w:color w:val="auto"/>
        </w:rPr>
      </w:pPr>
    </w:p>
    <w:p>
      <w:pPr>
        <w:ind w:left="660" w:right="200" w:hanging="9"/>
        <w:spacing w:after="0" w:line="281" w:lineRule="auto"/>
        <w:tabs>
          <w:tab w:leader="none" w:pos="974"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Samples</w:t>
      </w:r>
      <w:r>
        <w:rPr>
          <w:rFonts w:ascii="Arial" w:cs="Arial" w:eastAsia="Arial" w:hAnsi="Arial"/>
          <w:sz w:val="18"/>
          <w:szCs w:val="18"/>
          <w:color w:val="auto"/>
        </w:rPr>
        <w:t>. Customer agrees to supply Illumina with a complete and accurate sample manifest in accordance with Section 5 of this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w:t>
      </w:r>
    </w:p>
    <w:p>
      <w:pPr>
        <w:spacing w:after="0" w:line="59"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If Illumina determines in its sole discretion that any of the Samples do not meet the criteria set forth in this Service Description, Illumina will so inform Customer. At such time, Customer will be provided the option to (a) replace such Samples, or (b) proceed with such Samples as-is. In both (a) and (b), Customer shall pay Illumina full price for the Services to be performed with respect to such Samples, even if no successful Results are obtained for those Samples.</w:t>
      </w:r>
    </w:p>
    <w:p>
      <w:pPr>
        <w:sectPr>
          <w:pgSz w:w="11900" w:h="16838" w:orient="portrait"/>
          <w:cols w:equalWidth="0" w:num="1">
            <w:col w:w="11020"/>
          </w:cols>
          <w:pgMar w:left="460" w:top="270" w:right="41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157" w:lineRule="exact"/>
        <w:rPr>
          <w:sz w:val="20"/>
          <w:szCs w:val="20"/>
          <w:color w:val="auto"/>
        </w:rPr>
      </w:pPr>
    </w:p>
    <w:p>
      <w:pPr>
        <w:ind w:left="660" w:right="120" w:hanging="9"/>
        <w:spacing w:after="0" w:line="281" w:lineRule="auto"/>
        <w:tabs>
          <w:tab w:leader="none" w:pos="974"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Results</w:t>
      </w:r>
      <w:r>
        <w:rPr>
          <w:rFonts w:ascii="Arial" w:cs="Arial" w:eastAsia="Arial" w:hAnsi="Arial"/>
          <w:sz w:val="18"/>
          <w:szCs w:val="18"/>
          <w:color w:val="auto"/>
        </w:rPr>
        <w:t>. IIlumina shall deliver to Customer the Results as described below: SNP genotyping calls and scores for the assays performed on</w:t>
      </w:r>
      <w:r>
        <w:rPr>
          <w:rFonts w:ascii="Arial" w:cs="Arial" w:eastAsia="Arial" w:hAnsi="Arial"/>
          <w:sz w:val="18"/>
          <w:szCs w:val="18"/>
          <w:b w:val="1"/>
          <w:bCs w:val="1"/>
          <w:color w:val="auto"/>
        </w:rPr>
        <w:t xml:space="preserve"> </w:t>
      </w:r>
      <w:r>
        <w:rPr>
          <w:rFonts w:ascii="Arial" w:cs="Arial" w:eastAsia="Arial" w:hAnsi="Arial"/>
          <w:sz w:val="18"/>
          <w:szCs w:val="18"/>
          <w:color w:val="auto"/>
        </w:rPr>
        <w:t>each Sample.</w:t>
      </w:r>
    </w:p>
    <w:p>
      <w:pPr>
        <w:spacing w:after="0" w:line="54" w:lineRule="exact"/>
        <w:rPr>
          <w:rFonts w:ascii="Arial" w:cs="Arial" w:eastAsia="Arial" w:hAnsi="Arial"/>
          <w:sz w:val="18"/>
          <w:szCs w:val="18"/>
          <w:b w:val="1"/>
          <w:bCs w:val="1"/>
          <w:color w:val="auto"/>
        </w:rPr>
      </w:pPr>
    </w:p>
    <w:p>
      <w:pPr>
        <w:ind w:left="660" w:right="320" w:hanging="9"/>
        <w:spacing w:after="0" w:line="281" w:lineRule="auto"/>
        <w:tabs>
          <w:tab w:leader="none" w:pos="974"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Dates</w:t>
      </w:r>
      <w:r>
        <w:rPr>
          <w:rFonts w:ascii="Arial" w:cs="Arial" w:eastAsia="Arial" w:hAnsi="Arial"/>
          <w:sz w:val="18"/>
          <w:szCs w:val="18"/>
          <w:color w:val="auto"/>
        </w:rPr>
        <w:t>. The delivery date(s) for the Results will be established at the start of the project, based on the number of Samples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laboratory queue.</w:t>
      </w:r>
    </w:p>
    <w:p>
      <w:pPr>
        <w:spacing w:after="0" w:line="27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Delivery Timeframes:</w:t>
      </w:r>
    </w:p>
    <w:p>
      <w:pPr>
        <w:spacing w:after="0" w:line="134"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following are minimum time frames for delivery of results:</w:t>
      </w:r>
    </w:p>
    <w:p>
      <w:pPr>
        <w:spacing w:after="0" w:line="130" w:lineRule="exact"/>
        <w:rPr>
          <w:sz w:val="20"/>
          <w:szCs w:val="20"/>
          <w:color w:val="auto"/>
        </w:rPr>
      </w:pPr>
    </w:p>
    <w:p>
      <w:pPr>
        <w:ind w:left="2060" w:right="180" w:hanging="646"/>
        <w:spacing w:after="0" w:line="277" w:lineRule="auto"/>
        <w:tabs>
          <w:tab w:leader="none" w:pos="2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For Infinium iSelect custom genotyping assays, within 90 days once a purchase order, loci selection and samples have all been received.</w:t>
      </w:r>
    </w:p>
    <w:p>
      <w:pPr>
        <w:spacing w:after="0" w:line="75" w:lineRule="exact"/>
        <w:rPr>
          <w:sz w:val="20"/>
          <w:szCs w:val="20"/>
          <w:color w:val="auto"/>
        </w:rPr>
      </w:pPr>
    </w:p>
    <w:p>
      <w:pPr>
        <w:ind w:left="2060" w:right="140" w:hanging="646"/>
        <w:spacing w:after="0" w:line="263" w:lineRule="auto"/>
        <w:tabs>
          <w:tab w:leader="none" w:pos="20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For standard genotyping studies using the Infinium assay, within 60 days of receipt of purchase order and samples, whichever occurs last. For studies larger than 1,000 samples, delivery date of the Results will be established at the start of the project, based on the current laboratory queue.</w:t>
      </w:r>
    </w:p>
    <w:p>
      <w:pPr>
        <w:spacing w:after="0" w:line="71" w:lineRule="exact"/>
        <w:rPr>
          <w:sz w:val="20"/>
          <w:szCs w:val="20"/>
          <w:color w:val="auto"/>
        </w:rPr>
      </w:pPr>
    </w:p>
    <w:p>
      <w:pPr>
        <w:ind w:left="660" w:right="120" w:hanging="9"/>
        <w:spacing w:after="0" w:line="297" w:lineRule="auto"/>
        <w:tabs>
          <w:tab w:leader="none" w:pos="974" w:val="left"/>
        </w:tabs>
        <w:numPr>
          <w:ilvl w:val="0"/>
          <w:numId w:val="588"/>
        </w:numPr>
        <w:rPr>
          <w:rFonts w:ascii="Arial" w:cs="Arial" w:eastAsia="Arial" w:hAnsi="Arial"/>
          <w:sz w:val="16"/>
          <w:szCs w:val="16"/>
          <w:b w:val="1"/>
          <w:bCs w:val="1"/>
          <w:color w:val="auto"/>
        </w:rPr>
      </w:pPr>
      <w:r>
        <w:rPr>
          <w:rFonts w:ascii="Arial" w:cs="Arial" w:eastAsia="Arial" w:hAnsi="Arial"/>
          <w:sz w:val="16"/>
          <w:szCs w:val="16"/>
          <w:b w:val="1"/>
          <w:bCs w:val="1"/>
          <w:color w:val="auto"/>
        </w:rPr>
        <w:t>SNP Selection Process</w:t>
      </w:r>
      <w:r>
        <w:rPr>
          <w:rFonts w:ascii="Arial" w:cs="Arial" w:eastAsia="Arial" w:hAnsi="Arial"/>
          <w:sz w:val="16"/>
          <w:szCs w:val="16"/>
          <w:color w:val="auto"/>
        </w:rPr>
        <w:t>. For any custom assays that are to be developed by Illumina for supply of genotyping data, Customer agrees that,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14 days of receipt of the purchase order, it will identify for Illumina a set of SNP loci (“Loci”) in accordance with the SNP Selection guidelines set forth in Section 5 of in this Service Description. Illumina and Customer must mutually agree upon the final Loci. Illumina will attempt to develop a functional SNP assay for each SNP locus provided by the Customer and agreed upon by Illumina. Upon the delivery of Loci by the Customer to Illumina, the Customer shall identify any of such Loci which are not publicly available.</w:t>
      </w:r>
    </w:p>
    <w:p>
      <w:pPr>
        <w:spacing w:after="0" w:line="48" w:lineRule="exact"/>
        <w:rPr>
          <w:rFonts w:ascii="Arial" w:cs="Arial" w:eastAsia="Arial" w:hAnsi="Arial"/>
          <w:sz w:val="16"/>
          <w:szCs w:val="16"/>
          <w:b w:val="1"/>
          <w:bCs w:val="1"/>
          <w:color w:val="auto"/>
        </w:rPr>
      </w:pPr>
    </w:p>
    <w:p>
      <w:pPr>
        <w:ind w:left="660" w:right="140" w:hanging="9"/>
        <w:spacing w:after="0" w:line="281" w:lineRule="auto"/>
        <w:tabs>
          <w:tab w:leader="none" w:pos="974"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color w:val="auto"/>
        </w:rPr>
        <w:t>Sample Requirements</w:t>
      </w:r>
      <w:r>
        <w:rPr>
          <w:rFonts w:ascii="Arial" w:cs="Arial" w:eastAsia="Arial" w:hAnsi="Arial"/>
          <w:sz w:val="18"/>
          <w:szCs w:val="18"/>
          <w:color w:val="auto"/>
        </w:rPr>
        <w:t>. Illumina’s experience shows that Samples conforming to the following requirements are likely to yield excellent</w:t>
      </w:r>
      <w:r>
        <w:rPr>
          <w:rFonts w:ascii="Arial" w:cs="Arial" w:eastAsia="Arial" w:hAnsi="Arial"/>
          <w:sz w:val="18"/>
          <w:szCs w:val="18"/>
          <w:b w:val="1"/>
          <w:bCs w:val="1"/>
          <w:color w:val="auto"/>
        </w:rPr>
        <w:t xml:space="preserve"> </w:t>
      </w:r>
      <w:r>
        <w:rPr>
          <w:rFonts w:ascii="Arial" w:cs="Arial" w:eastAsia="Arial" w:hAnsi="Arial"/>
          <w:sz w:val="18"/>
          <w:szCs w:val="18"/>
          <w:color w:val="auto"/>
        </w:rPr>
        <w:t>genotyping data.</w:t>
      </w:r>
    </w:p>
    <w:p>
      <w:pPr>
        <w:spacing w:after="0" w:line="311"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SampleManifest</w:t>
      </w:r>
    </w:p>
    <w:p>
      <w:pPr>
        <w:spacing w:after="0" w:line="130" w:lineRule="exact"/>
        <w:rPr>
          <w:sz w:val="20"/>
          <w:szCs w:val="20"/>
          <w:color w:val="auto"/>
        </w:rPr>
      </w:pPr>
    </w:p>
    <w:p>
      <w:pPr>
        <w:ind w:left="1860" w:right="200" w:hanging="768"/>
        <w:spacing w:after="0" w:line="259" w:lineRule="auto"/>
        <w:tabs>
          <w:tab w:leader="none" w:pos="18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color w:val="auto"/>
        </w:rPr>
        <w:t>To ensure that high quality data is produced, the Customer should submit a manifest of Sample characteristics. Illumina’s laboratory uses standard operating procedures, and it is important to identify any variation in Sample preparation as early as possible. For each Sample, provide the gender, parental identification, and replicate sample identification. Please use the following format for the Sample Manifest.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Manifest Columns:</w:t>
            </w:r>
          </w:p>
        </w:tc>
        <w:tc>
          <w:tcPr>
            <w:tcW w:w="496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r>
      <w:tr>
        <w:trPr>
          <w:trHeight w:val="195"/>
        </w:trPr>
        <w:tc>
          <w:tcPr>
            <w:tcW w:w="46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DNA-plate barcode (e.g., GS0000777-DNA for</w:t>
            </w:r>
          </w:p>
        </w:tc>
        <w:tc>
          <w:tcPr>
            <w:tcW w:w="220" w:type="dxa"/>
            <w:vAlign w:val="bottom"/>
            <w:tcBorders>
              <w:right w:val="single" w:sz="8" w:color="auto"/>
            </w:tcBorders>
          </w:tcPr>
          <w:p>
            <w:pPr>
              <w:spacing w:after="0"/>
              <w:rPr>
                <w:sz w:val="16"/>
                <w:szCs w:val="16"/>
                <w:color w:val="auto"/>
              </w:rPr>
            </w:pPr>
          </w:p>
        </w:tc>
        <w:tc>
          <w:tcPr>
            <w:tcW w:w="496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DNA concentration (50ng/µL or greater) measured by</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GoldenGate, WG0000888-DNA for Infinium)</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PicoGreen</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Well position of the Sample (e.g., A05)</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Tissue source (e.g., cell line)</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Customer Sample ID (e.g., GS0000777-</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Extraction Method (e.g., Phenol/Chloroform)</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DNAAO5_Name) Species of the sample</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WGA Method (if applicable, e.g., REPLI-g)</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(e.g., Homo sapiens)</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Mass of DNA used in WGA (if applicable, e.g., 50ng)</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Gender of the individual (F: female, M: male,</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Mother (e.g., GS000777-DNAA06_Name1)</w:t>
            </w:r>
          </w:p>
        </w:tc>
      </w:tr>
      <w:tr>
        <w:trPr>
          <w:trHeight w:val="216"/>
        </w:trPr>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 unknown) Comments</w:t>
            </w:r>
          </w:p>
        </w:tc>
        <w:tc>
          <w:tcPr>
            <w:tcW w:w="22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Father (e.g., G5000777-DNAA07_Name2)</w:t>
            </w:r>
          </w:p>
        </w:tc>
      </w:tr>
      <w:tr>
        <w:trPr>
          <w:trHeight w:val="237"/>
        </w:trPr>
        <w:tc>
          <w:tcPr>
            <w:tcW w:w="46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Volume in the well (e.g., 40µL).</w:t>
            </w:r>
          </w:p>
        </w:tc>
        <w:tc>
          <w:tcPr>
            <w:tcW w:w="220" w:type="dxa"/>
            <w:vAlign w:val="bottom"/>
            <w:tcBorders>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Replicate(s) (e.g., GS0000777-DNAA08_Name3)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Before shipping your Samples to Illumina, please forward a file containing the Sample Manifest to your Illumina contact for review.</w:t>
      </w:r>
    </w:p>
    <w:p>
      <w:pPr>
        <w:spacing w:after="0" w:line="142" w:lineRule="exact"/>
        <w:rPr>
          <w:sz w:val="20"/>
          <w:szCs w:val="20"/>
          <w:color w:val="auto"/>
        </w:rPr>
      </w:pPr>
    </w:p>
    <w:p>
      <w:pPr>
        <w:ind w:left="1860" w:hanging="768"/>
        <w:spacing w:after="0" w:line="256" w:lineRule="auto"/>
        <w:tabs>
          <w:tab w:leader="none" w:pos="18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To retain anonymity of the individuals from whom the Samples originated, Illumina provides barcoded microtiter plates and references the Samples by the plate number and well position. This allows a seamless interface with our robotic processes and the LIMS database. The Samples are placed into the supplied plates, sealed with a silicone cap, frozen, and shipped on dry ice. It is imperative that the DNA remain solidly frozen during shipping to avoid the possibility of cross contamination or degradation.</w:t>
      </w:r>
    </w:p>
    <w:p>
      <w:pPr>
        <w:sectPr>
          <w:pgSz w:w="11900" w:h="16838" w:orient="portrait"/>
          <w:cols w:equalWidth="0" w:num="1">
            <w:col w:w="10960"/>
          </w:cols>
          <w:pgMar w:left="460" w:top="270" w:right="47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157"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DNASample Criteria</w:t>
      </w:r>
    </w:p>
    <w:p>
      <w:pPr>
        <w:spacing w:after="0" w:line="130"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color w:val="auto"/>
        </w:rPr>
        <w:t>DNA should be quantified using a double stranded, DNA specific method such as PicoGreen fluorescence.)</w:t>
      </w:r>
    </w:p>
    <w:p>
      <w:pPr>
        <w:spacing w:after="0" w:line="130" w:lineRule="exact"/>
        <w:rPr>
          <w:sz w:val="20"/>
          <w:szCs w:val="20"/>
          <w:color w:val="auto"/>
        </w:rPr>
      </w:pPr>
    </w:p>
    <w:p>
      <w:pPr>
        <w:ind w:left="2860" w:right="80" w:hanging="768"/>
        <w:spacing w:after="0" w:line="263" w:lineRule="auto"/>
        <w:tabs>
          <w:tab w:leader="none" w:pos="284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8"/>
          <w:szCs w:val="18"/>
          <w:color w:val="auto"/>
        </w:rPr>
        <w:t>All DNAs must be at a concentration of 50 ng/µL or greater. The total amount of DNA required is dependent on the number of SNPs to be studied and is defined for each project. A table with typical DNA requirements is provided below.</w:t>
      </w:r>
    </w:p>
    <w:p>
      <w:pPr>
        <w:spacing w:after="0" w:line="88"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6"/>
          <w:szCs w:val="16"/>
          <w:color w:val="auto"/>
        </w:rPr>
        <w:t>DNA must be diluted in 10mM Tris/1mM EDTA.</w:t>
      </w:r>
    </w:p>
    <w:p>
      <w:pPr>
        <w:spacing w:after="0" w:line="130"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6"/>
          <w:szCs w:val="16"/>
          <w:color w:val="auto"/>
        </w:rPr>
        <w:t>A brief description of the DNA extraction protocol(s) should be included.</w:t>
      </w:r>
    </w:p>
    <w:p>
      <w:pPr>
        <w:spacing w:after="0" w:line="130" w:lineRule="exact"/>
        <w:rPr>
          <w:sz w:val="20"/>
          <w:szCs w:val="20"/>
          <w:color w:val="auto"/>
        </w:rPr>
      </w:pPr>
    </w:p>
    <w:p>
      <w:pPr>
        <w:ind w:left="2860" w:hanging="768"/>
        <w:spacing w:after="0" w:line="263" w:lineRule="auto"/>
        <w:tabs>
          <w:tab w:leader="none" w:pos="2840" w:val="left"/>
        </w:tabs>
        <w:rPr>
          <w:sz w:val="20"/>
          <w:szCs w:val="20"/>
          <w:color w:val="auto"/>
        </w:rPr>
      </w:pPr>
      <w:r>
        <w:rPr>
          <w:rFonts w:ascii="Arial" w:cs="Arial" w:eastAsia="Arial" w:hAnsi="Arial"/>
          <w:sz w:val="18"/>
          <w:szCs w:val="18"/>
          <w:b w:val="1"/>
          <w:bCs w:val="1"/>
          <w:color w:val="auto"/>
        </w:rPr>
        <w:t>5.2.5</w:t>
      </w:r>
      <w:r>
        <w:rPr>
          <w:sz w:val="20"/>
          <w:szCs w:val="20"/>
          <w:color w:val="auto"/>
        </w:rPr>
        <w:tab/>
      </w:r>
      <w:r>
        <w:rPr>
          <w:rFonts w:ascii="Arial" w:cs="Arial" w:eastAsia="Arial" w:hAnsi="Arial"/>
          <w:sz w:val="18"/>
          <w:szCs w:val="18"/>
          <w:color w:val="auto"/>
        </w:rPr>
        <w:t>As a preliminary test, we ask for a few representative samples. We evaluate these test DNAs for performance quality on the Illumina genotyping platform. These samples are not part of the project and will be destroyed once evaluated.</w:t>
      </w:r>
    </w:p>
    <w:p>
      <w:pPr>
        <w:spacing w:after="0" w:line="331" w:lineRule="exact"/>
        <w:rPr>
          <w:sz w:val="20"/>
          <w:szCs w:val="20"/>
          <w:color w:val="auto"/>
        </w:rPr>
      </w:pPr>
    </w:p>
    <w:tbl>
      <w:tblPr>
        <w:tblLayout w:type="fixed"/>
        <w:tblInd w:w="550" w:type="dxa"/>
        <w:tblCellMar>
          <w:top w:w="0" w:type="dxa"/>
          <w:left w:w="0" w:type="dxa"/>
          <w:bottom w:w="0" w:type="dxa"/>
          <w:right w:w="0" w:type="dxa"/>
        </w:tblCellMar>
      </w:tblPr>
      <w:tr>
        <w:trPr>
          <w:trHeight w:val="234"/>
        </w:trPr>
        <w:tc>
          <w:tcPr>
            <w:tcW w:w="860" w:type="dxa"/>
            <w:vAlign w:val="bottom"/>
          </w:tcPr>
          <w:p>
            <w:pPr>
              <w:jc w:val="right"/>
              <w:ind w:right="15"/>
              <w:spacing w:after="0"/>
              <w:rPr>
                <w:sz w:val="20"/>
                <w:szCs w:val="20"/>
                <w:color w:val="auto"/>
              </w:rPr>
            </w:pPr>
            <w:r>
              <w:rPr>
                <w:rFonts w:ascii="Arial" w:cs="Arial" w:eastAsia="Arial" w:hAnsi="Arial"/>
                <w:sz w:val="18"/>
                <w:szCs w:val="18"/>
                <w:b w:val="1"/>
                <w:bCs w:val="1"/>
                <w:color w:val="auto"/>
              </w:rPr>
              <w:t>5.3</w:t>
            </w:r>
          </w:p>
        </w:tc>
        <w:tc>
          <w:tcPr>
            <w:tcW w:w="4220" w:type="dxa"/>
            <w:vAlign w:val="bottom"/>
            <w:gridSpan w:val="2"/>
          </w:tcPr>
          <w:p>
            <w:pPr>
              <w:ind w:left="80"/>
              <w:spacing w:after="0"/>
              <w:rPr>
                <w:sz w:val="20"/>
                <w:szCs w:val="20"/>
                <w:color w:val="auto"/>
              </w:rPr>
            </w:pPr>
            <w:r>
              <w:rPr>
                <w:rFonts w:ascii="Arial" w:cs="Arial" w:eastAsia="Arial" w:hAnsi="Arial"/>
                <w:sz w:val="18"/>
                <w:szCs w:val="18"/>
                <w:b w:val="1"/>
                <w:bCs w:val="1"/>
                <w:color w:val="auto"/>
              </w:rPr>
              <w:t>DNARequirements</w:t>
            </w:r>
          </w:p>
        </w:tc>
        <w:tc>
          <w:tcPr>
            <w:tcW w:w="2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Assay</w:t>
            </w:r>
          </w:p>
        </w:tc>
        <w:tc>
          <w:tcPr>
            <w:tcW w:w="174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Project Type</w:t>
            </w:r>
          </w:p>
        </w:tc>
        <w:tc>
          <w:tcPr>
            <w:tcW w:w="2480" w:type="dxa"/>
            <w:vAlign w:val="bottom"/>
            <w:tcBorders>
              <w:right w:val="single" w:sz="8" w:color="auto"/>
            </w:tcBorders>
          </w:tcPr>
          <w:p>
            <w:pPr>
              <w:jc w:val="center"/>
              <w:ind w:left="79"/>
              <w:spacing w:after="0" w:line="129" w:lineRule="exact"/>
              <w:rPr>
                <w:sz w:val="20"/>
                <w:szCs w:val="20"/>
                <w:color w:val="auto"/>
              </w:rPr>
            </w:pPr>
            <w:r>
              <w:rPr>
                <w:rFonts w:ascii="Arial" w:cs="Arial" w:eastAsia="Arial" w:hAnsi="Arial"/>
                <w:sz w:val="14"/>
                <w:szCs w:val="14"/>
                <w:b w:val="1"/>
                <w:bCs w:val="1"/>
                <w:color w:val="auto"/>
                <w:w w:val="96"/>
              </w:rPr>
              <w:t>Min. µg per</w:t>
            </w:r>
          </w:p>
        </w:tc>
        <w:tc>
          <w:tcPr>
            <w:tcW w:w="2360" w:type="dxa"/>
            <w:vAlign w:val="bottom"/>
            <w:tcBorders>
              <w:right w:val="single" w:sz="8" w:color="auto"/>
            </w:tcBorders>
          </w:tcPr>
          <w:p>
            <w:pPr>
              <w:jc w:val="center"/>
              <w:ind w:left="39"/>
              <w:spacing w:after="0" w:line="129" w:lineRule="exact"/>
              <w:rPr>
                <w:sz w:val="20"/>
                <w:szCs w:val="20"/>
                <w:color w:val="auto"/>
              </w:rPr>
            </w:pPr>
            <w:r>
              <w:rPr>
                <w:rFonts w:ascii="Arial" w:cs="Arial" w:eastAsia="Arial" w:hAnsi="Arial"/>
                <w:sz w:val="14"/>
                <w:szCs w:val="14"/>
                <w:b w:val="1"/>
                <w:bCs w:val="1"/>
                <w:color w:val="auto"/>
              </w:rPr>
              <w:t>µL per</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bottom w:val="single" w:sz="8" w:color="auto"/>
            </w:tcBorders>
            <w:vMerge w:val="continue"/>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vMerge w:val="continue"/>
          </w:tcPr>
          <w:p>
            <w:pPr>
              <w:spacing w:after="0"/>
              <w:rPr>
                <w:sz w:val="15"/>
                <w:szCs w:val="15"/>
                <w:color w:val="auto"/>
              </w:rPr>
            </w:pPr>
          </w:p>
        </w:tc>
        <w:tc>
          <w:tcPr>
            <w:tcW w:w="248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1"/>
              </w:rPr>
              <w:t>sample</w:t>
            </w:r>
          </w:p>
        </w:tc>
        <w:tc>
          <w:tcPr>
            <w:tcW w:w="236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1"/>
              </w:rPr>
              <w:t>sample</w:t>
            </w: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Infinium</w:t>
            </w:r>
          </w:p>
        </w:tc>
        <w:tc>
          <w:tcPr>
            <w:tcW w:w="1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Test Samples</w:t>
            </w:r>
          </w:p>
        </w:tc>
        <w:tc>
          <w:tcPr>
            <w:tcW w:w="248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91"/>
              </w:rPr>
              <w:t>1.75</w:t>
            </w:r>
          </w:p>
        </w:tc>
        <w:tc>
          <w:tcPr>
            <w:tcW w:w="236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Infinium</w:t>
            </w:r>
          </w:p>
        </w:tc>
        <w:tc>
          <w:tcPr>
            <w:tcW w:w="1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Standard and iSelect</w:t>
            </w:r>
          </w:p>
        </w:tc>
        <w:tc>
          <w:tcPr>
            <w:tcW w:w="248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91"/>
              </w:rPr>
              <w:t>1.75</w:t>
            </w:r>
          </w:p>
        </w:tc>
        <w:tc>
          <w:tcPr>
            <w:tcW w:w="236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MicrotiterPlate Configuration</w:t>
      </w:r>
    </w:p>
    <w:p>
      <w:pPr>
        <w:spacing w:after="0" w:line="130"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5.4.1</w:t>
      </w:r>
      <w:r>
        <w:rPr>
          <w:sz w:val="20"/>
          <w:szCs w:val="20"/>
          <w:color w:val="auto"/>
        </w:rPr>
        <w:tab/>
      </w:r>
      <w:r>
        <w:rPr>
          <w:rFonts w:ascii="Arial" w:cs="Arial" w:eastAsia="Arial" w:hAnsi="Arial"/>
          <w:sz w:val="16"/>
          <w:szCs w:val="16"/>
          <w:color w:val="auto"/>
        </w:rPr>
        <w:t>Illumina will provide barcoded, midi plates with corresponding lids.</w:t>
      </w:r>
    </w:p>
    <w:p>
      <w:pPr>
        <w:spacing w:after="0" w:line="130"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6"/>
          <w:szCs w:val="16"/>
          <w:color w:val="auto"/>
        </w:rPr>
        <w:t>Wells A01 and Al2 must remain empty for Illumina DNA controls.</w:t>
      </w:r>
    </w:p>
    <w:p>
      <w:pPr>
        <w:spacing w:after="0" w:line="130" w:lineRule="exact"/>
        <w:rPr>
          <w:sz w:val="20"/>
          <w:szCs w:val="20"/>
          <w:color w:val="auto"/>
        </w:rPr>
      </w:pPr>
    </w:p>
    <w:p>
      <w:pPr>
        <w:ind w:left="2860" w:right="20" w:hanging="768"/>
        <w:spacing w:after="0" w:line="341" w:lineRule="auto"/>
        <w:tabs>
          <w:tab w:leader="none" w:pos="2840" w:val="left"/>
        </w:tabs>
        <w:rPr>
          <w:sz w:val="20"/>
          <w:szCs w:val="20"/>
          <w:color w:val="auto"/>
        </w:rPr>
      </w:pPr>
      <w:r>
        <w:rPr>
          <w:rFonts w:ascii="Arial" w:cs="Arial" w:eastAsia="Arial" w:hAnsi="Arial"/>
          <w:sz w:val="18"/>
          <w:szCs w:val="18"/>
          <w:b w:val="1"/>
          <w:bCs w:val="1"/>
          <w:color w:val="auto"/>
        </w:rPr>
        <w:t>5.4.3</w:t>
      </w:r>
      <w:r>
        <w:rPr>
          <w:sz w:val="20"/>
          <w:szCs w:val="20"/>
          <w:color w:val="auto"/>
        </w:rPr>
        <w:tab/>
      </w:r>
      <w:r>
        <w:rPr>
          <w:rFonts w:ascii="Arial" w:cs="Arial" w:eastAsia="Arial" w:hAnsi="Arial"/>
          <w:sz w:val="16"/>
          <w:szCs w:val="16"/>
          <w:color w:val="auto"/>
        </w:rPr>
        <w:t>The lids must be sealed tightly and completely. We suggest the use of devices such as the MJ Research Roller for Microseal Film; catalog number MSR-0001 or the Corning Storage Mat Applicator; catalog number 3081.</w:t>
      </w:r>
    </w:p>
    <w:p>
      <w:pPr>
        <w:spacing w:after="0" w:line="30" w:lineRule="exact"/>
        <w:rPr>
          <w:sz w:val="20"/>
          <w:szCs w:val="20"/>
          <w:color w:val="auto"/>
        </w:rPr>
      </w:pPr>
    </w:p>
    <w:p>
      <w:pPr>
        <w:ind w:left="2860" w:right="220" w:hanging="768"/>
        <w:spacing w:after="0" w:line="277" w:lineRule="auto"/>
        <w:tabs>
          <w:tab w:leader="none" w:pos="2840" w:val="left"/>
        </w:tabs>
        <w:rPr>
          <w:sz w:val="20"/>
          <w:szCs w:val="20"/>
          <w:color w:val="auto"/>
        </w:rPr>
      </w:pPr>
      <w:r>
        <w:rPr>
          <w:rFonts w:ascii="Arial" w:cs="Arial" w:eastAsia="Arial" w:hAnsi="Arial"/>
          <w:sz w:val="18"/>
          <w:szCs w:val="18"/>
          <w:b w:val="1"/>
          <w:bCs w:val="1"/>
          <w:color w:val="auto"/>
        </w:rPr>
        <w:t>5.4.4</w:t>
      </w:r>
      <w:r>
        <w:rPr>
          <w:sz w:val="20"/>
          <w:szCs w:val="20"/>
          <w:color w:val="auto"/>
        </w:rPr>
        <w:tab/>
      </w:r>
      <w:r>
        <w:rPr>
          <w:rFonts w:ascii="Arial" w:cs="Arial" w:eastAsia="Arial" w:hAnsi="Arial"/>
          <w:sz w:val="18"/>
          <w:szCs w:val="18"/>
          <w:color w:val="auto"/>
        </w:rPr>
        <w:t>Customer is responsible for maintaining a map of the DNA positions on each microtiter plate. The genotyping data will reference the barcode and well position of each DNA.</w:t>
      </w:r>
    </w:p>
    <w:p>
      <w:pPr>
        <w:spacing w:after="0" w:line="75" w:lineRule="exact"/>
        <w:rPr>
          <w:sz w:val="20"/>
          <w:szCs w:val="20"/>
          <w:color w:val="auto"/>
        </w:rPr>
      </w:pPr>
    </w:p>
    <w:p>
      <w:pPr>
        <w:ind w:left="2860" w:right="560" w:hanging="768"/>
        <w:spacing w:after="0" w:line="277" w:lineRule="auto"/>
        <w:tabs>
          <w:tab w:leader="none" w:pos="2840" w:val="left"/>
        </w:tabs>
        <w:rPr>
          <w:sz w:val="20"/>
          <w:szCs w:val="20"/>
          <w:color w:val="auto"/>
        </w:rPr>
      </w:pPr>
      <w:r>
        <w:rPr>
          <w:rFonts w:ascii="Arial" w:cs="Arial" w:eastAsia="Arial" w:hAnsi="Arial"/>
          <w:sz w:val="18"/>
          <w:szCs w:val="18"/>
          <w:b w:val="1"/>
          <w:bCs w:val="1"/>
          <w:color w:val="auto"/>
        </w:rPr>
        <w:t>5.4.5</w:t>
      </w:r>
      <w:r>
        <w:rPr>
          <w:sz w:val="20"/>
          <w:szCs w:val="20"/>
          <w:color w:val="auto"/>
        </w:rPr>
        <w:tab/>
      </w:r>
      <w:r>
        <w:rPr>
          <w:rFonts w:ascii="Arial" w:cs="Arial" w:eastAsia="Arial" w:hAnsi="Arial"/>
          <w:sz w:val="18"/>
          <w:szCs w:val="18"/>
          <w:color w:val="auto"/>
        </w:rPr>
        <w:t>DNA must be solidly frozen prior to packing and shipment, and remain frozen. Plates must be shipped on sufficient dry ice to ensure that the samples remain frozen.</w:t>
      </w:r>
    </w:p>
    <w:p>
      <w:pPr>
        <w:spacing w:after="0" w:line="75"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5.4.6</w:t>
      </w:r>
      <w:r>
        <w:rPr>
          <w:sz w:val="20"/>
          <w:szCs w:val="20"/>
          <w:color w:val="auto"/>
        </w:rPr>
        <w:tab/>
      </w:r>
      <w:r>
        <w:rPr>
          <w:rFonts w:ascii="Arial" w:cs="Arial" w:eastAsia="Arial" w:hAnsi="Arial"/>
          <w:sz w:val="16"/>
          <w:szCs w:val="16"/>
          <w:color w:val="auto"/>
        </w:rPr>
        <w:t>DNA should be shipped overnight express.</w:t>
      </w:r>
    </w:p>
    <w:p>
      <w:pPr>
        <w:spacing w:after="0" w:line="373"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IlluminaSNP Selection and Submission Requirements for Custom Genotyping Projects</w:t>
      </w:r>
    </w:p>
    <w:p>
      <w:pPr>
        <w:spacing w:after="0" w:line="130"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5.5.1</w:t>
      </w:r>
      <w:r>
        <w:rPr>
          <w:sz w:val="20"/>
          <w:szCs w:val="20"/>
          <w:color w:val="auto"/>
        </w:rPr>
        <w:tab/>
      </w:r>
      <w:r>
        <w:rPr>
          <w:rFonts w:ascii="Arial" w:cs="Arial" w:eastAsia="Arial" w:hAnsi="Arial"/>
          <w:sz w:val="16"/>
          <w:szCs w:val="16"/>
          <w:b w:val="1"/>
          <w:bCs w:val="1"/>
          <w:color w:val="auto"/>
        </w:rPr>
        <w:t>Illumina SNP Format Guidelines</w:t>
      </w:r>
    </w:p>
    <w:p>
      <w:pPr>
        <w:spacing w:after="0" w:line="121" w:lineRule="exact"/>
        <w:rPr>
          <w:sz w:val="20"/>
          <w:szCs w:val="20"/>
          <w:color w:val="auto"/>
        </w:rPr>
      </w:pPr>
    </w:p>
    <w:p>
      <w:pPr>
        <w:jc w:val="both"/>
        <w:ind w:left="2860" w:right="120"/>
        <w:spacing w:after="0" w:line="341" w:lineRule="auto"/>
        <w:rPr>
          <w:sz w:val="20"/>
          <w:szCs w:val="20"/>
          <w:color w:val="auto"/>
        </w:rPr>
      </w:pPr>
      <w:r>
        <w:rPr>
          <w:rFonts w:ascii="Arial" w:cs="Arial" w:eastAsia="Arial" w:hAnsi="Arial"/>
          <w:sz w:val="16"/>
          <w:szCs w:val="16"/>
          <w:color w:val="auto"/>
        </w:rPr>
        <w:t>Queries for SNP selection can be submitted to obtain designability information. In addition, for human studies, data from the currently supported dbSNP version will be returned. The following input file types are supported:</w:t>
      </w:r>
    </w:p>
    <w:p>
      <w:pPr>
        <w:spacing w:after="0" w:line="30"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5.5.1.1</w:t>
      </w:r>
      <w:r>
        <w:rPr>
          <w:sz w:val="20"/>
          <w:szCs w:val="20"/>
          <w:color w:val="auto"/>
        </w:rPr>
        <w:tab/>
      </w:r>
      <w:r>
        <w:rPr>
          <w:rFonts w:ascii="Arial" w:cs="Arial" w:eastAsia="Arial" w:hAnsi="Arial"/>
          <w:sz w:val="16"/>
          <w:szCs w:val="16"/>
          <w:color w:val="auto"/>
        </w:rPr>
        <w:t>SNP list. Customers can submit SNPs for human studies using the RS identifiers.</w:t>
      </w:r>
    </w:p>
    <w:p>
      <w:pPr>
        <w:spacing w:after="0" w:line="130" w:lineRule="exact"/>
        <w:rPr>
          <w:sz w:val="20"/>
          <w:szCs w:val="20"/>
          <w:color w:val="auto"/>
        </w:rPr>
      </w:pPr>
    </w:p>
    <w:p>
      <w:pPr>
        <w:ind w:left="3500" w:right="120" w:hanging="647"/>
        <w:spacing w:after="0" w:line="277" w:lineRule="auto"/>
        <w:tabs>
          <w:tab w:leader="none" w:pos="3480" w:val="left"/>
        </w:tabs>
        <w:rPr>
          <w:sz w:val="20"/>
          <w:szCs w:val="20"/>
          <w:color w:val="auto"/>
        </w:rPr>
      </w:pPr>
      <w:r>
        <w:rPr>
          <w:rFonts w:ascii="Arial" w:cs="Arial" w:eastAsia="Arial" w:hAnsi="Arial"/>
          <w:sz w:val="18"/>
          <w:szCs w:val="18"/>
          <w:color w:val="auto"/>
        </w:rPr>
        <w:t>5.5.1.2</w:t>
        <w:tab/>
        <w:t>Gene list. Gene lists (and distance upstream and downstream from the designated gene) can be used as an input to obtain a list of SNPs within the gene region for human studies.</w:t>
      </w:r>
    </w:p>
    <w:p>
      <w:pPr>
        <w:spacing w:after="0" w:line="75"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5.5.1.3</w:t>
      </w:r>
      <w:r>
        <w:rPr>
          <w:sz w:val="20"/>
          <w:szCs w:val="20"/>
          <w:color w:val="auto"/>
        </w:rPr>
        <w:tab/>
      </w:r>
      <w:r>
        <w:rPr>
          <w:rFonts w:ascii="Arial" w:cs="Arial" w:eastAsia="Arial" w:hAnsi="Arial"/>
          <w:sz w:val="16"/>
          <w:szCs w:val="16"/>
          <w:color w:val="auto"/>
        </w:rPr>
        <w:t>Region list. A list of markers that act as “start” and “stop” region identifiers</w:t>
      </w:r>
    </w:p>
    <w:p>
      <w:pPr>
        <w:spacing w:after="0" w:line="117" w:lineRule="exact"/>
        <w:rPr>
          <w:sz w:val="20"/>
          <w:szCs w:val="20"/>
          <w:color w:val="auto"/>
        </w:rPr>
      </w:pPr>
    </w:p>
    <w:p>
      <w:pPr>
        <w:ind w:left="3520" w:right="720"/>
        <w:spacing w:after="0" w:line="307" w:lineRule="auto"/>
        <w:rPr>
          <w:sz w:val="20"/>
          <w:szCs w:val="20"/>
          <w:color w:val="auto"/>
        </w:rPr>
      </w:pPr>
      <w:r>
        <w:rPr>
          <w:rFonts w:ascii="Arial" w:cs="Arial" w:eastAsia="Arial" w:hAnsi="Arial"/>
          <w:sz w:val="17"/>
          <w:szCs w:val="17"/>
          <w:color w:val="auto"/>
        </w:rPr>
        <w:t>can be used to query SNPs for human studies. As with the gene list, the distance upstream and downstream (in base pairs) can also be designated in the input format.</w:t>
      </w:r>
    </w:p>
    <w:p>
      <w:pPr>
        <w:sectPr>
          <w:pgSz w:w="11900" w:h="16838" w:orient="portrait"/>
          <w:cols w:equalWidth="0" w:num="1">
            <w:col w:w="11000"/>
          </w:cols>
          <w:pgMar w:left="460" w:top="270" w:right="4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161" w:lineRule="exact"/>
        <w:rPr>
          <w:sz w:val="20"/>
          <w:szCs w:val="20"/>
          <w:color w:val="auto"/>
        </w:rPr>
      </w:pPr>
    </w:p>
    <w:p>
      <w:pPr>
        <w:ind w:left="3500" w:right="20" w:hanging="647"/>
        <w:spacing w:after="0" w:line="275" w:lineRule="auto"/>
        <w:tabs>
          <w:tab w:leader="none" w:pos="3480" w:val="left"/>
        </w:tabs>
        <w:rPr>
          <w:sz w:val="20"/>
          <w:szCs w:val="20"/>
          <w:color w:val="auto"/>
        </w:rPr>
      </w:pPr>
      <w:r>
        <w:rPr>
          <w:rFonts w:ascii="Arial" w:cs="Arial" w:eastAsia="Arial" w:hAnsi="Arial"/>
          <w:sz w:val="18"/>
          <w:szCs w:val="18"/>
          <w:color w:val="auto"/>
        </w:rPr>
        <w:t>5.5.1.4</w:t>
      </w:r>
      <w:r>
        <w:rPr>
          <w:sz w:val="20"/>
          <w:szCs w:val="20"/>
          <w:color w:val="auto"/>
        </w:rPr>
        <w:tab/>
      </w:r>
      <w:r>
        <w:rPr>
          <w:rFonts w:ascii="Arial" w:cs="Arial" w:eastAsia="Arial" w:hAnsi="Arial"/>
          <w:sz w:val="17"/>
          <w:szCs w:val="17"/>
          <w:color w:val="auto"/>
        </w:rPr>
        <w:t>Sequence List. For human studies and a supported list of species (e.g., mouse, dog, chicken, ...), a list of sequences, chromosomal designations and coordinates can be input. Assays for non- supported species can be designed as well using this submission format. Sequence lists require the use of IUPAC code for any neighboring polymorphisms with the targeted SNP in brackets (e.g., [A/G]) with a minimum of 50bp of sequence on either side of the targeted SNP.</w:t>
      </w:r>
    </w:p>
    <w:p>
      <w:pPr>
        <w:spacing w:after="0" w:line="77"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5.5.2</w:t>
      </w:r>
      <w:r>
        <w:rPr>
          <w:sz w:val="20"/>
          <w:szCs w:val="20"/>
          <w:color w:val="auto"/>
        </w:rPr>
        <w:tab/>
      </w:r>
      <w:r>
        <w:rPr>
          <w:rFonts w:ascii="Arial" w:cs="Arial" w:eastAsia="Arial" w:hAnsi="Arial"/>
          <w:sz w:val="16"/>
          <w:szCs w:val="16"/>
          <w:b w:val="1"/>
          <w:bCs w:val="1"/>
          <w:color w:val="auto"/>
        </w:rPr>
        <w:t>SNP Selection Additional Support</w:t>
      </w:r>
    </w:p>
    <w:p>
      <w:pPr>
        <w:spacing w:after="0" w:line="121" w:lineRule="exact"/>
        <w:rPr>
          <w:sz w:val="20"/>
          <w:szCs w:val="20"/>
          <w:color w:val="auto"/>
        </w:rPr>
      </w:pPr>
    </w:p>
    <w:p>
      <w:pPr>
        <w:jc w:val="both"/>
        <w:ind w:left="2860" w:right="180"/>
        <w:spacing w:after="0" w:line="263" w:lineRule="auto"/>
        <w:rPr>
          <w:sz w:val="20"/>
          <w:szCs w:val="20"/>
          <w:color w:val="auto"/>
        </w:rPr>
      </w:pPr>
      <w:r>
        <w:rPr>
          <w:rFonts w:ascii="Arial" w:cs="Arial" w:eastAsia="Arial" w:hAnsi="Arial"/>
          <w:sz w:val="18"/>
          <w:szCs w:val="18"/>
          <w:color w:val="auto"/>
        </w:rPr>
        <w:t>In addition to data on designability and minor allele frequency provided through Illumina’s Assay Design Tool (ADT), Illumina’s Fast-Track Genotyping Services is able to provide the following additional support in SNP selection:</w:t>
      </w:r>
    </w:p>
    <w:p>
      <w:pPr>
        <w:spacing w:after="0" w:line="88" w:lineRule="exact"/>
        <w:rPr>
          <w:sz w:val="20"/>
          <w:szCs w:val="20"/>
          <w:color w:val="auto"/>
        </w:rPr>
      </w:pPr>
    </w:p>
    <w:p>
      <w:pPr>
        <w:jc w:val="both"/>
        <w:ind w:left="3500" w:hanging="647"/>
        <w:spacing w:after="0" w:line="286" w:lineRule="auto"/>
        <w:tabs>
          <w:tab w:leader="none" w:pos="3480" w:val="left"/>
        </w:tabs>
        <w:rPr>
          <w:sz w:val="20"/>
          <w:szCs w:val="20"/>
          <w:color w:val="auto"/>
        </w:rPr>
      </w:pPr>
      <w:r>
        <w:rPr>
          <w:rFonts w:ascii="Arial" w:cs="Arial" w:eastAsia="Arial" w:hAnsi="Arial"/>
          <w:sz w:val="18"/>
          <w:szCs w:val="18"/>
          <w:color w:val="auto"/>
        </w:rPr>
        <w:t>5.5.2.1</w:t>
      </w:r>
      <w:r>
        <w:rPr>
          <w:sz w:val="20"/>
          <w:szCs w:val="20"/>
          <w:color w:val="auto"/>
        </w:rPr>
        <w:tab/>
      </w:r>
      <w:r>
        <w:rPr>
          <w:rFonts w:ascii="Arial" w:cs="Arial" w:eastAsia="Arial" w:hAnsi="Arial"/>
          <w:sz w:val="17"/>
          <w:szCs w:val="17"/>
          <w:color w:val="auto"/>
        </w:rPr>
        <w:t>Tag Selection. We use genotype data from Phase I+II of the International HapMap Project to complete a tag selection. User inputs include overall regions to target, SNPs per bin (based on r^2 threshold), minor allele frequency minimum, and population of interest (CEU, CHB, JPT,YRI).</w:t>
      </w:r>
    </w:p>
    <w:p>
      <w:pPr>
        <w:spacing w:after="0" w:line="70"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5.5.2.2</w:t>
      </w:r>
      <w:r>
        <w:rPr>
          <w:sz w:val="20"/>
          <w:szCs w:val="20"/>
          <w:color w:val="auto"/>
        </w:rPr>
        <w:tab/>
      </w:r>
      <w:r>
        <w:rPr>
          <w:rFonts w:ascii="Arial" w:cs="Arial" w:eastAsia="Arial" w:hAnsi="Arial"/>
          <w:sz w:val="16"/>
          <w:szCs w:val="16"/>
          <w:color w:val="auto"/>
        </w:rPr>
        <w:t>Spacing Optimization. Illumina’s automated spacing selection tool can help target the SNPs within a list</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that give optimal spacing balanced with minor allele frequency (and, if desired, mandatory SNPs).</w:t>
      </w:r>
    </w:p>
    <w:p>
      <w:pPr>
        <w:spacing w:after="0" w:line="142" w:lineRule="exact"/>
        <w:rPr>
          <w:sz w:val="20"/>
          <w:szCs w:val="20"/>
          <w:color w:val="auto"/>
        </w:rPr>
      </w:pPr>
    </w:p>
    <w:p>
      <w:pPr>
        <w:ind w:left="3500" w:right="860" w:hanging="647"/>
        <w:spacing w:after="0" w:line="277" w:lineRule="auto"/>
        <w:tabs>
          <w:tab w:leader="none" w:pos="3480" w:val="left"/>
        </w:tabs>
        <w:rPr>
          <w:sz w:val="20"/>
          <w:szCs w:val="20"/>
          <w:color w:val="auto"/>
        </w:rPr>
      </w:pPr>
      <w:r>
        <w:rPr>
          <w:rFonts w:ascii="Arial" w:cs="Arial" w:eastAsia="Arial" w:hAnsi="Arial"/>
          <w:sz w:val="18"/>
          <w:szCs w:val="18"/>
          <w:color w:val="auto"/>
        </w:rPr>
        <w:t>5.5.2.3</w:t>
        <w:tab/>
        <w:t>Annotation. Illumina can provide annotation (contig, refseq genes, and distance to the closet intron/exon boundary on any RS list in human studies.</w:t>
      </w:r>
    </w:p>
    <w:p>
      <w:pPr>
        <w:spacing w:after="0" w:line="71"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5.5.3</w:t>
      </w:r>
      <w:r>
        <w:rPr>
          <w:sz w:val="20"/>
          <w:szCs w:val="20"/>
          <w:color w:val="auto"/>
        </w:rPr>
        <w:tab/>
      </w:r>
      <w:r>
        <w:rPr>
          <w:rFonts w:ascii="Arial" w:cs="Arial" w:eastAsia="Arial" w:hAnsi="Arial"/>
          <w:sz w:val="15"/>
          <w:szCs w:val="15"/>
          <w:b w:val="1"/>
          <w:bCs w:val="1"/>
          <w:color w:val="auto"/>
        </w:rPr>
        <w:t>SNP Analysis and Selection Process</w:t>
      </w:r>
    </w:p>
    <w:p>
      <w:pPr>
        <w:spacing w:after="0" w:line="121" w:lineRule="exact"/>
        <w:rPr>
          <w:sz w:val="20"/>
          <w:szCs w:val="20"/>
          <w:color w:val="auto"/>
        </w:rPr>
      </w:pPr>
    </w:p>
    <w:p>
      <w:pPr>
        <w:ind w:left="2860" w:right="200"/>
        <w:spacing w:after="0" w:line="277" w:lineRule="auto"/>
        <w:rPr>
          <w:sz w:val="20"/>
          <w:szCs w:val="20"/>
          <w:color w:val="auto"/>
        </w:rPr>
      </w:pPr>
      <w:r>
        <w:rPr>
          <w:rFonts w:ascii="Arial" w:cs="Arial" w:eastAsia="Arial" w:hAnsi="Arial"/>
          <w:sz w:val="18"/>
          <w:szCs w:val="18"/>
          <w:color w:val="auto"/>
        </w:rPr>
        <w:t>As part of the SNP selection process, SNP sequences are analyzed for assay fitness. Examples of some criteria considered for assay design ability include:</w:t>
      </w:r>
    </w:p>
    <w:p>
      <w:pPr>
        <w:spacing w:after="0" w:line="75"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5.5.3.1</w:t>
      </w:r>
      <w:r>
        <w:rPr>
          <w:sz w:val="20"/>
          <w:szCs w:val="20"/>
          <w:color w:val="auto"/>
        </w:rPr>
        <w:tab/>
      </w:r>
      <w:r>
        <w:rPr>
          <w:rFonts w:ascii="Arial" w:cs="Arial" w:eastAsia="Arial" w:hAnsi="Arial"/>
          <w:sz w:val="16"/>
          <w:szCs w:val="16"/>
          <w:color w:val="auto"/>
        </w:rPr>
        <w:t>The SNP sequences are not from duplicated sequences within the genome.</w:t>
      </w:r>
    </w:p>
    <w:p>
      <w:pPr>
        <w:spacing w:after="0" w:line="130"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5.5.3.2</w:t>
      </w:r>
      <w:r>
        <w:rPr>
          <w:sz w:val="20"/>
          <w:szCs w:val="20"/>
          <w:color w:val="auto"/>
        </w:rPr>
        <w:tab/>
      </w:r>
      <w:r>
        <w:rPr>
          <w:rFonts w:ascii="Arial" w:cs="Arial" w:eastAsia="Arial" w:hAnsi="Arial"/>
          <w:sz w:val="15"/>
          <w:szCs w:val="15"/>
          <w:color w:val="auto"/>
        </w:rPr>
        <w:t>The SNP sequence is not in a repeated element.</w:t>
      </w:r>
    </w:p>
    <w:p>
      <w:pPr>
        <w:spacing w:after="0" w:line="130"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5.5.3.3</w:t>
      </w:r>
      <w:r>
        <w:rPr>
          <w:sz w:val="20"/>
          <w:szCs w:val="20"/>
          <w:color w:val="auto"/>
        </w:rPr>
        <w:tab/>
      </w:r>
      <w:r>
        <w:rPr>
          <w:rFonts w:ascii="Arial" w:cs="Arial" w:eastAsia="Arial" w:hAnsi="Arial"/>
          <w:sz w:val="16"/>
          <w:szCs w:val="16"/>
          <w:color w:val="auto"/>
        </w:rPr>
        <w:t>The AT and GC content is acceptable.</w:t>
      </w:r>
    </w:p>
    <w:p>
      <w:pPr>
        <w:spacing w:after="0" w:line="130" w:lineRule="exact"/>
        <w:rPr>
          <w:sz w:val="20"/>
          <w:szCs w:val="20"/>
          <w:color w:val="auto"/>
        </w:rPr>
      </w:pPr>
    </w:p>
    <w:p>
      <w:pPr>
        <w:ind w:left="2860"/>
        <w:spacing w:after="0"/>
        <w:tabs>
          <w:tab w:leader="none" w:pos="3480" w:val="left"/>
        </w:tabs>
        <w:rPr>
          <w:sz w:val="20"/>
          <w:szCs w:val="20"/>
          <w:color w:val="auto"/>
        </w:rPr>
      </w:pPr>
      <w:r>
        <w:rPr>
          <w:rFonts w:ascii="Arial" w:cs="Arial" w:eastAsia="Arial" w:hAnsi="Arial"/>
          <w:sz w:val="18"/>
          <w:szCs w:val="18"/>
          <w:color w:val="auto"/>
        </w:rPr>
        <w:t>5.5.3.4</w:t>
      </w:r>
      <w:r>
        <w:rPr>
          <w:sz w:val="20"/>
          <w:szCs w:val="20"/>
          <w:color w:val="auto"/>
        </w:rPr>
        <w:tab/>
      </w:r>
      <w:r>
        <w:rPr>
          <w:rFonts w:ascii="Arial" w:cs="Arial" w:eastAsia="Arial" w:hAnsi="Arial"/>
          <w:sz w:val="16"/>
          <w:szCs w:val="16"/>
          <w:color w:val="auto"/>
        </w:rPr>
        <w:t>Tm is acceptable.</w:t>
      </w:r>
    </w:p>
    <w:p>
      <w:pPr>
        <w:spacing w:after="0" w:line="126" w:lineRule="exact"/>
        <w:rPr>
          <w:sz w:val="20"/>
          <w:szCs w:val="20"/>
          <w:color w:val="auto"/>
        </w:rPr>
      </w:pPr>
    </w:p>
    <w:p>
      <w:pPr>
        <w:ind w:left="2080"/>
        <w:spacing w:after="0"/>
        <w:tabs>
          <w:tab w:leader="none" w:pos="2840" w:val="left"/>
        </w:tabs>
        <w:rPr>
          <w:sz w:val="20"/>
          <w:szCs w:val="20"/>
          <w:color w:val="auto"/>
        </w:rPr>
      </w:pPr>
      <w:r>
        <w:rPr>
          <w:rFonts w:ascii="Arial" w:cs="Arial" w:eastAsia="Arial" w:hAnsi="Arial"/>
          <w:sz w:val="18"/>
          <w:szCs w:val="18"/>
          <w:b w:val="1"/>
          <w:bCs w:val="1"/>
          <w:color w:val="auto"/>
        </w:rPr>
        <w:t>5.5.4</w:t>
      </w:r>
      <w:r>
        <w:rPr>
          <w:sz w:val="20"/>
          <w:szCs w:val="20"/>
          <w:color w:val="auto"/>
        </w:rPr>
        <w:tab/>
      </w:r>
      <w:r>
        <w:rPr>
          <w:rFonts w:ascii="Arial" w:cs="Arial" w:eastAsia="Arial" w:hAnsi="Arial"/>
          <w:sz w:val="16"/>
          <w:szCs w:val="16"/>
          <w:b w:val="1"/>
          <w:bCs w:val="1"/>
          <w:color w:val="auto"/>
        </w:rPr>
        <w:t>A note regarding iSelect Custom Infinium SNP selection</w:t>
      </w:r>
    </w:p>
    <w:p>
      <w:pPr>
        <w:spacing w:after="0" w:line="121" w:lineRule="exact"/>
        <w:rPr>
          <w:sz w:val="20"/>
          <w:szCs w:val="20"/>
          <w:color w:val="auto"/>
        </w:rPr>
      </w:pPr>
    </w:p>
    <w:p>
      <w:pPr>
        <w:ind w:left="2860" w:right="380"/>
        <w:spacing w:after="0" w:line="277" w:lineRule="auto"/>
        <w:rPr>
          <w:sz w:val="20"/>
          <w:szCs w:val="20"/>
          <w:color w:val="auto"/>
        </w:rPr>
      </w:pPr>
      <w:r>
        <w:rPr>
          <w:rFonts w:ascii="Arial" w:cs="Arial" w:eastAsia="Arial" w:hAnsi="Arial"/>
          <w:sz w:val="18"/>
          <w:szCs w:val="18"/>
          <w:color w:val="auto"/>
        </w:rPr>
        <w:t>All SNP classes use the Infinium chemistry. The following SNPs require a minimum of one bead type: A/C, A/G, T/C, and T/G. SNPs requiring two bead types include A/T and C/G SNPs</w:t>
      </w:r>
    </w:p>
    <w:p>
      <w:pPr>
        <w:spacing w:after="0" w:line="62" w:lineRule="exact"/>
        <w:rPr>
          <w:sz w:val="20"/>
          <w:szCs w:val="20"/>
          <w:color w:val="auto"/>
        </w:rPr>
      </w:pPr>
    </w:p>
    <w:p>
      <w:pPr>
        <w:ind w:left="2860" w:right="200"/>
        <w:spacing w:after="0" w:line="259" w:lineRule="auto"/>
        <w:rPr>
          <w:sz w:val="20"/>
          <w:szCs w:val="20"/>
          <w:color w:val="auto"/>
        </w:rPr>
      </w:pPr>
      <w:r>
        <w:rPr>
          <w:rFonts w:ascii="Arial" w:cs="Arial" w:eastAsia="Arial" w:hAnsi="Arial"/>
          <w:sz w:val="18"/>
          <w:szCs w:val="18"/>
          <w:color w:val="auto"/>
        </w:rPr>
        <w:t>After analysis Customer will receive a file of the markers and their design score for the Illumina assay along with minor allele frequency and any additional supported information requested (e.g., annotation or tag selection) when available. The Customer will be given the opportunity to review, approve and edit the selected SNPs.</w:t>
      </w:r>
    </w:p>
    <w:p>
      <w:pPr>
        <w:spacing w:after="0" w:line="78" w:lineRule="exact"/>
        <w:rPr>
          <w:sz w:val="20"/>
          <w:szCs w:val="20"/>
          <w:color w:val="auto"/>
        </w:rPr>
      </w:pPr>
    </w:p>
    <w:p>
      <w:pPr>
        <w:jc w:val="both"/>
        <w:ind w:left="2860" w:right="120"/>
        <w:spacing w:after="0" w:line="263" w:lineRule="auto"/>
        <w:rPr>
          <w:sz w:val="20"/>
          <w:szCs w:val="20"/>
          <w:color w:val="auto"/>
        </w:rPr>
      </w:pPr>
      <w:r>
        <w:rPr>
          <w:rFonts w:ascii="Arial" w:cs="Arial" w:eastAsia="Arial" w:hAnsi="Arial"/>
          <w:sz w:val="18"/>
          <w:szCs w:val="18"/>
          <w:color w:val="auto"/>
        </w:rPr>
        <w:t>After Customer approval of the SNPs, oligo manufacturing will begin. The number of SNPs present in the final data set will depend on the assay conversion rate. It is expected that some assays will fail, and therefore no data will be delivered for these SNPs.</w:t>
      </w:r>
    </w:p>
    <w:p>
      <w:pPr>
        <w:spacing w:after="0" w:line="75" w:lineRule="exact"/>
        <w:rPr>
          <w:sz w:val="20"/>
          <w:szCs w:val="20"/>
          <w:color w:val="auto"/>
        </w:rPr>
      </w:pPr>
    </w:p>
    <w:p>
      <w:pPr>
        <w:ind w:left="2860" w:right="40"/>
        <w:spacing w:after="0" w:line="301" w:lineRule="auto"/>
        <w:rPr>
          <w:sz w:val="20"/>
          <w:szCs w:val="20"/>
          <w:color w:val="auto"/>
        </w:rPr>
      </w:pPr>
      <w:r>
        <w:rPr>
          <w:rFonts w:ascii="Arial" w:cs="Arial" w:eastAsia="Arial" w:hAnsi="Arial"/>
          <w:sz w:val="16"/>
          <w:szCs w:val="16"/>
          <w:color w:val="auto"/>
        </w:rPr>
        <w:t>For Custom Infinium projects, the minimum manufacturing locus conversion rate is 80%. The assay success rate depends on the markers that are selected during the design phase. If a majority of chosen markers have previously been validated on the Infinium platform (design score of 1.1) the final locus conversion rate may be very high. Selected markers with low design scores will however reduce the locus conversion rate.</w:t>
      </w:r>
    </w:p>
    <w:p>
      <w:pPr>
        <w:sectPr>
          <w:pgSz w:w="11900" w:h="16838" w:orient="portrait"/>
          <w:cols w:equalWidth="0" w:num="1">
            <w:col w:w="11000"/>
          </w:cols>
          <w:pgMar w:left="460" w:top="270" w:right="439" w:bottom="1440" w:gutter="0" w:footer="0" w:header="0"/>
        </w:sectPr>
      </w:pPr>
    </w:p>
    <w:bookmarkStart w:id="589" w:name="page590"/>
    <w:bookmarkEnd w:id="589"/>
    <w:p>
      <w:pPr>
        <w:ind w:left="9990"/>
        <w:spacing w:after="0"/>
        <w:rPr>
          <w:sz w:val="20"/>
          <w:szCs w:val="20"/>
          <w:color w:val="auto"/>
        </w:rPr>
      </w:pPr>
      <w:r>
        <w:rPr>
          <w:rFonts w:ascii="Arial" w:cs="Arial" w:eastAsia="Arial" w:hAnsi="Arial"/>
          <w:sz w:val="17"/>
          <w:szCs w:val="17"/>
          <w:b w:val="1"/>
          <w:bCs w:val="1"/>
          <w:color w:val="auto"/>
        </w:rPr>
        <w:t>Exhibit 10.14</w:t>
      </w:r>
    </w:p>
    <w:p>
      <w:pPr>
        <w:spacing w:after="0" w:line="236" w:lineRule="exact"/>
        <w:rPr>
          <w:sz w:val="20"/>
          <w:szCs w:val="20"/>
          <w:color w:val="auto"/>
        </w:rPr>
      </w:pPr>
    </w:p>
    <w:p>
      <w:pPr>
        <w:ind w:left="10" w:right="340" w:hanging="10"/>
        <w:spacing w:after="0" w:line="281" w:lineRule="auto"/>
        <w:tabs>
          <w:tab w:leader="none" w:pos="444"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379"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color w:val="auto"/>
        </w:rPr>
        <w:t>PRICING AGREEMENT</w:t>
      </w:r>
    </w:p>
    <w:p>
      <w:pPr>
        <w:spacing w:after="0" w:line="229" w:lineRule="exact"/>
        <w:rPr>
          <w:sz w:val="20"/>
          <w:szCs w:val="20"/>
          <w:color w:val="auto"/>
        </w:rPr>
      </w:pPr>
    </w:p>
    <w:p>
      <w:pPr>
        <w:ind w:left="10" w:right="360"/>
        <w:spacing w:after="0" w:line="259" w:lineRule="auto"/>
        <w:rPr>
          <w:sz w:val="20"/>
          <w:szCs w:val="20"/>
          <w:color w:val="auto"/>
        </w:rPr>
      </w:pPr>
      <w:r>
        <w:rPr>
          <w:rFonts w:ascii="Arial" w:cs="Arial" w:eastAsia="Arial" w:hAnsi="Arial"/>
          <w:sz w:val="18"/>
          <w:szCs w:val="18"/>
          <w:color w:val="auto"/>
        </w:rPr>
        <w:t>This Pricing Agreement (“Agreement”) is entered into as of the date of last signature (“Effective Date”) by and between Personalis, Inc. (hereinafter “Personalis”), a California corporation, having a place of business at 1330 Obrien Dr., Menlo Park CA 94025-1436, and Illumina, Inc., a Delaware corporation, having a place of business at 5200 IIlumina Way, San Diego, CA 92122 (hereinafter “Seller”) referred to individually as “Party” and collectively as “Parties.”</w:t>
      </w:r>
    </w:p>
    <w:p>
      <w:pPr>
        <w:spacing w:after="0" w:line="186" w:lineRule="exact"/>
        <w:rPr>
          <w:sz w:val="20"/>
          <w:szCs w:val="20"/>
          <w:color w:val="auto"/>
        </w:rPr>
      </w:pPr>
    </w:p>
    <w:p>
      <w:pPr>
        <w:ind w:left="10" w:right="100" w:firstLine="440"/>
        <w:spacing w:after="0" w:line="277" w:lineRule="auto"/>
        <w:rPr>
          <w:sz w:val="20"/>
          <w:szCs w:val="20"/>
          <w:color w:val="auto"/>
        </w:rPr>
      </w:pPr>
      <w:r>
        <w:rPr>
          <w:rFonts w:ascii="Arial" w:cs="Arial" w:eastAsia="Arial" w:hAnsi="Arial"/>
          <w:sz w:val="18"/>
          <w:szCs w:val="18"/>
          <w:color w:val="auto"/>
        </w:rPr>
        <w:t>WHEREAS, Personalis has requested from Seller certain product pricing, with such pricing to become effective if and when the products become commercially available; and</w:t>
      </w:r>
    </w:p>
    <w:p>
      <w:pPr>
        <w:spacing w:after="0" w:line="170" w:lineRule="exact"/>
        <w:rPr>
          <w:sz w:val="20"/>
          <w:szCs w:val="20"/>
          <w:color w:val="auto"/>
        </w:rPr>
      </w:pPr>
    </w:p>
    <w:p>
      <w:pPr>
        <w:ind w:left="10" w:right="520" w:firstLine="440"/>
        <w:spacing w:after="0" w:line="277" w:lineRule="auto"/>
        <w:rPr>
          <w:sz w:val="20"/>
          <w:szCs w:val="20"/>
          <w:color w:val="auto"/>
        </w:rPr>
      </w:pPr>
      <w:r>
        <w:rPr>
          <w:rFonts w:ascii="Arial" w:cs="Arial" w:eastAsia="Arial" w:hAnsi="Arial"/>
          <w:sz w:val="18"/>
          <w:szCs w:val="18"/>
          <w:color w:val="auto"/>
        </w:rPr>
        <w:t>WHEREAS, Seller has provided such product pricing to Personalis, with such pricing to become effective if and when the products become commercially available;</w:t>
      </w:r>
    </w:p>
    <w:p>
      <w:pPr>
        <w:spacing w:after="0" w:line="170" w:lineRule="exact"/>
        <w:rPr>
          <w:sz w:val="20"/>
          <w:szCs w:val="20"/>
          <w:color w:val="auto"/>
        </w:rPr>
      </w:pPr>
    </w:p>
    <w:p>
      <w:pPr>
        <w:ind w:left="10" w:right="140"/>
        <w:spacing w:after="0" w:line="277" w:lineRule="auto"/>
        <w:rPr>
          <w:sz w:val="20"/>
          <w:szCs w:val="20"/>
          <w:color w:val="auto"/>
        </w:rPr>
      </w:pPr>
      <w:r>
        <w:rPr>
          <w:rFonts w:ascii="Arial" w:cs="Arial" w:eastAsia="Arial" w:hAnsi="Arial"/>
          <w:sz w:val="18"/>
          <w:szCs w:val="18"/>
          <w:color w:val="auto"/>
        </w:rPr>
        <w:t>NOW THEREFORE, in consideration of the mutual promises set forth herein, the Parties hereby agree to the terms and conditions of the Agreement as follows:</w:t>
      </w:r>
    </w:p>
    <w:p>
      <w:pPr>
        <w:spacing w:after="0" w:line="193" w:lineRule="exact"/>
        <w:rPr>
          <w:sz w:val="20"/>
          <w:szCs w:val="20"/>
          <w:color w:val="auto"/>
        </w:rPr>
      </w:pPr>
    </w:p>
    <w:p>
      <w:pPr>
        <w:ind w:left="870" w:hanging="438"/>
        <w:spacing w:after="0"/>
        <w:tabs>
          <w:tab w:leader="none" w:pos="87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Products and Pricing</w:t>
      </w:r>
    </w:p>
    <w:p>
      <w:pPr>
        <w:spacing w:after="0" w:line="121" w:lineRule="exact"/>
        <w:rPr>
          <w:sz w:val="20"/>
          <w:szCs w:val="20"/>
          <w:color w:val="auto"/>
        </w:rPr>
      </w:pPr>
    </w:p>
    <w:p>
      <w:pPr>
        <w:ind w:left="10" w:right="140"/>
        <w:spacing w:after="0" w:line="277" w:lineRule="auto"/>
        <w:rPr>
          <w:sz w:val="20"/>
          <w:szCs w:val="20"/>
          <w:color w:val="auto"/>
        </w:rPr>
      </w:pPr>
      <w:r>
        <w:rPr>
          <w:rFonts w:ascii="Arial" w:cs="Arial" w:eastAsia="Arial" w:hAnsi="Arial"/>
          <w:sz w:val="18"/>
          <w:szCs w:val="18"/>
          <w:color w:val="auto"/>
        </w:rPr>
        <w:t>If and when the Product is made commercially available, the Product shall be made available to Personalis for purchase pursuant to the pricing listed in Table 1.0.</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“Product” or “Kit” means NovaSeg</w:t>
      </w:r>
      <w:r>
        <w:rPr>
          <w:rFonts w:ascii="Arial" w:cs="Arial" w:eastAsia="Arial" w:hAnsi="Arial"/>
          <w:sz w:val="15"/>
          <w:szCs w:val="15"/>
          <w:color w:val="auto"/>
        </w:rPr>
        <w:t>™</w:t>
      </w:r>
      <w:r>
        <w:rPr>
          <w:rFonts w:ascii="Arial" w:cs="Arial" w:eastAsia="Arial" w:hAnsi="Arial"/>
          <w:sz w:val="18"/>
          <w:szCs w:val="18"/>
          <w:color w:val="auto"/>
        </w:rPr>
        <w:t xml:space="preserve"> 5000/6000 S4 Reagent Kit (300 cycles) (Catalog number to be determined)</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“Fiscal Year” or “FY” means January 1 through December 31 of the current calendar year (as defined in Table 1.0).</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Table 1.0</w:t>
      </w:r>
    </w:p>
    <w:p>
      <w:pPr>
        <w:spacing w:after="0" w:line="257" w:lineRule="exact"/>
        <w:rPr>
          <w:sz w:val="20"/>
          <w:szCs w:val="20"/>
          <w:color w:val="auto"/>
        </w:rPr>
      </w:pPr>
    </w:p>
    <w:p>
      <w:pPr>
        <w:ind w:left="150"/>
        <w:spacing w:after="0"/>
        <w:rPr>
          <w:sz w:val="20"/>
          <w:szCs w:val="20"/>
          <w:color w:val="auto"/>
        </w:rPr>
      </w:pPr>
      <w:r>
        <w:rPr>
          <w:rFonts w:ascii="Arial" w:cs="Arial" w:eastAsia="Arial" w:hAnsi="Arial"/>
          <w:sz w:val="14"/>
          <w:szCs w:val="14"/>
          <w:b w:val="1"/>
          <w:bCs w:val="1"/>
          <w:color w:val="auto"/>
        </w:rPr>
        <w:t>Pricing per Kit Based on Volume Commitment For Fiscal Year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8335" cy="19361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998335" cy="193611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19"/>
        </w:trPr>
        <w:tc>
          <w:tcPr>
            <w:tcW w:w="1880" w:type="dxa"/>
            <w:vAlign w:val="bottom"/>
            <w:tcBorders>
              <w:top w:val="single" w:sz="8" w:color="auto"/>
              <w:right w:val="single" w:sz="8" w:color="auto"/>
            </w:tcBorders>
          </w:tcPr>
          <w:p>
            <w:pPr>
              <w:jc w:val="right"/>
              <w:ind w:right="453"/>
              <w:spacing w:after="0" w:line="119" w:lineRule="exact"/>
              <w:rPr>
                <w:sz w:val="20"/>
                <w:szCs w:val="20"/>
                <w:color w:val="auto"/>
              </w:rPr>
            </w:pPr>
            <w:r>
              <w:rPr>
                <w:rFonts w:ascii="Arial" w:cs="Arial" w:eastAsia="Arial" w:hAnsi="Arial"/>
                <w:sz w:val="13"/>
                <w:szCs w:val="13"/>
                <w:b w:val="1"/>
                <w:bCs w:val="1"/>
                <w:color w:val="auto"/>
              </w:rPr>
              <w:t>Number of</w:t>
            </w:r>
          </w:p>
        </w:tc>
        <w:tc>
          <w:tcPr>
            <w:tcW w:w="1580" w:type="dxa"/>
            <w:vAlign w:val="bottom"/>
            <w:tcBorders>
              <w:top w:val="single" w:sz="8" w:color="auto"/>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 S4 Kits</w:t>
            </w:r>
          </w:p>
        </w:tc>
        <w:tc>
          <w:tcPr>
            <w:tcW w:w="1520" w:type="dxa"/>
            <w:vAlign w:val="bottom"/>
            <w:tcBorders>
              <w:top w:val="single" w:sz="8" w:color="auto"/>
              <w:right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10/11/17 -</w:t>
            </w:r>
          </w:p>
        </w:tc>
        <w:tc>
          <w:tcPr>
            <w:tcW w:w="1540" w:type="dxa"/>
            <w:vAlign w:val="bottom"/>
            <w:tcBorders>
              <w:top w:val="single" w:sz="8" w:color="auto"/>
              <w:right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07/01/19 -</w:t>
            </w:r>
          </w:p>
        </w:tc>
        <w:tc>
          <w:tcPr>
            <w:tcW w:w="1540" w:type="dxa"/>
            <w:vAlign w:val="bottom"/>
            <w:tcBorders>
              <w:top w:val="single" w:sz="8" w:color="auto"/>
              <w:right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01/01/20 -</w:t>
            </w:r>
          </w:p>
        </w:tc>
        <w:tc>
          <w:tcPr>
            <w:tcW w:w="1540" w:type="dxa"/>
            <w:vAlign w:val="bottom"/>
            <w:tcBorders>
              <w:top w:val="single" w:sz="8" w:color="auto"/>
              <w:right w:val="single" w:sz="8" w:color="auto"/>
            </w:tcBorders>
          </w:tcPr>
          <w:p>
            <w:pPr>
              <w:jc w:val="right"/>
              <w:ind w:right="373"/>
              <w:spacing w:after="0" w:line="119" w:lineRule="exact"/>
              <w:rPr>
                <w:sz w:val="20"/>
                <w:szCs w:val="20"/>
                <w:color w:val="auto"/>
              </w:rPr>
            </w:pPr>
            <w:r>
              <w:rPr>
                <w:rFonts w:ascii="Arial" w:cs="Arial" w:eastAsia="Arial" w:hAnsi="Arial"/>
                <w:sz w:val="13"/>
                <w:szCs w:val="13"/>
                <w:b w:val="1"/>
                <w:bCs w:val="1"/>
                <w:color w:val="auto"/>
              </w:rPr>
              <w:t>01/01/21-</w:t>
            </w:r>
          </w:p>
        </w:tc>
        <w:tc>
          <w:tcPr>
            <w:tcW w:w="142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01/01/22 -</w:t>
            </w:r>
          </w:p>
        </w:tc>
        <w:tc>
          <w:tcPr>
            <w:tcW w:w="0" w:type="dxa"/>
            <w:vAlign w:val="bottom"/>
          </w:tcPr>
          <w:p>
            <w:pPr>
              <w:spacing w:after="0"/>
              <w:rPr>
                <w:sz w:val="1"/>
                <w:szCs w:val="1"/>
                <w:color w:val="auto"/>
              </w:rPr>
            </w:pPr>
          </w:p>
        </w:tc>
      </w:tr>
      <w:tr>
        <w:trPr>
          <w:trHeight w:val="119"/>
        </w:trPr>
        <w:tc>
          <w:tcPr>
            <w:tcW w:w="1880" w:type="dxa"/>
            <w:vAlign w:val="bottom"/>
            <w:tcBorders>
              <w:right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Genomes</w:t>
            </w: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06/30/19</w:t>
            </w:r>
          </w:p>
        </w:tc>
        <w:tc>
          <w:tcPr>
            <w:tcW w:w="1540" w:type="dxa"/>
            <w:vAlign w:val="bottom"/>
            <w:tcBorders>
              <w:right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12/31/19</w:t>
            </w:r>
          </w:p>
        </w:tc>
        <w:tc>
          <w:tcPr>
            <w:tcW w:w="1540" w:type="dxa"/>
            <w:vAlign w:val="bottom"/>
            <w:tcBorders>
              <w:right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12/31/20</w:t>
            </w:r>
          </w:p>
        </w:tc>
        <w:tc>
          <w:tcPr>
            <w:tcW w:w="1540" w:type="dxa"/>
            <w:vAlign w:val="bottom"/>
            <w:tcBorders>
              <w:right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12/31/21</w:t>
            </w:r>
          </w:p>
        </w:tc>
        <w:tc>
          <w:tcPr>
            <w:tcW w:w="14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12/31/22</w:t>
            </w:r>
          </w:p>
        </w:tc>
        <w:tc>
          <w:tcPr>
            <w:tcW w:w="0" w:type="dxa"/>
            <w:vAlign w:val="bottom"/>
          </w:tcPr>
          <w:p>
            <w:pPr>
              <w:spacing w:after="0"/>
              <w:rPr>
                <w:sz w:val="1"/>
                <w:szCs w:val="1"/>
                <w:color w:val="auto"/>
              </w:rPr>
            </w:pPr>
          </w:p>
        </w:tc>
      </w:tr>
      <w:tr>
        <w:trPr>
          <w:trHeight w:val="66"/>
        </w:trPr>
        <w:tc>
          <w:tcPr>
            <w:tcW w:w="1880" w:type="dxa"/>
            <w:vAlign w:val="bottom"/>
            <w:tcBorders>
              <w:bottom w:val="single" w:sz="8" w:color="auto"/>
              <w:right w:val="single" w:sz="8" w:color="auto"/>
            </w:tcBorders>
            <w:vMerge w:val="continue"/>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vMerge w:val="continue"/>
          </w:tcPr>
          <w:p>
            <w:pPr>
              <w:spacing w:after="0"/>
              <w:rPr>
                <w:sz w:val="5"/>
                <w:szCs w:val="5"/>
                <w:color w:val="auto"/>
              </w:rPr>
            </w:pPr>
          </w:p>
        </w:tc>
        <w:tc>
          <w:tcPr>
            <w:tcW w:w="1540" w:type="dxa"/>
            <w:vAlign w:val="bottom"/>
            <w:tcBorders>
              <w:bottom w:val="single" w:sz="8" w:color="auto"/>
              <w:right w:val="single" w:sz="8" w:color="auto"/>
            </w:tcBorders>
            <w:vMerge w:val="continue"/>
          </w:tcPr>
          <w:p>
            <w:pPr>
              <w:spacing w:after="0"/>
              <w:rPr>
                <w:sz w:val="5"/>
                <w:szCs w:val="5"/>
                <w:color w:val="auto"/>
              </w:rPr>
            </w:pPr>
          </w:p>
        </w:tc>
        <w:tc>
          <w:tcPr>
            <w:tcW w:w="1540" w:type="dxa"/>
            <w:vAlign w:val="bottom"/>
            <w:tcBorders>
              <w:bottom w:val="single" w:sz="8" w:color="auto"/>
              <w:right w:val="single" w:sz="8" w:color="auto"/>
            </w:tcBorders>
            <w:vMerge w:val="continue"/>
          </w:tcPr>
          <w:p>
            <w:pPr>
              <w:spacing w:after="0"/>
              <w:rPr>
                <w:sz w:val="5"/>
                <w:szCs w:val="5"/>
                <w:color w:val="auto"/>
              </w:rPr>
            </w:pPr>
          </w:p>
        </w:tc>
        <w:tc>
          <w:tcPr>
            <w:tcW w:w="1540" w:type="dxa"/>
            <w:vAlign w:val="bottom"/>
            <w:tcBorders>
              <w:bottom w:val="single" w:sz="8" w:color="auto"/>
              <w:right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30"/>
          </w:cols>
          <w:pgMar w:left="450" w:top="122" w:right="419" w:bottom="1440" w:gutter="0" w:footer="0" w:header="0"/>
        </w:sectPr>
      </w:pPr>
    </w:p>
    <w:bookmarkStart w:id="590" w:name="page591"/>
    <w:bookmarkEnd w:id="590"/>
    <w:p>
      <w:pPr>
        <w:ind w:right="3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when the Product is made commercially available, and on an annual basis thereafter, Seller will issue Personalis an annual standing quote that will represent pricing for the Products made available to Personalis, consistent with Table 1.0 for the applicable Fiscal Year (“Annual Standing Quote”). The Annual Standing Quote will be valid during the Fiscal Year. With respect to such Annual Standing Quote, for Products shipped during each Fiscal Year referenced in Table 1.0, Illumina shall make available to Customer the price corresponding to the number of Kits for which Customer has committed to Illumina that Customer would purchase and take delivery of during such Fiscal Year (“Purchase Commitment”). Purchase orders for Products shall be issued against the appropriate standing quote provided by Seller to Personalis. In the event Customer does not meet the applicable Purchase Commitment for a Fiscal Year, Customer may opt for (i) Customer to take delivery of and pay Illumina for additional Kits such that Customer meets the applicable Purchase Commitment, or (ii) Illumina to invoice Customer and Customer shall pay to Illumina the difference between the pricing that Illumina made available to Customer during the applicable Fiscal Year and the pricing Customer should have received based on the actual purchases of Kits during the applicable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Pricing offered in Table 1.0 is conditioned upon the following: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p>
      <w:pPr>
        <w:ind w:left="860" w:hanging="438"/>
        <w:spacing w:after="0"/>
        <w:tabs>
          <w:tab w:leader="none" w:pos="86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and when the Product is made commercially available, the Product shall be made available to Personalis for purchase exclusively pursuant to Seller’s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then-current terms and conditions located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https://www.illumina.com/content/dam/illumina-marketing/documents/terms-conditions/united-states/usa-terms-and-conditions-of-sale-general.pdf.</w:t>
      </w:r>
    </w:p>
    <w:p>
      <w:pPr>
        <w:spacing w:after="0" w:line="378" w:lineRule="exact"/>
        <w:rPr>
          <w:sz w:val="20"/>
          <w:szCs w:val="20"/>
          <w:color w:val="auto"/>
        </w:rPr>
      </w:pPr>
    </w:p>
    <w:p>
      <w:pPr>
        <w:ind w:left="860" w:hanging="438"/>
        <w:spacing w:after="0"/>
        <w:tabs>
          <w:tab w:leader="none" w:pos="86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Seller will invoice upon shipment. For purchases against this Agreement only, all payments are due within [***] days of the date of the invoice. All amounts due shall be paid in the currency found on the invoice. If payment is made by wire or other electronic funds transfer, Personalis is solely responsible for any bank or other fees charged, and will reimburse Seller for any such fees. If any payment is not made by the due date Seller may exercise all rights and remedies available by law. Personalis shall pay for all costs (including reasonable attorneys’ fees) incurred by Seller in connection with the collection of late payments. Each purchase order is a separate, independent transaction, and Personalis has no right of set-off against other purchase orders or other transactions with Seller. Seller will determine payment terms on a per-order basis and may modify credit terms in its discretion. Any amounts not paid when due will accrue interest at the rate of [***], or the maximum amount allowed by law, if lower.</w:t>
      </w:r>
    </w:p>
    <w:p>
      <w:pPr>
        <w:sectPr>
          <w:pgSz w:w="11900" w:h="16838" w:orient="portrait"/>
          <w:cols w:equalWidth="0" w:num="1">
            <w:col w:w="11300"/>
          </w:cols>
          <w:pgMar w:left="460" w:top="273" w:right="13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indicate their agreement by their signatures of their respective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PERSONALIS</w:t>
            </w:r>
          </w:p>
        </w:tc>
        <w:tc>
          <w:tcPr>
            <w:tcW w:w="5800" w:type="dxa"/>
            <w:vAlign w:val="bottom"/>
            <w:gridSpan w:val="2"/>
          </w:tcPr>
          <w:p>
            <w:pPr>
              <w:ind w:left="600"/>
              <w:spacing w:after="0"/>
              <w:rPr>
                <w:sz w:val="20"/>
                <w:szCs w:val="20"/>
                <w:color w:val="auto"/>
              </w:rPr>
            </w:pPr>
            <w:r>
              <w:rPr>
                <w:rFonts w:ascii="Arial" w:cs="Arial" w:eastAsia="Arial" w:hAnsi="Arial"/>
                <w:sz w:val="18"/>
                <w:szCs w:val="18"/>
                <w:b w:val="1"/>
                <w:bCs w:val="1"/>
                <w:color w:val="auto"/>
              </w:rPr>
              <w:t>ILLUMINA,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J. Tillis</w:t>
            </w:r>
          </w:p>
        </w:tc>
        <w:tc>
          <w:tcPr>
            <w:tcW w:w="1180" w:type="dxa"/>
            <w:vAlign w:val="bottom"/>
          </w:tcPr>
          <w:p>
            <w:pPr>
              <w:ind w:left="6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Berry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Carol J. Tillis</w:t>
            </w:r>
          </w:p>
        </w:tc>
        <w:tc>
          <w:tcPr>
            <w:tcW w:w="1180" w:type="dxa"/>
            <w:vAlign w:val="bottom"/>
          </w:tcPr>
          <w:p>
            <w:pPr>
              <w:ind w:left="600"/>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Nicole Berry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Finance &amp; Administration</w:t>
            </w:r>
          </w:p>
        </w:tc>
        <w:tc>
          <w:tcPr>
            <w:tcW w:w="1180" w:type="dxa"/>
            <w:vAlign w:val="bottom"/>
          </w:tcPr>
          <w:p>
            <w:pPr>
              <w:ind w:left="60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AMR Sales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11/22/2017</w:t>
            </w:r>
          </w:p>
        </w:tc>
        <w:tc>
          <w:tcPr>
            <w:tcW w:w="1180" w:type="dxa"/>
            <w:vAlign w:val="bottom"/>
          </w:tcPr>
          <w:p>
            <w:pPr>
              <w:ind w:left="6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11/21/2017</w:t>
            </w:r>
          </w:p>
        </w:tc>
      </w:tr>
    </w:tbl>
    <w:p>
      <w:pPr>
        <w:sectPr>
          <w:pgSz w:w="11900" w:h="16838" w:orient="portrait"/>
          <w:cols w:equalWidth="0" w:num="1">
            <w:col w:w="11000"/>
          </w:cols>
          <w:pgMar w:left="460" w:top="274" w:right="4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ind w:left="10" w:right="320" w:hanging="10"/>
        <w:spacing w:after="0" w:line="281" w:lineRule="auto"/>
        <w:tabs>
          <w:tab w:leader="none" w:pos="444"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132080</wp:posOffset>
            </wp:positionV>
            <wp:extent cx="2064385" cy="47117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06438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FASTTRACK GENETIC ANALYSIS SERVICES</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AGREEMENT</w:t>
      </w:r>
    </w:p>
    <w:p>
      <w:pPr>
        <w:spacing w:after="0" w:line="21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Prepared by:</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Illumina, Inc.</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5200 Illumina Way</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San Diego, CA 92122, USA</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Hereinafter referred to as “Illumina”</w:t>
      </w:r>
    </w:p>
    <w:p>
      <w:pPr>
        <w:spacing w:after="0" w:line="21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Prepared for:</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Personalis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Personalis</w:t>
      </w:r>
      <w:r>
        <w:rPr>
          <w:rFonts w:ascii="Arial" w:cs="Arial" w:eastAsia="Arial" w:hAnsi="Arial"/>
          <w:sz w:val="18"/>
          <w:szCs w:val="18"/>
          <w:color w:val="auto"/>
        </w:rPr>
        <w:t>” or “Customer”</w:t>
      </w:r>
    </w:p>
    <w:p>
      <w:pPr>
        <w:spacing w:after="0" w:line="232" w:lineRule="exact"/>
        <w:rPr>
          <w:sz w:val="20"/>
          <w:szCs w:val="20"/>
          <w:color w:val="auto"/>
        </w:rPr>
      </w:pPr>
    </w:p>
    <w:tbl>
      <w:tblPr>
        <w:tblLayout w:type="fixed"/>
        <w:tblInd w:w="2760" w:type="dxa"/>
        <w:tblCellMar>
          <w:top w:w="0" w:type="dxa"/>
          <w:left w:w="0" w:type="dxa"/>
          <w:bottom w:w="0" w:type="dxa"/>
          <w:right w:w="0" w:type="dxa"/>
        </w:tblCellMar>
      </w:tblPr>
      <w:tr>
        <w:trPr>
          <w:trHeight w:val="211"/>
        </w:trPr>
        <w:tc>
          <w:tcPr>
            <w:tcW w:w="22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Quotation Number:</w:t>
            </w:r>
          </w:p>
        </w:tc>
        <w:tc>
          <w:tcPr>
            <w:tcW w:w="328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Quotation Date:</w:t>
            </w:r>
          </w:p>
        </w:tc>
        <w:tc>
          <w:tcPr>
            <w:tcW w:w="32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December 13, 2017</w:t>
            </w:r>
          </w:p>
        </w:tc>
      </w:tr>
      <w:tr>
        <w:trPr>
          <w:trHeight w:val="22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Expiration Date:</w:t>
            </w:r>
          </w:p>
        </w:tc>
        <w:tc>
          <w:tcPr>
            <w:tcW w:w="32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June 30, 2019</w:t>
            </w:r>
          </w:p>
        </w:tc>
      </w:tr>
      <w:tr>
        <w:trPr>
          <w:trHeight w:val="216"/>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Prepared By:</w:t>
            </w:r>
          </w:p>
        </w:tc>
        <w:tc>
          <w:tcPr>
            <w:tcW w:w="3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Phone Number:</w:t>
            </w:r>
          </w:p>
        </w:tc>
        <w:tc>
          <w:tcPr>
            <w:tcW w:w="3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2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Email:</w:t>
            </w:r>
          </w:p>
        </w:tc>
        <w:tc>
          <w:tcPr>
            <w:tcW w:w="32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center"/>
        <w:ind w:left="460" w:right="160"/>
        <w:spacing w:after="0" w:line="281" w:lineRule="auto"/>
        <w:rPr>
          <w:sz w:val="20"/>
          <w:szCs w:val="20"/>
          <w:color w:val="auto"/>
        </w:rPr>
      </w:pPr>
      <w:r>
        <w:rPr>
          <w:rFonts w:ascii="Arial" w:cs="Arial" w:eastAsia="Arial" w:hAnsi="Arial"/>
          <w:sz w:val="18"/>
          <w:szCs w:val="18"/>
          <w:b w:val="1"/>
          <w:bCs w:val="1"/>
          <w:color w:val="auto"/>
        </w:rPr>
        <w:t>FOR SMOOTH PROCESSING OF YOUR ORDER, ILLUMINA ASKS THAT YOU PLEASE REFERENCE THE ABOVE QUOTATION NUMBER ON ANY PURCHASE ORDER SUBMITTED AGAINST THIS QUOTATION.</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1">
            <w:col w:w="11010"/>
          </w:cols>
          <w:pgMar w:left="450" w:top="121" w:right="4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569710" cy="3168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I. CUSTOMER INFORMATION</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Company or Institution Name:</w:t>
            </w:r>
          </w:p>
        </w:tc>
        <w:tc>
          <w:tcPr>
            <w:tcW w:w="736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Personalis</w:t>
            </w:r>
          </w:p>
        </w:tc>
      </w:tr>
      <w:tr>
        <w:trPr>
          <w:trHeight w:val="209"/>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Address:</w:t>
            </w:r>
          </w:p>
        </w:tc>
        <w:tc>
          <w:tcPr>
            <w:tcW w:w="7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1330 Obrien Dr Menlo Park CA 94025-1436</w:t>
            </w:r>
          </w:p>
        </w:tc>
      </w:tr>
      <w:tr>
        <w:trPr>
          <w:trHeight w:val="209"/>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Contact Name:</w:t>
            </w:r>
          </w:p>
        </w:tc>
        <w:tc>
          <w:tcPr>
            <w:tcW w:w="7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Phone:</w:t>
            </w:r>
          </w:p>
        </w:tc>
        <w:tc>
          <w:tcPr>
            <w:tcW w:w="7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Email:</w:t>
            </w:r>
          </w:p>
        </w:tc>
        <w:tc>
          <w:tcPr>
            <w:tcW w:w="7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GENETIC ANALYSIS SERVICES PRICING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998335" cy="24841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998335" cy="248412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Catalog#</w:t>
            </w:r>
          </w:p>
        </w:tc>
        <w:tc>
          <w:tcPr>
            <w:tcW w:w="292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Product Description</w:t>
            </w:r>
          </w:p>
        </w:tc>
        <w:tc>
          <w:tcPr>
            <w:tcW w:w="6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right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Subtotal (USD)</w:t>
            </w:r>
          </w:p>
        </w:tc>
      </w:tr>
      <w:tr>
        <w:trPr>
          <w:trHeight w:val="191"/>
        </w:trPr>
        <w:tc>
          <w:tcPr>
            <w:tcW w:w="940" w:type="dxa"/>
            <w:vAlign w:val="bottom"/>
            <w:tcBorders>
              <w:right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w w:val="94"/>
              </w:rPr>
              <w:t>20023496</w:t>
            </w:r>
          </w:p>
        </w:tc>
        <w:tc>
          <w:tcPr>
            <w:tcW w:w="2920" w:type="dxa"/>
            <w:vAlign w:val="bottom"/>
            <w:tcBorders>
              <w:right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w w:val="92"/>
              </w:rPr>
              <w:t>Infinium Global Screening Array -</w:t>
            </w:r>
          </w:p>
        </w:tc>
        <w:tc>
          <w:tcPr>
            <w:tcW w:w="620" w:type="dxa"/>
            <w:vAlign w:val="bottom"/>
          </w:tcPr>
          <w:p>
            <w:pPr>
              <w:spacing w:after="0"/>
              <w:rPr>
                <w:sz w:val="16"/>
                <w:szCs w:val="16"/>
                <w:color w:val="auto"/>
              </w:rPr>
            </w:pPr>
          </w:p>
        </w:tc>
        <w:tc>
          <w:tcPr>
            <w:tcW w:w="1380" w:type="dxa"/>
            <w:vAlign w:val="bottom"/>
            <w:tcBorders>
              <w:right w:val="single" w:sz="8" w:color="auto"/>
            </w:tcBorders>
          </w:tcPr>
          <w:p>
            <w:pPr>
              <w:jc w:val="right"/>
              <w:ind w:right="639"/>
              <w:spacing w:after="0" w:line="191"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339"/>
              <w:spacing w:after="0" w:line="191"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339"/>
              <w:spacing w:after="0" w:line="191"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319"/>
              <w:spacing w:after="0" w:line="191"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55"/>
              <w:spacing w:after="0" w:line="191" w:lineRule="exact"/>
              <w:rPr>
                <w:sz w:val="20"/>
                <w:szCs w:val="20"/>
                <w:color w:val="auto"/>
              </w:rPr>
            </w:pPr>
            <w:r>
              <w:rPr>
                <w:rFonts w:ascii="Arial" w:cs="Arial" w:eastAsia="Arial" w:hAnsi="Arial"/>
                <w:sz w:val="18"/>
                <w:szCs w:val="18"/>
                <w:color w:val="auto"/>
              </w:rPr>
              <w:t>[***]</w:t>
            </w:r>
          </w:p>
        </w:tc>
      </w:tr>
      <w:tr>
        <w:trPr>
          <w:trHeight w:val="216"/>
        </w:trPr>
        <w:tc>
          <w:tcPr>
            <w:tcW w:w="94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24 V2.0 Kit Fast Track Service:</w:t>
            </w:r>
          </w:p>
        </w:tc>
        <w:tc>
          <w:tcPr>
            <w:tcW w:w="6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94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BDCHP, CNSM, GSCA-24v2-0</w:t>
            </w:r>
          </w:p>
        </w:tc>
        <w:tc>
          <w:tcPr>
            <w:tcW w:w="6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Subtotal</w:t>
            </w:r>
          </w:p>
        </w:tc>
        <w:tc>
          <w:tcPr>
            <w:tcW w:w="2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6"/>
              </w:rPr>
              <w:t>Final Investment (Including shipping and insurance)</w:t>
            </w:r>
          </w:p>
        </w:tc>
        <w:tc>
          <w:tcPr>
            <w:tcW w:w="1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w:t>
            </w:r>
          </w:p>
        </w:tc>
      </w:tr>
      <w:tr>
        <w:trPr>
          <w:trHeight w:val="211"/>
        </w:trPr>
        <w:tc>
          <w:tcPr>
            <w:tcW w:w="4480" w:type="dxa"/>
            <w:vAlign w:val="bottom"/>
            <w:gridSpan w:val="3"/>
          </w:tcPr>
          <w:p>
            <w:pPr>
              <w:ind w:left="140"/>
              <w:spacing w:after="0"/>
              <w:rPr>
                <w:sz w:val="20"/>
                <w:szCs w:val="20"/>
                <w:color w:val="auto"/>
              </w:rPr>
            </w:pPr>
            <w:r>
              <w:rPr>
                <w:rFonts w:ascii="Arial" w:cs="Arial" w:eastAsia="Arial" w:hAnsi="Arial"/>
                <w:sz w:val="18"/>
                <w:szCs w:val="18"/>
                <w:b w:val="1"/>
                <w:bCs w:val="1"/>
                <w:color w:val="auto"/>
              </w:rPr>
              <w:t>Post Pricing Message:</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ind w:left="500" w:right="140" w:hanging="263"/>
        <w:spacing w:after="0" w:line="280" w:lineRule="auto"/>
        <w:tabs>
          <w:tab w:leader="none" w:pos="484" w:val="left"/>
        </w:tabs>
        <w:numPr>
          <w:ilvl w:val="0"/>
          <w:numId w:val="594"/>
        </w:numPr>
        <w:rPr>
          <w:rFonts w:ascii="Arial" w:cs="Arial" w:eastAsia="Arial" w:hAnsi="Arial"/>
          <w:sz w:val="16"/>
          <w:szCs w:val="16"/>
          <w:color w:val="auto"/>
        </w:rPr>
      </w:pPr>
      <w:r>
        <w:rPr>
          <w:rFonts w:ascii="Arial" w:cs="Arial" w:eastAsia="Arial" w:hAnsi="Arial"/>
          <w:sz w:val="16"/>
          <w:szCs w:val="16"/>
          <w:color w:val="auto"/>
        </w:rPr>
        <w:t>Customer understands that the Infinium Global Screening Array - 24 V2.0 Kit Fast Track Service (20023496) is not yet available for ordering. Illumina will not accept orders against this Quotation and any purchase order placed against this Quotation for Infinium Global Screening Array</w:t>
      </w:r>
    </w:p>
    <w:p>
      <w:pPr>
        <w:ind w:left="500" w:right="60" w:firstLine="7"/>
        <w:spacing w:after="0" w:line="250" w:lineRule="auto"/>
        <w:tabs>
          <w:tab w:leader="none" w:pos="605" w:val="left"/>
        </w:tabs>
        <w:numPr>
          <w:ilvl w:val="1"/>
          <w:numId w:val="594"/>
        </w:numPr>
        <w:rPr>
          <w:rFonts w:ascii="Arial" w:cs="Arial" w:eastAsia="Arial" w:hAnsi="Arial"/>
          <w:sz w:val="18"/>
          <w:szCs w:val="18"/>
          <w:color w:val="auto"/>
        </w:rPr>
      </w:pPr>
      <w:r>
        <w:rPr>
          <w:rFonts w:ascii="Arial" w:cs="Arial" w:eastAsia="Arial" w:hAnsi="Arial"/>
          <w:sz w:val="18"/>
          <w:szCs w:val="18"/>
          <w:color w:val="auto"/>
        </w:rPr>
        <w:t>24 V2.0 Kit Fast Track Service (20023496) will be non-binding on Illumina. Customer will be notified once the Infinium Global Screening Array - 24 V2.0 Kit Fast Track Service (20023496) is available for purchase and Illumina may issue a final quotation at that time based upon any updates to the product catalog number and delivery timeframes.</w:t>
      </w:r>
    </w:p>
    <w:p>
      <w:pPr>
        <w:ind w:left="500" w:right="160" w:hanging="263"/>
        <w:spacing w:after="0" w:line="250" w:lineRule="auto"/>
        <w:tabs>
          <w:tab w:leader="none" w:pos="481"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This Quotation is for informational purposes only and does not represent a commitment from Illumina on any product specifications or features, kits, or delivery date.</w:t>
      </w:r>
    </w:p>
    <w:p>
      <w:pPr>
        <w:ind w:left="500" w:hanging="263"/>
        <w:spacing w:after="0"/>
        <w:tabs>
          <w:tab w:leader="none" w:pos="5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Customer agrees not disclose this pre-release quote or pricing to any third party until it is available for ordering.</w:t>
      </w:r>
    </w:p>
    <w:p>
      <w:pPr>
        <w:spacing w:after="0" w:line="8" w:lineRule="exact"/>
        <w:rPr>
          <w:rFonts w:ascii="Arial" w:cs="Arial" w:eastAsia="Arial" w:hAnsi="Arial"/>
          <w:sz w:val="18"/>
          <w:szCs w:val="18"/>
          <w:color w:val="auto"/>
        </w:rPr>
      </w:pPr>
    </w:p>
    <w:p>
      <w:pPr>
        <w:ind w:left="500" w:right="460" w:hanging="263"/>
        <w:spacing w:after="0" w:line="250" w:lineRule="auto"/>
        <w:tabs>
          <w:tab w:leader="none" w:pos="484"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towards fulfillment of [***] and is only valid upon receipt of a purchase order for the full value of this Quotation and a fully executed subcontract and Pricing Agreement</w:t>
      </w:r>
    </w:p>
    <w:p>
      <w:pPr>
        <w:ind w:left="500" w:hanging="263"/>
        <w:spacing w:after="0"/>
        <w:tabs>
          <w:tab w:leader="none" w:pos="5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Net 60 Payment terms shall apply to this Personalis subcontract with Illumina Fast Track Services</w:t>
      </w:r>
    </w:p>
    <w:p>
      <w:pPr>
        <w:spacing w:after="0" w:line="23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Subject to the attached Terms and Conditions (Document 070-2003-010 31Jan08), upon delivery of the Results, Customer shall pay Illumina</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listed above for each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80645</wp:posOffset>
            </wp:positionV>
            <wp:extent cx="698944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020"/>
          </w:cols>
          <w:pgMar w:left="460" w:top="918" w:right="41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569710" cy="31686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III. CONDITIONS OF SALE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this quotation Illumina offers to Customer the above-described Illumina Genetic Analysis Services. By submitting an order, Customer accepts the terms of this quotation, including Illumina’s terms and conditions attached.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HOW TO ORDER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process this order, please email or fax the following:</w:t>
      </w:r>
    </w:p>
    <w:p>
      <w:pPr>
        <w:spacing w:after="0" w:line="113" w:lineRule="exact"/>
        <w:rPr>
          <w:sz w:val="20"/>
          <w:szCs w:val="20"/>
          <w:color w:val="auto"/>
        </w:rPr>
      </w:pPr>
    </w:p>
    <w:p>
      <w:pPr>
        <w:ind w:left="740" w:hanging="310"/>
        <w:spacing w:after="0"/>
        <w:tabs>
          <w:tab w:leader="none" w:pos="740" w:val="left"/>
        </w:tabs>
        <w:numPr>
          <w:ilvl w:val="0"/>
          <w:numId w:val="595"/>
        </w:numPr>
        <w:rPr>
          <w:rFonts w:ascii="Arial" w:cs="Arial" w:eastAsia="Arial" w:hAnsi="Arial"/>
          <w:sz w:val="18"/>
          <w:szCs w:val="18"/>
          <w:b w:val="1"/>
          <w:bCs w:val="1"/>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Quotation</w:t>
      </w:r>
      <w:r>
        <w:rPr>
          <w:rFonts w:ascii="Arial" w:cs="Arial" w:eastAsia="Arial" w:hAnsi="Arial"/>
          <w:sz w:val="18"/>
          <w:szCs w:val="18"/>
          <w:color w:val="auto"/>
        </w:rPr>
        <w:t xml:space="preserve"> in its entirety</w:t>
      </w:r>
    </w:p>
    <w:p>
      <w:pPr>
        <w:spacing w:after="0" w:line="120"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a.  Please ensure that the Customer Information details are accurate on page 2</w:t>
      </w:r>
    </w:p>
    <w:p>
      <w:pPr>
        <w:spacing w:after="0" w:line="112" w:lineRule="exact"/>
        <w:rPr>
          <w:rFonts w:ascii="Arial" w:cs="Arial" w:eastAsia="Arial" w:hAnsi="Arial"/>
          <w:sz w:val="18"/>
          <w:szCs w:val="18"/>
          <w:b w:val="1"/>
          <w:bCs w:val="1"/>
          <w:color w:val="auto"/>
        </w:rPr>
      </w:pPr>
    </w:p>
    <w:p>
      <w:pPr>
        <w:ind w:left="740" w:hanging="310"/>
        <w:spacing w:after="0"/>
        <w:tabs>
          <w:tab w:leader="none" w:pos="740" w:val="left"/>
        </w:tabs>
        <w:numPr>
          <w:ilvl w:val="0"/>
          <w:numId w:val="595"/>
        </w:numPr>
        <w:rPr>
          <w:rFonts w:ascii="Arial" w:cs="Arial" w:eastAsia="Arial" w:hAnsi="Arial"/>
          <w:sz w:val="18"/>
          <w:szCs w:val="18"/>
          <w:b w:val="1"/>
          <w:bCs w:val="1"/>
          <w:color w:val="auto"/>
        </w:rPr>
      </w:pPr>
      <w:r>
        <w:rPr>
          <w:rFonts w:ascii="Arial" w:cs="Arial" w:eastAsia="Arial" w:hAnsi="Arial"/>
          <w:sz w:val="18"/>
          <w:szCs w:val="18"/>
          <w:color w:val="auto"/>
        </w:rPr>
        <w:t xml:space="preserve">Your institutional </w:t>
      </w:r>
      <w:r>
        <w:rPr>
          <w:rFonts w:ascii="Arial" w:cs="Arial" w:eastAsia="Arial" w:hAnsi="Arial"/>
          <w:sz w:val="18"/>
          <w:szCs w:val="18"/>
          <w:b w:val="1"/>
          <w:bCs w:val="1"/>
          <w:color w:val="auto"/>
        </w:rPr>
        <w:t>Purchase Order</w:t>
      </w:r>
      <w:r>
        <w:rPr>
          <w:rFonts w:ascii="Arial" w:cs="Arial" w:eastAsia="Arial" w:hAnsi="Arial"/>
          <w:sz w:val="18"/>
          <w:szCs w:val="18"/>
          <w:color w:val="auto"/>
        </w:rPr>
        <w:t xml:space="preserve"> referencing this quotation</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(to the attention of):</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Sales Contract Administration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Fax: +1.858.736.8410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Alt. Fax: +1.858.202.4515</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Phone: +1.858.202.4566</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ContractAdmin@illumina.com</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Illumina will confirm receipt of the order within 24 hours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EXPIRATION OF OFFER</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offer contained in this document is revocable at the sole discretion of Illumina if not executed by Customer and a purchase order received by Illumina before 5:00 pm Pacific Time on the expiration date shown on page 1 of this quotation.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98944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3 of 8</w:t>
      </w:r>
    </w:p>
    <w:p>
      <w:pPr>
        <w:sectPr>
          <w:pgSz w:w="11900" w:h="16838" w:orient="portrait"/>
          <w:cols w:equalWidth="0" w:num="1">
            <w:col w:w="10720"/>
          </w:cols>
          <w:pgMar w:left="460" w:top="918" w:right="719" w:bottom="1440" w:gutter="0" w:footer="0" w:header="0"/>
        </w:sectPr>
      </w:pPr>
    </w:p>
    <w:bookmarkStart w:id="595" w:name="page596"/>
    <w:bookmarkEnd w:id="595"/>
    <w:p>
      <w:pPr>
        <w:ind w:left="507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182880</wp:posOffset>
            </wp:positionV>
            <wp:extent cx="6569710" cy="3168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Appendix 1</w:t>
      </w:r>
    </w:p>
    <w:p>
      <w:pPr>
        <w:spacing w:after="0" w:line="117" w:lineRule="exact"/>
        <w:rPr>
          <w:sz w:val="20"/>
          <w:szCs w:val="20"/>
          <w:color w:val="auto"/>
        </w:rPr>
      </w:pPr>
    </w:p>
    <w:p>
      <w:pPr>
        <w:ind w:left="4310"/>
        <w:spacing w:after="0"/>
        <w:rPr>
          <w:sz w:val="20"/>
          <w:szCs w:val="20"/>
          <w:color w:val="auto"/>
        </w:rPr>
      </w:pPr>
      <w:r>
        <w:rPr>
          <w:rFonts w:ascii="Arial" w:cs="Arial" w:eastAsia="Arial" w:hAnsi="Arial"/>
          <w:sz w:val="18"/>
          <w:szCs w:val="18"/>
          <w:b w:val="1"/>
          <w:bCs w:val="1"/>
          <w:color w:val="auto"/>
        </w:rPr>
        <w:t>FastTrack Genotyping Services</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Service Description</w:t>
      </w:r>
    </w:p>
    <w:p>
      <w:pPr>
        <w:spacing w:after="0" w:line="206" w:lineRule="exact"/>
        <w:rPr>
          <w:sz w:val="20"/>
          <w:szCs w:val="20"/>
          <w:color w:val="auto"/>
        </w:rPr>
      </w:pPr>
    </w:p>
    <w:p>
      <w:pPr>
        <w:ind w:left="10" w:right="820" w:hanging="10"/>
        <w:spacing w:after="0" w:line="281" w:lineRule="auto"/>
        <w:tabs>
          <w:tab w:leader="none" w:pos="324"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Samples. </w:t>
      </w:r>
      <w:r>
        <w:rPr>
          <w:rFonts w:ascii="Arial" w:cs="Arial" w:eastAsia="Arial" w:hAnsi="Arial"/>
          <w:sz w:val="18"/>
          <w:szCs w:val="18"/>
          <w:color w:val="auto"/>
        </w:rPr>
        <w:t>Customer agrees to supply Illumina with a complete and accurate sample manifest in accordance with Section 0 of this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w:t>
      </w:r>
    </w:p>
    <w:p>
      <w:pPr>
        <w:spacing w:after="0" w:line="167" w:lineRule="exact"/>
        <w:rPr>
          <w:sz w:val="20"/>
          <w:szCs w:val="20"/>
          <w:color w:val="auto"/>
        </w:rPr>
      </w:pPr>
    </w:p>
    <w:p>
      <w:pPr>
        <w:ind w:left="10" w:right="80"/>
        <w:spacing w:after="0" w:line="259" w:lineRule="auto"/>
        <w:rPr>
          <w:sz w:val="20"/>
          <w:szCs w:val="20"/>
          <w:color w:val="auto"/>
        </w:rPr>
      </w:pPr>
      <w:r>
        <w:rPr>
          <w:rFonts w:ascii="Arial" w:cs="Arial" w:eastAsia="Arial" w:hAnsi="Arial"/>
          <w:sz w:val="18"/>
          <w:szCs w:val="18"/>
          <w:color w:val="auto"/>
        </w:rPr>
        <w:t>If Illumina determines in its sole discretion that any of the Samples do not meet the criteria set forth in this Service Description, Illumina will so inform Customer. At such time, Customer will be provided the option to (a) replace such Samples, or (b) proceed with such Samples as-is. In both (a) and (b), Customer shall pay Illumina full price for the Services to be performed with respect to such Samples, even if no successful Results are obtained for those Samples.</w:t>
      </w:r>
    </w:p>
    <w:p>
      <w:pPr>
        <w:spacing w:after="0" w:line="182" w:lineRule="exact"/>
        <w:rPr>
          <w:sz w:val="20"/>
          <w:szCs w:val="20"/>
          <w:color w:val="auto"/>
        </w:rPr>
      </w:pPr>
    </w:p>
    <w:p>
      <w:pPr>
        <w:ind w:left="10" w:right="440" w:hanging="10"/>
        <w:spacing w:after="0" w:line="281" w:lineRule="auto"/>
        <w:tabs>
          <w:tab w:leader="none" w:pos="324"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Results. </w:t>
      </w:r>
      <w:r>
        <w:rPr>
          <w:rFonts w:ascii="Arial" w:cs="Arial" w:eastAsia="Arial" w:hAnsi="Arial"/>
          <w:sz w:val="18"/>
          <w:szCs w:val="18"/>
          <w:color w:val="auto"/>
        </w:rPr>
        <w:t>Illumina shall deliver to Customer the Results as described below: SNP genotyping calls and scores for the assays performed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Sample.</w:t>
      </w:r>
    </w:p>
    <w:p>
      <w:pPr>
        <w:spacing w:after="0" w:line="162" w:lineRule="exact"/>
        <w:rPr>
          <w:rFonts w:ascii="Arial" w:cs="Arial" w:eastAsia="Arial" w:hAnsi="Arial"/>
          <w:sz w:val="18"/>
          <w:szCs w:val="18"/>
          <w:b w:val="1"/>
          <w:bCs w:val="1"/>
          <w:color w:val="auto"/>
        </w:rPr>
      </w:pPr>
    </w:p>
    <w:p>
      <w:pPr>
        <w:ind w:left="10" w:right="460" w:hanging="10"/>
        <w:spacing w:after="0" w:line="281" w:lineRule="auto"/>
        <w:tabs>
          <w:tab w:leader="none" w:pos="324"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Delivery Dates. </w:t>
      </w:r>
      <w:r>
        <w:rPr>
          <w:rFonts w:ascii="Arial" w:cs="Arial" w:eastAsia="Arial" w:hAnsi="Arial"/>
          <w:sz w:val="18"/>
          <w:szCs w:val="18"/>
          <w:color w:val="auto"/>
        </w:rPr>
        <w:t>The delivery date(s) for the Results will be established at the start of the project, based on the number of Samples and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queue.</w:t>
      </w:r>
    </w:p>
    <w:p>
      <w:pPr>
        <w:spacing w:after="0" w:line="311" w:lineRule="exact"/>
        <w:rPr>
          <w:sz w:val="20"/>
          <w:szCs w:val="20"/>
          <w:color w:val="auto"/>
        </w:rPr>
      </w:pPr>
    </w:p>
    <w:p>
      <w:pPr>
        <w:ind w:left="650"/>
        <w:spacing w:after="0"/>
        <w:tabs>
          <w:tab w:leader="none" w:pos="1389"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Delivery Timeframes:</w:t>
      </w:r>
    </w:p>
    <w:p>
      <w:pPr>
        <w:spacing w:after="0" w:line="134" w:lineRule="exact"/>
        <w:rPr>
          <w:sz w:val="20"/>
          <w:szCs w:val="20"/>
          <w:color w:val="auto"/>
        </w:rPr>
      </w:pPr>
    </w:p>
    <w:p>
      <w:pPr>
        <w:ind w:left="1430"/>
        <w:spacing w:after="0"/>
        <w:tabs>
          <w:tab w:leader="none" w:pos="2049"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following are minimum time frames for delivery of results:</w:t>
      </w:r>
    </w:p>
    <w:p>
      <w:pPr>
        <w:spacing w:after="0" w:line="130" w:lineRule="exact"/>
        <w:rPr>
          <w:sz w:val="20"/>
          <w:szCs w:val="20"/>
          <w:color w:val="auto"/>
        </w:rPr>
      </w:pPr>
    </w:p>
    <w:p>
      <w:pPr>
        <w:ind w:left="2070" w:right="200" w:hanging="646"/>
        <w:spacing w:after="0" w:line="277" w:lineRule="auto"/>
        <w:tabs>
          <w:tab w:leader="none" w:pos="2049"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For Infinium iSelect custom genotyping assays, within 90 days once a purchase order, loci selection and samples have all been received.</w:t>
      </w:r>
    </w:p>
    <w:p>
      <w:pPr>
        <w:spacing w:after="0" w:line="75" w:lineRule="exact"/>
        <w:rPr>
          <w:sz w:val="20"/>
          <w:szCs w:val="20"/>
          <w:color w:val="auto"/>
        </w:rPr>
      </w:pPr>
    </w:p>
    <w:p>
      <w:pPr>
        <w:ind w:left="2070" w:right="160" w:hanging="646"/>
        <w:spacing w:after="0" w:line="263" w:lineRule="auto"/>
        <w:tabs>
          <w:tab w:leader="none" w:pos="2049"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For standard genotyping studies using the Infinium assay, within 60 days of receipt of purchase order and samples, whichever occurs last. For studies larger than 1,000 samples, delivery date of the Results will be established at the start of the project, based on the current laboratory queue.</w:t>
      </w:r>
    </w:p>
    <w:p>
      <w:pPr>
        <w:spacing w:after="0" w:line="179" w:lineRule="exact"/>
        <w:rPr>
          <w:sz w:val="20"/>
          <w:szCs w:val="20"/>
          <w:color w:val="auto"/>
        </w:rPr>
      </w:pPr>
    </w:p>
    <w:p>
      <w:pPr>
        <w:ind w:left="10" w:right="80" w:hanging="10"/>
        <w:spacing w:after="0" w:line="258" w:lineRule="auto"/>
        <w:tabs>
          <w:tab w:leader="none" w:pos="324"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SNP Selection Process. </w:t>
      </w:r>
      <w:r>
        <w:rPr>
          <w:rFonts w:ascii="Arial" w:cs="Arial" w:eastAsia="Arial" w:hAnsi="Arial"/>
          <w:sz w:val="18"/>
          <w:szCs w:val="18"/>
          <w:color w:val="auto"/>
        </w:rPr>
        <w:t>For any custom assays that are to be developed by Illumina for supply of genotyping data, Customer agrees that, within 14</w:t>
      </w:r>
      <w:r>
        <w:rPr>
          <w:rFonts w:ascii="Arial" w:cs="Arial" w:eastAsia="Arial" w:hAnsi="Arial"/>
          <w:sz w:val="18"/>
          <w:szCs w:val="18"/>
          <w:b w:val="1"/>
          <w:bCs w:val="1"/>
          <w:color w:val="auto"/>
        </w:rPr>
        <w:t xml:space="preserve"> </w:t>
      </w:r>
      <w:r>
        <w:rPr>
          <w:rFonts w:ascii="Arial" w:cs="Arial" w:eastAsia="Arial" w:hAnsi="Arial"/>
          <w:sz w:val="18"/>
          <w:szCs w:val="18"/>
          <w:color w:val="auto"/>
        </w:rPr>
        <w:t>days of receipt of the purchase order, it will identify for Illumina a set of SNP loci (“Loci”) in accordance with the SNP Selection guidelines set forth in Section 5 of in this Service Description. Illumina and Customer must mutually agree upon the final Loci. Illumina will attempt to develop a functional SNP assay for each SNP locus provided by the Customer and agreed upon by Illumina. Upon the delivery of Loci by the Customer to Illumina, the Customer shall identify any of such Loci which are not publicly available.</w:t>
      </w:r>
    </w:p>
    <w:p>
      <w:pPr>
        <w:spacing w:after="0" w:line="182" w:lineRule="exact"/>
        <w:rPr>
          <w:rFonts w:ascii="Arial" w:cs="Arial" w:eastAsia="Arial" w:hAnsi="Arial"/>
          <w:sz w:val="18"/>
          <w:szCs w:val="18"/>
          <w:b w:val="1"/>
          <w:bCs w:val="1"/>
          <w:color w:val="auto"/>
        </w:rPr>
      </w:pPr>
    </w:p>
    <w:p>
      <w:pPr>
        <w:ind w:left="10" w:right="820" w:hanging="10"/>
        <w:spacing w:after="0" w:line="281" w:lineRule="auto"/>
        <w:tabs>
          <w:tab w:leader="none" w:pos="324"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Sample Requirements. </w:t>
      </w:r>
      <w:r>
        <w:rPr>
          <w:rFonts w:ascii="Arial" w:cs="Arial" w:eastAsia="Arial" w:hAnsi="Arial"/>
          <w:sz w:val="18"/>
          <w:szCs w:val="18"/>
          <w:color w:val="auto"/>
        </w:rPr>
        <w:t>Illumina’s experience shows that Samples conforming to the following requirements are likely to yield excellent</w:t>
      </w:r>
      <w:r>
        <w:rPr>
          <w:rFonts w:ascii="Arial" w:cs="Arial" w:eastAsia="Arial" w:hAnsi="Arial"/>
          <w:sz w:val="18"/>
          <w:szCs w:val="18"/>
          <w:b w:val="1"/>
          <w:bCs w:val="1"/>
          <w:color w:val="auto"/>
        </w:rPr>
        <w:t xml:space="preserve"> </w:t>
      </w:r>
      <w:r>
        <w:rPr>
          <w:rFonts w:ascii="Arial" w:cs="Arial" w:eastAsia="Arial" w:hAnsi="Arial"/>
          <w:sz w:val="18"/>
          <w:szCs w:val="18"/>
          <w:color w:val="auto"/>
        </w:rPr>
        <w:t>genotyping data.</w:t>
      </w:r>
    </w:p>
    <w:p>
      <w:pPr>
        <w:spacing w:after="0" w:line="311" w:lineRule="exact"/>
        <w:rPr>
          <w:sz w:val="20"/>
          <w:szCs w:val="20"/>
          <w:color w:val="auto"/>
        </w:rPr>
      </w:pPr>
    </w:p>
    <w:p>
      <w:pPr>
        <w:ind w:left="650"/>
        <w:spacing w:after="0"/>
        <w:tabs>
          <w:tab w:leader="none" w:pos="1389"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Sample Manifest</w:t>
      </w:r>
    </w:p>
    <w:p>
      <w:pPr>
        <w:spacing w:after="0" w:line="134" w:lineRule="exact"/>
        <w:rPr>
          <w:sz w:val="20"/>
          <w:szCs w:val="20"/>
          <w:color w:val="auto"/>
        </w:rPr>
      </w:pPr>
    </w:p>
    <w:p>
      <w:pPr>
        <w:ind w:left="2070" w:hanging="646"/>
        <w:spacing w:after="0" w:line="259" w:lineRule="auto"/>
        <w:tabs>
          <w:tab w:leader="none" w:pos="2049"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To ensure that high quality data is produced, the Customer should submit a manifest of Sample characteristics. Illumina’s laboratory uses standard operating procedures, and it is important to identify any variation in Sample preparation as early as possible. For each Sample, provide the gender, parental identification, and replicate sample identification. Please use the following format for the Sample Manifest.</w:t>
      </w:r>
    </w:p>
    <w:p>
      <w:pPr>
        <w:sectPr>
          <w:pgSz w:w="11900" w:h="16838" w:orient="portrait"/>
          <w:cols w:equalWidth="0" w:num="1">
            <w:col w:w="10990"/>
          </w:cols>
          <w:pgMar w:left="450" w:top="916" w:right="459" w:bottom="1440" w:gutter="0" w:footer="0" w:header="0"/>
        </w:sectPr>
      </w:pPr>
    </w:p>
    <w:p>
      <w:pPr>
        <w:spacing w:after="0" w:line="186" w:lineRule="exact"/>
        <w:rPr>
          <w:sz w:val="20"/>
          <w:szCs w:val="20"/>
          <w:color w:val="auto"/>
        </w:rPr>
      </w:pPr>
    </w:p>
    <w:p>
      <w:pPr>
        <w:ind w:left="10"/>
        <w:spacing w:after="0"/>
        <w:rPr>
          <w:sz w:val="20"/>
          <w:szCs w:val="20"/>
          <w:color w:val="auto"/>
        </w:rPr>
      </w:pPr>
      <w:r>
        <w:rPr>
          <w:rFonts w:ascii="Arial" w:cs="Arial" w:eastAsia="Arial" w:hAnsi="Arial"/>
          <w:sz w:val="18"/>
          <w:szCs w:val="18"/>
          <w:color w:val="auto"/>
        </w:rPr>
        <w:t>Manifest Columns:</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DNA-plate barcode (e.g., GS0000777-DNA for GoldenGate,</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WG0000888-DNA for Infinium)</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Well position of the Sample (e.g., A05)</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Customer Sample ID (e.g., GS0000777-DNAA05_Name)</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Species of the sample (e.g., Homo sapiens)</w:t>
      </w:r>
    </w:p>
    <w:p>
      <w:pPr>
        <w:spacing w:after="0" w:line="9" w:lineRule="exact"/>
        <w:rPr>
          <w:sz w:val="20"/>
          <w:szCs w:val="20"/>
          <w:color w:val="auto"/>
        </w:rPr>
      </w:pPr>
    </w:p>
    <w:p>
      <w:pPr>
        <w:ind w:left="10" w:right="20"/>
        <w:spacing w:after="0" w:line="260" w:lineRule="auto"/>
        <w:rPr>
          <w:sz w:val="20"/>
          <w:szCs w:val="20"/>
          <w:color w:val="auto"/>
        </w:rPr>
      </w:pPr>
      <w:r>
        <w:rPr>
          <w:rFonts w:ascii="Arial" w:cs="Arial" w:eastAsia="Arial" w:hAnsi="Arial"/>
          <w:sz w:val="18"/>
          <w:szCs w:val="18"/>
          <w:color w:val="auto"/>
        </w:rPr>
        <w:t>Gender of the individual (F: female, M: male, U: unknown) Comments Volume in the well (e.g., 40 µL).</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DNA concentration (50ng/µL or greater) measured by PicoGreen Tissue source (e.g., cell 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Extraction Method (e.g., Phenol/Chloroform)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WGA Method (if applicable, e.g., REPLI-g)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 of DNA used in WGA (if applicable, e.g., 50ng)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Mother (e.g., GS000777-DNAA06_Name1)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Father (e.g., GS000777-DNAA07_Name2)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Replicate(s) (e.g., GS0000777-DNAA08_Name3)</w:t>
      </w:r>
    </w:p>
    <w:p>
      <w:pPr>
        <w:spacing w:after="0" w:line="200" w:lineRule="exact"/>
        <w:rPr>
          <w:sz w:val="20"/>
          <w:szCs w:val="20"/>
          <w:color w:val="auto"/>
        </w:rPr>
      </w:pPr>
    </w:p>
    <w:p>
      <w:pPr>
        <w:sectPr>
          <w:pgSz w:w="11900" w:h="16838" w:orient="portrait"/>
          <w:cols w:equalWidth="0" w:num="2">
            <w:col w:w="5130" w:space="720"/>
            <w:col w:w="5140"/>
          </w:cols>
          <w:pgMar w:left="450" w:top="916" w:right="459" w:bottom="1440" w:gutter="0" w:footer="0" w:header="0"/>
          <w:type w:val="continuous"/>
        </w:sectPr>
      </w:pP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b w:val="1"/>
          <w:bCs w:val="1"/>
          <w:u w:val="single" w:color="auto"/>
          <w:color w:val="auto"/>
        </w:rPr>
        <w:t>Before shipping your Samples to Illumina, please forward a file containing the Sample Manifest to your Illumina contact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8944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0990"/>
          </w:cols>
          <w:pgMar w:left="450" w:top="916" w:right="459" w:bottom="1440" w:gutter="0" w:footer="0" w:header="0"/>
          <w:type w:val="continuous"/>
        </w:sectPr>
      </w:pPr>
    </w:p>
    <w:bookmarkStart w:id="596" w:name="page597"/>
    <w:bookmarkEnd w:id="596"/>
    <w:p>
      <w:pPr>
        <w:ind w:left="1620" w:hanging="646"/>
        <w:spacing w:after="0" w:line="256" w:lineRule="auto"/>
        <w:tabs>
          <w:tab w:leader="none" w:pos="1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569710" cy="31686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5.1.2</w:t>
      </w:r>
      <w:r>
        <w:rPr>
          <w:sz w:val="20"/>
          <w:szCs w:val="20"/>
          <w:color w:val="auto"/>
        </w:rPr>
        <w:tab/>
      </w:r>
      <w:r>
        <w:rPr>
          <w:rFonts w:ascii="Arial" w:cs="Arial" w:eastAsia="Arial" w:hAnsi="Arial"/>
          <w:sz w:val="18"/>
          <w:szCs w:val="18"/>
          <w:color w:val="auto"/>
        </w:rPr>
        <w:t>To retain anonymity of the individuals from whom the Samples originated, Illumina provides barcoded microtiter plates and references the Samples by the plate number and well position. This allows a seamless interface with our robotic processes and the LIMS database. The Samples are placed into the supplied plates, sealed with a silicone cap, frozen, and shipped on dry ice. It is imperative that the DNA remain solidly frozen during shipping to avoid the possibility of cross contamination or degradation.</w:t>
      </w:r>
    </w:p>
    <w:p>
      <w:pPr>
        <w:spacing w:after="0" w:line="335"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DNA Sample Criteria</w:t>
      </w:r>
    </w:p>
    <w:p>
      <w:pPr>
        <w:spacing w:after="0" w:line="13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DNA should be quantified using a double stranded, DNA specific method such as PicoGreen fluorescence.)</w:t>
      </w:r>
    </w:p>
    <w:p>
      <w:pPr>
        <w:spacing w:after="0" w:line="130" w:lineRule="exact"/>
        <w:rPr>
          <w:sz w:val="20"/>
          <w:szCs w:val="20"/>
          <w:color w:val="auto"/>
        </w:rPr>
      </w:pPr>
    </w:p>
    <w:p>
      <w:pPr>
        <w:ind w:left="1620" w:hanging="646"/>
        <w:spacing w:after="0" w:line="341" w:lineRule="auto"/>
        <w:tabs>
          <w:tab w:leader="none" w:pos="16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All DNAs must be at a concentration of 50 ng/µL or greater. The total amount of DNA required is dependent on the number of SNPs to be studied and is defined for each project. A table with typical DNA requirements is provided below.</w:t>
      </w:r>
    </w:p>
    <w:p>
      <w:pPr>
        <w:spacing w:after="0" w:line="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7"/>
          <w:szCs w:val="17"/>
          <w:color w:val="auto"/>
        </w:rPr>
        <w:t>DNA must be diluted in 10mM Tris/1mM EDTA.</w:t>
      </w:r>
    </w:p>
    <w:p>
      <w:pPr>
        <w:spacing w:after="0" w:line="1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A brief description of the DNA extraction protocol(s) should be included.</w:t>
      </w:r>
    </w:p>
    <w:p>
      <w:pPr>
        <w:spacing w:after="0" w:line="130" w:lineRule="exact"/>
        <w:rPr>
          <w:sz w:val="20"/>
          <w:szCs w:val="20"/>
          <w:color w:val="auto"/>
        </w:rPr>
      </w:pPr>
    </w:p>
    <w:p>
      <w:pPr>
        <w:ind w:left="1620" w:right="60" w:hanging="646"/>
        <w:spacing w:after="0" w:line="307" w:lineRule="auto"/>
        <w:tabs>
          <w:tab w:leader="none" w:pos="160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color w:val="auto"/>
        </w:rPr>
        <w:t>As a preliminary test, we ask for a few representative samples. We evaluate these test DNAs for performance quality on the Illumina genotyping platform. These samples are not part of the project and will be destroyed once evaluated.</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80" w:type="dxa"/>
            <w:vAlign w:val="bottom"/>
          </w:tcPr>
          <w:p>
            <w:pPr>
              <w:jc w:val="right"/>
              <w:ind w:right="374"/>
              <w:spacing w:after="0"/>
              <w:rPr>
                <w:sz w:val="20"/>
                <w:szCs w:val="20"/>
                <w:color w:val="auto"/>
              </w:rPr>
            </w:pPr>
            <w:r>
              <w:rPr>
                <w:rFonts w:ascii="Arial" w:cs="Arial" w:eastAsia="Arial" w:hAnsi="Arial"/>
                <w:sz w:val="18"/>
                <w:szCs w:val="18"/>
                <w:b w:val="1"/>
                <w:bCs w:val="1"/>
                <w:color w:val="auto"/>
              </w:rPr>
              <w:t>5.3</w:t>
            </w:r>
          </w:p>
        </w:tc>
        <w:tc>
          <w:tcPr>
            <w:tcW w:w="6100" w:type="dxa"/>
            <w:vAlign w:val="bottom"/>
            <w:gridSpan w:val="4"/>
          </w:tcPr>
          <w:p>
            <w:pPr>
              <w:ind w:left="80"/>
              <w:spacing w:after="0"/>
              <w:rPr>
                <w:sz w:val="20"/>
                <w:szCs w:val="20"/>
                <w:color w:val="auto"/>
              </w:rPr>
            </w:pPr>
            <w:r>
              <w:rPr>
                <w:rFonts w:ascii="Arial" w:cs="Arial" w:eastAsia="Arial" w:hAnsi="Arial"/>
                <w:sz w:val="18"/>
                <w:szCs w:val="18"/>
                <w:b w:val="1"/>
                <w:bCs w:val="1"/>
                <w:color w:val="auto"/>
              </w:rPr>
              <w:t>DNA Requirements</w:t>
            </w: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88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Assay</w:t>
            </w:r>
          </w:p>
        </w:tc>
        <w:tc>
          <w:tcPr>
            <w:tcW w:w="6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31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Project Type</w:t>
            </w:r>
          </w:p>
        </w:tc>
        <w:tc>
          <w:tcPr>
            <w:tcW w:w="900" w:type="dxa"/>
            <w:vAlign w:val="bottom"/>
          </w:tcPr>
          <w:p>
            <w:pPr>
              <w:spacing w:after="0"/>
              <w:rPr>
                <w:sz w:val="10"/>
                <w:szCs w:val="10"/>
                <w:color w:val="auto"/>
              </w:rPr>
            </w:pPr>
          </w:p>
        </w:tc>
        <w:tc>
          <w:tcPr>
            <w:tcW w:w="2160" w:type="dxa"/>
            <w:vAlign w:val="bottom"/>
            <w:tcBorders>
              <w:right w:val="single" w:sz="8" w:color="auto"/>
            </w:tcBorders>
          </w:tcPr>
          <w:p>
            <w:pPr>
              <w:jc w:val="center"/>
              <w:ind w:right="480"/>
              <w:spacing w:after="0" w:line="119" w:lineRule="exact"/>
              <w:rPr>
                <w:sz w:val="20"/>
                <w:szCs w:val="20"/>
                <w:color w:val="auto"/>
              </w:rPr>
            </w:pPr>
            <w:r>
              <w:rPr>
                <w:rFonts w:ascii="Arial" w:cs="Arial" w:eastAsia="Arial" w:hAnsi="Arial"/>
                <w:sz w:val="13"/>
                <w:szCs w:val="13"/>
                <w:b w:val="1"/>
                <w:bCs w:val="1"/>
                <w:color w:val="auto"/>
              </w:rPr>
              <w:t>Min. µg per</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µL per sample</w:t>
            </w:r>
          </w:p>
        </w:tc>
        <w:tc>
          <w:tcPr>
            <w:tcW w:w="0" w:type="dxa"/>
            <w:vAlign w:val="bottom"/>
          </w:tcPr>
          <w:p>
            <w:pPr>
              <w:spacing w:after="0"/>
              <w:rPr>
                <w:sz w:val="1"/>
                <w:szCs w:val="1"/>
                <w:color w:val="auto"/>
              </w:rPr>
            </w:pPr>
          </w:p>
        </w:tc>
      </w:tr>
      <w:tr>
        <w:trPr>
          <w:trHeight w:val="171"/>
        </w:trPr>
        <w:tc>
          <w:tcPr>
            <w:tcW w:w="880" w:type="dxa"/>
            <w:vAlign w:val="bottom"/>
            <w:tcBorders>
              <w:left w:val="single" w:sz="8" w:color="auto"/>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jc w:val="center"/>
              <w:ind w:right="460"/>
              <w:spacing w:after="0"/>
              <w:rPr>
                <w:sz w:val="20"/>
                <w:szCs w:val="20"/>
                <w:color w:val="auto"/>
              </w:rPr>
            </w:pPr>
            <w:r>
              <w:rPr>
                <w:rFonts w:ascii="Arial" w:cs="Arial" w:eastAsia="Arial" w:hAnsi="Arial"/>
                <w:sz w:val="14"/>
                <w:szCs w:val="14"/>
                <w:b w:val="1"/>
                <w:bCs w:val="1"/>
                <w:color w:val="auto"/>
                <w:w w:val="86"/>
              </w:rPr>
              <w:t>sample</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Infinium</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Test Samples</w:t>
            </w:r>
          </w:p>
        </w:tc>
        <w:tc>
          <w:tcPr>
            <w:tcW w:w="9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jc w:val="center"/>
              <w:ind w:right="480"/>
              <w:spacing w:after="0"/>
              <w:rPr>
                <w:sz w:val="20"/>
                <w:szCs w:val="20"/>
                <w:color w:val="auto"/>
              </w:rPr>
            </w:pPr>
            <w:r>
              <w:rPr>
                <w:rFonts w:ascii="Arial" w:cs="Arial" w:eastAsia="Arial" w:hAnsi="Arial"/>
                <w:sz w:val="18"/>
                <w:szCs w:val="18"/>
                <w:color w:val="auto"/>
                <w:w w:val="91"/>
              </w:rPr>
              <w:t>1.75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9"/>
        </w:trPr>
        <w:tc>
          <w:tcPr>
            <w:tcW w:w="8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Infinium</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Standard and iSelect</w:t>
            </w:r>
          </w:p>
        </w:tc>
        <w:tc>
          <w:tcPr>
            <w:tcW w:w="9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jc w:val="center"/>
              <w:ind w:right="480"/>
              <w:spacing w:after="0"/>
              <w:rPr>
                <w:sz w:val="20"/>
                <w:szCs w:val="20"/>
                <w:color w:val="auto"/>
              </w:rPr>
            </w:pPr>
            <w:r>
              <w:rPr>
                <w:rFonts w:ascii="Arial" w:cs="Arial" w:eastAsia="Arial" w:hAnsi="Arial"/>
                <w:sz w:val="18"/>
                <w:szCs w:val="18"/>
                <w:color w:val="auto"/>
                <w:w w:val="91"/>
              </w:rPr>
              <w:t>1.75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31"/>
        </w:trPr>
        <w:tc>
          <w:tcPr>
            <w:tcW w:w="880" w:type="dxa"/>
            <w:vAlign w:val="bottom"/>
          </w:tcPr>
          <w:p>
            <w:pPr>
              <w:jc w:val="right"/>
              <w:ind w:right="374"/>
              <w:spacing w:after="0"/>
              <w:rPr>
                <w:sz w:val="20"/>
                <w:szCs w:val="20"/>
                <w:color w:val="auto"/>
              </w:rPr>
            </w:pPr>
            <w:r>
              <w:rPr>
                <w:rFonts w:ascii="Arial" w:cs="Arial" w:eastAsia="Arial" w:hAnsi="Arial"/>
                <w:sz w:val="18"/>
                <w:szCs w:val="18"/>
                <w:b w:val="1"/>
                <w:bCs w:val="1"/>
                <w:color w:val="auto"/>
              </w:rPr>
              <w:t>5.4</w:t>
            </w:r>
          </w:p>
        </w:tc>
        <w:tc>
          <w:tcPr>
            <w:tcW w:w="6100" w:type="dxa"/>
            <w:vAlign w:val="bottom"/>
            <w:gridSpan w:val="4"/>
          </w:tcPr>
          <w:p>
            <w:pPr>
              <w:ind w:left="80"/>
              <w:spacing w:after="0"/>
              <w:rPr>
                <w:sz w:val="20"/>
                <w:szCs w:val="20"/>
                <w:color w:val="auto"/>
              </w:rPr>
            </w:pPr>
            <w:r>
              <w:rPr>
                <w:rFonts w:ascii="Arial" w:cs="Arial" w:eastAsia="Arial" w:hAnsi="Arial"/>
                <w:sz w:val="18"/>
                <w:szCs w:val="18"/>
                <w:b w:val="1"/>
                <w:bCs w:val="1"/>
                <w:color w:val="auto"/>
              </w:rPr>
              <w:t>Microtiter Plate Configuration</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5.4.1</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Illumina will provide barcoded, midi plates with corresponding lids.</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5.4.2</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Wells A01 and A12 must remain empty for Illumina DNA controls.</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620" w:right="40" w:hanging="646"/>
        <w:spacing w:after="0" w:line="277" w:lineRule="auto"/>
        <w:tabs>
          <w:tab w:leader="none" w:pos="160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The lids must be sealed tightly and completely. We suggest the use of devices such as the MJ Research Roller for Microseal Film; catalog number MSR-0001 or the Corning Storage Mat Applicator; catalog number 3081.</w:t>
      </w:r>
    </w:p>
    <w:p>
      <w:pPr>
        <w:spacing w:after="0" w:line="75" w:lineRule="exact"/>
        <w:rPr>
          <w:sz w:val="20"/>
          <w:szCs w:val="20"/>
          <w:color w:val="auto"/>
        </w:rPr>
      </w:pPr>
    </w:p>
    <w:p>
      <w:pPr>
        <w:ind w:left="1620" w:right="340" w:hanging="646"/>
        <w:spacing w:after="0" w:line="277" w:lineRule="auto"/>
        <w:tabs>
          <w:tab w:leader="none" w:pos="160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8"/>
          <w:szCs w:val="18"/>
          <w:color w:val="auto"/>
        </w:rPr>
        <w:t>Customer is responsible for maintaining a map of the DNA positions on each microtiter plate. The genotyping data will reference the barcode and well position of each DNA.</w:t>
      </w:r>
    </w:p>
    <w:p>
      <w:pPr>
        <w:spacing w:after="0" w:line="75" w:lineRule="exact"/>
        <w:rPr>
          <w:sz w:val="20"/>
          <w:szCs w:val="20"/>
          <w:color w:val="auto"/>
        </w:rPr>
      </w:pPr>
    </w:p>
    <w:p>
      <w:pPr>
        <w:ind w:left="1620" w:right="80" w:hanging="646"/>
        <w:spacing w:after="0" w:line="277" w:lineRule="auto"/>
        <w:tabs>
          <w:tab w:leader="none" w:pos="1600" w:val="left"/>
        </w:tabs>
        <w:rPr>
          <w:sz w:val="20"/>
          <w:szCs w:val="20"/>
          <w:color w:val="auto"/>
        </w:rPr>
      </w:pPr>
      <w:r>
        <w:rPr>
          <w:rFonts w:ascii="Arial" w:cs="Arial" w:eastAsia="Arial" w:hAnsi="Arial"/>
          <w:sz w:val="18"/>
          <w:szCs w:val="18"/>
          <w:color w:val="auto"/>
        </w:rPr>
        <w:t>5.4.5</w:t>
      </w:r>
      <w:r>
        <w:rPr>
          <w:sz w:val="20"/>
          <w:szCs w:val="20"/>
          <w:color w:val="auto"/>
        </w:rPr>
        <w:tab/>
      </w:r>
      <w:r>
        <w:rPr>
          <w:rFonts w:ascii="Arial" w:cs="Arial" w:eastAsia="Arial" w:hAnsi="Arial"/>
          <w:sz w:val="18"/>
          <w:szCs w:val="18"/>
          <w:color w:val="auto"/>
        </w:rPr>
        <w:t>DNA must be solidly frozen prior to packing and shipment, and remain frozen. Plates must be shipped on sufficient dry ice to ensure that the samples remain frozen.</w:t>
      </w:r>
    </w:p>
    <w:p>
      <w:pPr>
        <w:spacing w:after="0" w:line="7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5.4.6</w:t>
      </w:r>
      <w:r>
        <w:rPr>
          <w:sz w:val="20"/>
          <w:szCs w:val="20"/>
          <w:color w:val="auto"/>
        </w:rPr>
        <w:tab/>
      </w:r>
      <w:r>
        <w:rPr>
          <w:rFonts w:ascii="Arial" w:cs="Arial" w:eastAsia="Arial" w:hAnsi="Arial"/>
          <w:sz w:val="16"/>
          <w:szCs w:val="16"/>
          <w:color w:val="auto"/>
        </w:rPr>
        <w:t>DNA should be shipped overnight express.</w:t>
      </w:r>
    </w:p>
    <w:p>
      <w:pPr>
        <w:spacing w:after="0" w:line="369"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Illumina SNP Selection and Submission Requirements for Custom Genotyping Projects</w:t>
      </w:r>
    </w:p>
    <w:p>
      <w:pPr>
        <w:spacing w:after="0" w:line="1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5.5.1</w:t>
      </w:r>
      <w:r>
        <w:rPr>
          <w:sz w:val="20"/>
          <w:szCs w:val="20"/>
          <w:color w:val="auto"/>
        </w:rPr>
        <w:tab/>
      </w:r>
      <w:r>
        <w:rPr>
          <w:rFonts w:ascii="Arial" w:cs="Arial" w:eastAsia="Arial" w:hAnsi="Arial"/>
          <w:sz w:val="16"/>
          <w:szCs w:val="16"/>
          <w:b w:val="1"/>
          <w:bCs w:val="1"/>
          <w:color w:val="auto"/>
        </w:rPr>
        <w:t>lllumina SNP Format Guidelines</w:t>
      </w:r>
    </w:p>
    <w:p>
      <w:pPr>
        <w:spacing w:after="0" w:line="121" w:lineRule="exact"/>
        <w:rPr>
          <w:sz w:val="20"/>
          <w:szCs w:val="20"/>
          <w:color w:val="auto"/>
        </w:rPr>
      </w:pPr>
    </w:p>
    <w:p>
      <w:pPr>
        <w:ind w:left="980" w:right="600"/>
        <w:spacing w:after="0" w:line="277" w:lineRule="auto"/>
        <w:rPr>
          <w:sz w:val="20"/>
          <w:szCs w:val="20"/>
          <w:color w:val="auto"/>
        </w:rPr>
      </w:pPr>
      <w:r>
        <w:rPr>
          <w:rFonts w:ascii="Arial" w:cs="Arial" w:eastAsia="Arial" w:hAnsi="Arial"/>
          <w:sz w:val="18"/>
          <w:szCs w:val="18"/>
          <w:color w:val="auto"/>
        </w:rPr>
        <w:t>Queries for SNP selection can be submitted to obtain designability information. In addition, for human studies, data from the currently supported dbSNP version will be returned. The following input file types are supported:</w:t>
      </w:r>
    </w:p>
    <w:p>
      <w:pPr>
        <w:spacing w:after="0" w:line="7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5.5.1.1</w:t>
      </w:r>
      <w:r>
        <w:rPr>
          <w:sz w:val="20"/>
          <w:szCs w:val="20"/>
          <w:color w:val="auto"/>
        </w:rPr>
        <w:tab/>
      </w:r>
      <w:r>
        <w:rPr>
          <w:rFonts w:ascii="Arial" w:cs="Arial" w:eastAsia="Arial" w:hAnsi="Arial"/>
          <w:sz w:val="16"/>
          <w:szCs w:val="16"/>
          <w:color w:val="auto"/>
        </w:rPr>
        <w:t>SNP list. Customers can submit SNPs for human studies using the RS identifiers.</w:t>
      </w:r>
    </w:p>
    <w:p>
      <w:pPr>
        <w:spacing w:after="0" w:line="130" w:lineRule="exact"/>
        <w:rPr>
          <w:sz w:val="20"/>
          <w:szCs w:val="20"/>
          <w:color w:val="auto"/>
        </w:rPr>
      </w:pPr>
    </w:p>
    <w:p>
      <w:pPr>
        <w:ind w:left="1620" w:right="120" w:hanging="646"/>
        <w:spacing w:after="0" w:line="277" w:lineRule="auto"/>
        <w:tabs>
          <w:tab w:leader="none" w:pos="1600" w:val="left"/>
        </w:tabs>
        <w:rPr>
          <w:sz w:val="20"/>
          <w:szCs w:val="20"/>
          <w:color w:val="auto"/>
        </w:rPr>
      </w:pPr>
      <w:r>
        <w:rPr>
          <w:rFonts w:ascii="Arial" w:cs="Arial" w:eastAsia="Arial" w:hAnsi="Arial"/>
          <w:sz w:val="18"/>
          <w:szCs w:val="18"/>
          <w:color w:val="auto"/>
        </w:rPr>
        <w:t>5.5.1.2</w:t>
        <w:tab/>
        <w:t>Gene list. Gene lists (and distance upstream and downstream from the designated gene) can be used as an input to obtain a list of SNPs within the gene region for human studies.</w:t>
      </w:r>
    </w:p>
    <w:p>
      <w:pPr>
        <w:spacing w:after="0" w:line="7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5.5.1.3</w:t>
      </w:r>
      <w:r>
        <w:rPr>
          <w:sz w:val="20"/>
          <w:szCs w:val="20"/>
          <w:color w:val="auto"/>
        </w:rPr>
        <w:tab/>
      </w:r>
      <w:r>
        <w:rPr>
          <w:rFonts w:ascii="Arial" w:cs="Arial" w:eastAsia="Arial" w:hAnsi="Arial"/>
          <w:sz w:val="16"/>
          <w:szCs w:val="16"/>
          <w:color w:val="auto"/>
        </w:rPr>
        <w:t>Region list. A list of markers that act as “start” and “stop” region identifiers can be used to query SNPs for human studies.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As with the gene list, the distance upstream and downstream (in base pairs) can also be designated in the input format.</w:t>
      </w:r>
    </w:p>
    <w:p>
      <w:pPr>
        <w:spacing w:after="0" w:line="139" w:lineRule="exact"/>
        <w:rPr>
          <w:sz w:val="20"/>
          <w:szCs w:val="20"/>
          <w:color w:val="auto"/>
        </w:rPr>
      </w:pPr>
    </w:p>
    <w:p>
      <w:pPr>
        <w:ind w:left="1620" w:right="40" w:hanging="646"/>
        <w:spacing w:after="0" w:line="279" w:lineRule="auto"/>
        <w:tabs>
          <w:tab w:leader="none" w:pos="1600" w:val="left"/>
        </w:tabs>
        <w:rPr>
          <w:sz w:val="20"/>
          <w:szCs w:val="20"/>
          <w:color w:val="auto"/>
        </w:rPr>
      </w:pPr>
      <w:r>
        <w:rPr>
          <w:rFonts w:ascii="Arial" w:cs="Arial" w:eastAsia="Arial" w:hAnsi="Arial"/>
          <w:sz w:val="18"/>
          <w:szCs w:val="18"/>
          <w:color w:val="auto"/>
        </w:rPr>
        <w:t>5.5.1.4</w:t>
      </w:r>
      <w:r>
        <w:rPr>
          <w:sz w:val="20"/>
          <w:szCs w:val="20"/>
          <w:color w:val="auto"/>
        </w:rPr>
        <w:tab/>
      </w:r>
      <w:r>
        <w:rPr>
          <w:rFonts w:ascii="Arial" w:cs="Arial" w:eastAsia="Arial" w:hAnsi="Arial"/>
          <w:sz w:val="17"/>
          <w:szCs w:val="17"/>
          <w:color w:val="auto"/>
        </w:rPr>
        <w:t>Sequence List. For human studies and a supported list of species (e.g., mouse, dog, chicken, …), a list of sequences, chromosomal designations and coordinates can be input. Assays for non- supported species can be designed as well using this submission format. Sequence lists require the use of IUPAC code for any neighboring polymorphisms with the targeted SNP in brackets (e.g., [A/G]) with a minimum of 50bp of sequence on either side of the targeted SNP.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83185</wp:posOffset>
            </wp:positionV>
            <wp:extent cx="698944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5 of 8</w:t>
      </w:r>
    </w:p>
    <w:p>
      <w:pPr>
        <w:sectPr>
          <w:pgSz w:w="11900" w:h="16838" w:orient="portrait"/>
          <w:cols w:equalWidth="0" w:num="1">
            <w:col w:w="10560"/>
          </w:cols>
          <w:pgMar w:left="900" w:top="922" w:right="439" w:bottom="1440" w:gutter="0" w:footer="0" w:header="0"/>
        </w:sectPr>
      </w:pPr>
    </w:p>
    <w:bookmarkStart w:id="597" w:name="page598"/>
    <w:bookmarkEnd w:id="597"/>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569710" cy="31686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5.5.2</w:t>
      </w:r>
      <w:r>
        <w:rPr>
          <w:sz w:val="20"/>
          <w:szCs w:val="20"/>
          <w:color w:val="auto"/>
        </w:rPr>
        <w:tab/>
      </w:r>
      <w:r>
        <w:rPr>
          <w:rFonts w:ascii="Arial" w:cs="Arial" w:eastAsia="Arial" w:hAnsi="Arial"/>
          <w:sz w:val="16"/>
          <w:szCs w:val="16"/>
          <w:b w:val="1"/>
          <w:bCs w:val="1"/>
          <w:color w:val="auto"/>
        </w:rPr>
        <w:t>SNP Selection Additional Support</w:t>
      </w:r>
    </w:p>
    <w:p>
      <w:pPr>
        <w:spacing w:after="0" w:line="134"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In addition to data on designability and minor allele frequency provided through Illumina’s Assay Design Tool (ADT), Illumina’s Fast-Track Genotyping Services is able to provide the following additional support in SNP selection:</w:t>
      </w:r>
    </w:p>
    <w:p>
      <w:pPr>
        <w:spacing w:after="0" w:line="75" w:lineRule="exact"/>
        <w:rPr>
          <w:sz w:val="20"/>
          <w:szCs w:val="20"/>
          <w:color w:val="auto"/>
        </w:rPr>
      </w:pPr>
    </w:p>
    <w:p>
      <w:pPr>
        <w:ind w:left="1420" w:right="20" w:hanging="646"/>
        <w:spacing w:after="0" w:line="263" w:lineRule="auto"/>
        <w:tabs>
          <w:tab w:leader="none" w:pos="1400" w:val="left"/>
        </w:tabs>
        <w:rPr>
          <w:sz w:val="20"/>
          <w:szCs w:val="20"/>
          <w:color w:val="auto"/>
        </w:rPr>
      </w:pPr>
      <w:r>
        <w:rPr>
          <w:rFonts w:ascii="Arial" w:cs="Arial" w:eastAsia="Arial" w:hAnsi="Arial"/>
          <w:sz w:val="18"/>
          <w:szCs w:val="18"/>
          <w:color w:val="auto"/>
        </w:rPr>
        <w:t>5.5.2.1</w:t>
        <w:tab/>
        <w:t>Tag Selection. We use genotype data from Phase I+II of the International HapMap Project to complete a tag selection. User inputs include overall regions to target, SNPs per bin (based on r^2 threshold), minor allele frequency minimum, and population of interest (CEU, CHB, JPT, YRI).</w:t>
      </w:r>
    </w:p>
    <w:p>
      <w:pPr>
        <w:spacing w:after="0" w:line="88" w:lineRule="exact"/>
        <w:rPr>
          <w:sz w:val="20"/>
          <w:szCs w:val="20"/>
          <w:color w:val="auto"/>
        </w:rPr>
      </w:pPr>
    </w:p>
    <w:p>
      <w:pPr>
        <w:ind w:left="1420" w:right="140" w:hanging="646"/>
        <w:spacing w:after="0" w:line="277" w:lineRule="auto"/>
        <w:tabs>
          <w:tab w:leader="none" w:pos="1400" w:val="left"/>
        </w:tabs>
        <w:rPr>
          <w:sz w:val="20"/>
          <w:szCs w:val="20"/>
          <w:color w:val="auto"/>
        </w:rPr>
      </w:pPr>
      <w:r>
        <w:rPr>
          <w:rFonts w:ascii="Arial" w:cs="Arial" w:eastAsia="Arial" w:hAnsi="Arial"/>
          <w:sz w:val="18"/>
          <w:szCs w:val="18"/>
          <w:color w:val="auto"/>
        </w:rPr>
        <w:t>5.5.2.2</w:t>
        <w:tab/>
        <w:t>Spacing Optimization. Illumina’s automated spacing selection tool can help target the SNPs within a list that give optimal spacing balanced with minor allele frequency (and, if desired, mandatory SNPs).</w:t>
      </w:r>
    </w:p>
    <w:p>
      <w:pPr>
        <w:spacing w:after="0" w:line="75" w:lineRule="exact"/>
        <w:rPr>
          <w:sz w:val="20"/>
          <w:szCs w:val="20"/>
          <w:color w:val="auto"/>
        </w:rPr>
      </w:pPr>
    </w:p>
    <w:p>
      <w:pPr>
        <w:ind w:left="1420" w:right="120" w:hanging="646"/>
        <w:spacing w:after="0" w:line="277" w:lineRule="auto"/>
        <w:tabs>
          <w:tab w:leader="none" w:pos="1400" w:val="left"/>
        </w:tabs>
        <w:rPr>
          <w:sz w:val="20"/>
          <w:szCs w:val="20"/>
          <w:color w:val="auto"/>
        </w:rPr>
      </w:pPr>
      <w:r>
        <w:rPr>
          <w:rFonts w:ascii="Arial" w:cs="Arial" w:eastAsia="Arial" w:hAnsi="Arial"/>
          <w:sz w:val="18"/>
          <w:szCs w:val="18"/>
          <w:color w:val="auto"/>
        </w:rPr>
        <w:t>5.5.2.3</w:t>
        <w:tab/>
        <w:t>Annotation. Illumina can provide annotation (contig, refseq genes, and distance to the closet intron/exon boundary on any RS list in human studies.</w:t>
      </w:r>
    </w:p>
    <w:p>
      <w:pPr>
        <w:spacing w:after="0" w:line="3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5.5.3</w:t>
      </w:r>
      <w:r>
        <w:rPr>
          <w:sz w:val="20"/>
          <w:szCs w:val="20"/>
          <w:color w:val="auto"/>
        </w:rPr>
        <w:tab/>
      </w:r>
      <w:r>
        <w:rPr>
          <w:rFonts w:ascii="Arial" w:cs="Arial" w:eastAsia="Arial" w:hAnsi="Arial"/>
          <w:sz w:val="15"/>
          <w:szCs w:val="15"/>
          <w:b w:val="1"/>
          <w:bCs w:val="1"/>
          <w:color w:val="auto"/>
        </w:rPr>
        <w:t>SNP Analysis and Selection Process</w:t>
      </w:r>
    </w:p>
    <w:p>
      <w:pPr>
        <w:spacing w:after="0" w:line="134" w:lineRule="exact"/>
        <w:rPr>
          <w:sz w:val="20"/>
          <w:szCs w:val="20"/>
          <w:color w:val="auto"/>
        </w:rPr>
      </w:pPr>
    </w:p>
    <w:p>
      <w:pPr>
        <w:ind w:left="760" w:right="100"/>
        <w:spacing w:after="0" w:line="277" w:lineRule="auto"/>
        <w:rPr>
          <w:sz w:val="20"/>
          <w:szCs w:val="20"/>
          <w:color w:val="auto"/>
        </w:rPr>
      </w:pPr>
      <w:r>
        <w:rPr>
          <w:rFonts w:ascii="Arial" w:cs="Arial" w:eastAsia="Arial" w:hAnsi="Arial"/>
          <w:sz w:val="18"/>
          <w:szCs w:val="18"/>
          <w:color w:val="auto"/>
        </w:rPr>
        <w:t>As part of the SNP selection process, SNP sequences are analyzed for assay fitness. Examples of some criteria considered for assay design ability include:</w:t>
      </w:r>
    </w:p>
    <w:p>
      <w:pPr>
        <w:spacing w:after="0" w:line="75"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color w:val="auto"/>
        </w:rPr>
        <w:t>5.5.3.1</w:t>
      </w:r>
      <w:r>
        <w:rPr>
          <w:sz w:val="20"/>
          <w:szCs w:val="20"/>
          <w:color w:val="auto"/>
        </w:rPr>
        <w:tab/>
      </w:r>
      <w:r>
        <w:rPr>
          <w:rFonts w:ascii="Arial" w:cs="Arial" w:eastAsia="Arial" w:hAnsi="Arial"/>
          <w:sz w:val="16"/>
          <w:szCs w:val="16"/>
          <w:color w:val="auto"/>
        </w:rPr>
        <w:t>The SNP sequences are not from duplicated sequences within the genome.</w:t>
      </w:r>
    </w:p>
    <w:p>
      <w:pPr>
        <w:spacing w:after="0" w:line="130"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color w:val="auto"/>
        </w:rPr>
        <w:t>5.5.3.2</w:t>
      </w:r>
      <w:r>
        <w:rPr>
          <w:sz w:val="20"/>
          <w:szCs w:val="20"/>
          <w:color w:val="auto"/>
        </w:rPr>
        <w:tab/>
      </w:r>
      <w:r>
        <w:rPr>
          <w:rFonts w:ascii="Arial" w:cs="Arial" w:eastAsia="Arial" w:hAnsi="Arial"/>
          <w:sz w:val="15"/>
          <w:szCs w:val="15"/>
          <w:color w:val="auto"/>
        </w:rPr>
        <w:t>The SNP sequence is not in a repeated element.</w:t>
      </w:r>
    </w:p>
    <w:p>
      <w:pPr>
        <w:spacing w:after="0" w:line="130"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color w:val="auto"/>
        </w:rPr>
        <w:t>5.5.3.3</w:t>
      </w:r>
      <w:r>
        <w:rPr>
          <w:sz w:val="20"/>
          <w:szCs w:val="20"/>
          <w:color w:val="auto"/>
        </w:rPr>
        <w:tab/>
      </w:r>
      <w:r>
        <w:rPr>
          <w:rFonts w:ascii="Arial" w:cs="Arial" w:eastAsia="Arial" w:hAnsi="Arial"/>
          <w:sz w:val="16"/>
          <w:szCs w:val="16"/>
          <w:color w:val="auto"/>
        </w:rPr>
        <w:t>The AT and GC content is acceptable.</w:t>
      </w:r>
    </w:p>
    <w:p>
      <w:pPr>
        <w:spacing w:after="0" w:line="130"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color w:val="auto"/>
        </w:rPr>
        <w:t>5.5.3.4</w:t>
      </w:r>
      <w:r>
        <w:rPr>
          <w:sz w:val="20"/>
          <w:szCs w:val="20"/>
          <w:color w:val="auto"/>
        </w:rPr>
        <w:tab/>
      </w:r>
      <w:r>
        <w:rPr>
          <w:rFonts w:ascii="Arial" w:cs="Arial" w:eastAsia="Arial" w:hAnsi="Arial"/>
          <w:sz w:val="16"/>
          <w:szCs w:val="16"/>
          <w:color w:val="auto"/>
        </w:rPr>
        <w:t>Tm is acceptable.</w:t>
      </w:r>
    </w:p>
    <w:p>
      <w:pPr>
        <w:spacing w:after="0" w:line="36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5.5.4</w:t>
      </w:r>
      <w:r>
        <w:rPr>
          <w:sz w:val="20"/>
          <w:szCs w:val="20"/>
          <w:color w:val="auto"/>
        </w:rPr>
        <w:tab/>
      </w:r>
      <w:r>
        <w:rPr>
          <w:rFonts w:ascii="Arial" w:cs="Arial" w:eastAsia="Arial" w:hAnsi="Arial"/>
          <w:sz w:val="16"/>
          <w:szCs w:val="16"/>
          <w:b w:val="1"/>
          <w:bCs w:val="1"/>
          <w:color w:val="auto"/>
        </w:rPr>
        <w:t>A note regarding iSelect Custom Infinium SNP selection</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SNP classes use the Infinium chemistry. The following SNPs require a minimum of one bead type: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 A/G, T/C, and T/G. SNPs requiring two bead types include A/T and C/G SNPs</w:t>
      </w:r>
    </w:p>
    <w:p>
      <w:pPr>
        <w:spacing w:after="0" w:line="252" w:lineRule="exact"/>
        <w:rPr>
          <w:sz w:val="20"/>
          <w:szCs w:val="20"/>
          <w:color w:val="auto"/>
        </w:rPr>
      </w:pPr>
    </w:p>
    <w:p>
      <w:pPr>
        <w:ind w:left="760"/>
        <w:spacing w:after="0" w:line="256" w:lineRule="auto"/>
        <w:rPr>
          <w:sz w:val="20"/>
          <w:szCs w:val="20"/>
          <w:color w:val="auto"/>
        </w:rPr>
      </w:pPr>
      <w:r>
        <w:rPr>
          <w:rFonts w:ascii="Arial" w:cs="Arial" w:eastAsia="Arial" w:hAnsi="Arial"/>
          <w:sz w:val="18"/>
          <w:szCs w:val="18"/>
          <w:color w:val="auto"/>
        </w:rPr>
        <w:t>After analysis Customer will receive a file of the markers and their design score for the Illumina assay along with minor allele frequency and any additional supported information requested (e.g., annotation or tag selection) when available. The Customer will be given the opportunity to review, approve and edit the selected SNPs. After Customer approval of the SNPs, oligo manufacturing will begin. The number of SNPs present in the final data set will depend on the assay conversion rate. It is expected that some assays will fail, and therefore no data will be delivered for these SNPs.</w:t>
      </w:r>
    </w:p>
    <w:p>
      <w:pPr>
        <w:spacing w:after="0" w:line="218" w:lineRule="exact"/>
        <w:rPr>
          <w:sz w:val="20"/>
          <w:szCs w:val="20"/>
          <w:color w:val="auto"/>
        </w:rPr>
      </w:pPr>
    </w:p>
    <w:p>
      <w:pPr>
        <w:ind w:left="760" w:right="240"/>
        <w:spacing w:after="0" w:line="259" w:lineRule="auto"/>
        <w:rPr>
          <w:sz w:val="20"/>
          <w:szCs w:val="20"/>
          <w:color w:val="auto"/>
        </w:rPr>
      </w:pPr>
      <w:r>
        <w:rPr>
          <w:rFonts w:ascii="Arial" w:cs="Arial" w:eastAsia="Arial" w:hAnsi="Arial"/>
          <w:sz w:val="18"/>
          <w:szCs w:val="18"/>
          <w:color w:val="auto"/>
        </w:rPr>
        <w:t>For Custom Infinium projects, the minimum manufacturing locus conversion rate is 80%. The assay success rate depends on the markers that are selected during the design phase. If a majority of chosen markers have previously been validated on the Infinium platform (design score of 1.1) the final locus conversion rate may be very high. Selected markers with low design scores will however reduce the locus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92710</wp:posOffset>
            </wp:positionV>
            <wp:extent cx="698944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0320"/>
          </w:cols>
          <w:pgMar w:left="1100" w:top="917" w:right="479" w:bottom="1440" w:gutter="0" w:footer="0" w:header="0"/>
        </w:sectPr>
      </w:pPr>
    </w:p>
    <w:bookmarkStart w:id="598" w:name="page599"/>
    <w:bookmarkEnd w:id="598"/>
    <w:p>
      <w:pPr>
        <w:jc w:val="center"/>
        <w:ind w:righ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569710" cy="3168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ILLUMNA TERMS AND CONDITIONS – SERVICES</w:t>
      </w:r>
    </w:p>
    <w:p>
      <w:pPr>
        <w:spacing w:after="0" w:line="27"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(NON-CLINICAL LABORATORY SERVICES)</w:t>
      </w:r>
    </w:p>
    <w:p>
      <w:pPr>
        <w:sectPr>
          <w:pgSz w:w="11900" w:h="16838" w:orient="portrait"/>
          <w:cols w:equalWidth="0" w:num="1">
            <w:col w:w="11010"/>
          </w:cols>
          <w:pgMar w:left="450" w:top="918" w:right="439" w:bottom="0" w:gutter="0" w:footer="0" w:header="0"/>
        </w:sectPr>
      </w:pPr>
    </w:p>
    <w:p>
      <w:pPr>
        <w:spacing w:after="0" w:line="287" w:lineRule="exact"/>
        <w:rPr>
          <w:sz w:val="20"/>
          <w:szCs w:val="20"/>
          <w:color w:val="auto"/>
        </w:rPr>
      </w:pPr>
    </w:p>
    <w:p>
      <w:pPr>
        <w:ind w:left="10" w:hanging="10"/>
        <w:spacing w:after="0" w:line="283" w:lineRule="auto"/>
        <w:tabs>
          <w:tab w:leader="none" w:pos="324" w:val="left"/>
        </w:tabs>
        <w:numPr>
          <w:ilvl w:val="0"/>
          <w:numId w:val="5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“Agreement” means either (i) the Quotation,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these terms and conditions and the applicable Service Description which form a part thereof; (ii) all electronic information and terms of Illumina referenced during an Electronic Order, including these terms and conditions and the applicable Service Description which form a part thereof in the case of an Electronic Order; or (iii) all terms referenced in an Order Confirmation, including these terms and conditions and the applicable Service Description which form a part thereof in the case of an order placed without a Quotation and that is not an Electronic Order. “Customer” means the purchaser of the Services hereunder. “Electronic Order” means an order placed by Customer utilizing Illumina’s electronic commerce system (e.g., iCom). “Illumina Technology” means the technology, tools, instruments, reagents, and software including, without limitation, the processes, workflows, recipes, methods, information, bioinformatics tools and techniques used to perform the Services. “Improvements” means any improvements, modifications, or changes to the Illumina Technology whether they are made prior to, during, or after performance of the Services. Such improvements may result from, among other things, the analysis of the Results in the aggregate with other genomic information in Illumina’s possession and with similar information from other Illumina customers (e.g., comparing whole genome sequences in order to calculate allele frequencies, detect systematic errors, improving variant caller and aligners, etc.). “Intellectual Property Rights” means all patent rights, copyrights, trade secrets, knowhow, trademark, service mark and trade dress rights and other intellectual property rights, current or future, under the laws of any jurisdiction, together with all applications therefore and registrations thereto. “Order Confirmation” means a sales order confirmation document provided by Illumina. “Quotation” means a written quotation provided by Illumina to Customer. “Results” are the data that are generated through performance of the Services as specifically described in the applicable Service Description. The Results do not include Improvements to Illumina Technology. “Sample(s)” means the sample(s) to be provided by Customer to Illumina as described in the applicable Service Description and/or Quotation. “Sample Requirements” means the quantity, quality, and other requirements for each Sample as specified in the applicable Service Description and required in order for Services to be successfully performed on a given Sample. “Services” as used herein refers to the activities to be performed hereunder as described in and subject to the specific terms found in the Service Description. “Service Description” means the document that describes the Services (e.g., FastTrack Genotyping, FastTrack Sequencing, Whole Genome Sequencing, etc.). “Specifications” means the written specifications for Services that are contained in the Services Description.</w:t>
      </w:r>
    </w:p>
    <w:p>
      <w:pPr>
        <w:spacing w:after="0" w:line="383" w:lineRule="exact"/>
        <w:rPr>
          <w:rFonts w:ascii="Arial" w:cs="Arial" w:eastAsia="Arial" w:hAnsi="Arial"/>
          <w:sz w:val="16"/>
          <w:szCs w:val="16"/>
          <w:b w:val="1"/>
          <w:bCs w:val="1"/>
          <w:color w:val="auto"/>
        </w:rPr>
      </w:pPr>
    </w:p>
    <w:p>
      <w:pPr>
        <w:ind w:left="310" w:hanging="310"/>
        <w:spacing w:after="0"/>
        <w:tabs>
          <w:tab w:leader="none" w:pos="310" w:val="left"/>
        </w:tabs>
        <w:numPr>
          <w:ilvl w:val="0"/>
          <w:numId w:val="5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Applicability of Terms and Conditions. </w:t>
      </w:r>
      <w:r>
        <w:rPr>
          <w:rFonts w:ascii="Arial" w:cs="Arial" w:eastAsia="Arial" w:hAnsi="Arial"/>
          <w:sz w:val="17"/>
          <w:szCs w:val="17"/>
          <w:color w:val="auto"/>
        </w:rPr>
        <w:t>This Agreement shall</w:t>
      </w:r>
    </w:p>
    <w:p>
      <w:pPr>
        <w:spacing w:after="0" w:line="38" w:lineRule="exact"/>
        <w:rPr>
          <w:rFonts w:ascii="Arial" w:cs="Arial" w:eastAsia="Arial" w:hAnsi="Arial"/>
          <w:sz w:val="17"/>
          <w:szCs w:val="17"/>
          <w:b w:val="1"/>
          <w:bCs w:val="1"/>
          <w:color w:val="auto"/>
        </w:rPr>
      </w:pPr>
    </w:p>
    <w:p>
      <w:pPr>
        <w:ind w:left="1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exclusively govern the ordering, purchase and provision of the Services, and shall override any conflicting, amending and/or additional terms contained in any purchase orders, invoices or similar documents, which are hereby rejected and shall be null and void. Illumina’s failure to object to any such terms shall not constitute a waiver by Illumina, nor constitute acceptance by Illumina of such terms and conditions.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20" w:firstLine="4"/>
        <w:spacing w:after="0" w:line="285" w:lineRule="auto"/>
        <w:tabs>
          <w:tab w:leader="none" w:pos="314" w:val="left"/>
        </w:tabs>
        <w:numPr>
          <w:ilvl w:val="0"/>
          <w:numId w:val="6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Transfer; Samples. </w:t>
      </w:r>
      <w:r>
        <w:rPr>
          <w:rFonts w:ascii="Arial" w:cs="Arial" w:eastAsia="Arial" w:hAnsi="Arial"/>
          <w:sz w:val="16"/>
          <w:szCs w:val="16"/>
          <w:color w:val="auto"/>
        </w:rPr>
        <w:t>In order to ensure timely and</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performance of the Services, it is critical that Customer provide all relevant information and materials in a timely manner to Illumina. Customer agrees to provide the Samples and all other information and materials as specified in the Service Description in accordance with the guidelines set forth therein. Customer acknowledges that any failure to provide the Samples, information, and any other materials in accordance with the Service Description may result in delays in the project. After receipt of the purchase order from Customer, Customer shall promptly provide to Illumina the number of Samples as set forth in the Quotation in accordance with the Sample Requirements set forth in the applicable Service Description. Customer acknowledges that each Sample shall meet the Sample quality criteria established by Illumina that applies to such Service. Illumina reserves the right to change the Sample quality criteria in its sole, but reasonable discretion, and Illumina will provide Customer with written notification of any such changes. See the applicable Service Description for additional information concerning Sample quality requirements.</w:t>
      </w:r>
    </w:p>
    <w:p>
      <w:pPr>
        <w:spacing w:after="0" w:line="386" w:lineRule="exact"/>
        <w:rPr>
          <w:rFonts w:ascii="Arial" w:cs="Arial" w:eastAsia="Arial" w:hAnsi="Arial"/>
          <w:sz w:val="16"/>
          <w:szCs w:val="16"/>
          <w:b w:val="1"/>
          <w:bCs w:val="1"/>
          <w:color w:val="auto"/>
        </w:rPr>
      </w:pPr>
    </w:p>
    <w:p>
      <w:pPr>
        <w:ind w:right="60" w:firstLine="4"/>
        <w:spacing w:after="0" w:line="268" w:lineRule="auto"/>
        <w:tabs>
          <w:tab w:leader="none" w:pos="314" w:val="left"/>
        </w:tabs>
        <w:numPr>
          <w:ilvl w:val="0"/>
          <w:numId w:val="6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w:t>
      </w:r>
      <w:r>
        <w:rPr>
          <w:rFonts w:ascii="Arial" w:cs="Arial" w:eastAsia="Arial" w:hAnsi="Arial"/>
          <w:sz w:val="17"/>
          <w:szCs w:val="17"/>
          <w:color w:val="auto"/>
        </w:rPr>
        <w:t>Delivery shall have occurred by one of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means, to be determined by mutual agreement of the parties: (a) if Results are to be delivered electronically, once Illumina has transmitted an electronic file containing all or a portion of the Results to Illumina’s FTP web site or other site as mutually agreed and has notified Customer that such file is available, or (b) if Results are to be delivered in one or more hard drive(s) or other physical material, upon shipment FOB origin of such hard drive(s) or material containing all or a portion of the Results. Note that Illumina does not typically retain a copy of the Results beyond Delivery and therefore does not guarantee that Results can be recovered after Delivery. In the event of loss of the Results after Delivery, Illumina will attempt to retrieve the Results for Customer, but cannot guarantee success of such recovery efforts.</w:t>
      </w:r>
    </w:p>
    <w:p>
      <w:pPr>
        <w:spacing w:after="0" w:line="184" w:lineRule="exact"/>
        <w:rPr>
          <w:rFonts w:ascii="Arial" w:cs="Arial" w:eastAsia="Arial" w:hAnsi="Arial"/>
          <w:sz w:val="17"/>
          <w:szCs w:val="17"/>
          <w:b w:val="1"/>
          <w:bCs w:val="1"/>
          <w:color w:val="auto"/>
        </w:rPr>
      </w:pPr>
    </w:p>
    <w:p>
      <w:pPr>
        <w:ind w:right="80" w:firstLine="4"/>
        <w:spacing w:after="0" w:line="283" w:lineRule="auto"/>
        <w:tabs>
          <w:tab w:leader="none" w:pos="314" w:val="left"/>
        </w:tabs>
        <w:numPr>
          <w:ilvl w:val="0"/>
          <w:numId w:val="6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Pricing; Payment. </w:t>
      </w:r>
      <w:r>
        <w:rPr>
          <w:rFonts w:ascii="Arial" w:cs="Arial" w:eastAsia="Arial" w:hAnsi="Arial"/>
          <w:sz w:val="16"/>
          <w:szCs w:val="16"/>
          <w:color w:val="auto"/>
        </w:rPr>
        <w:t>Prices for the Services shall be as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Quotation and are valid solely during the period set forth therein. Unless otherwise specified in the Quotation, prices specified in the Quotation are for the number of Samples and specific Services stated therein. Any changes to the number of Samples or the Services will affect pricing, and will therefore require mutual written agreement of the parties. Illumina will send invoices to Customer upon delivery of Results or portions thereof. All invoices, except for orders with Customers in Japan, shall be paid in full by the Customer within thirty (30) days from the date of invoice. All invoices for orders with Customers in Japan shall be made in full within sixty (60) days from the date of invoice. Any amounts not paid when due will accrue interest at the rate of one and one half percent</w:t>
      </w:r>
    </w:p>
    <w:p>
      <w:pPr>
        <w:spacing w:after="0" w:line="4" w:lineRule="exact"/>
        <w:rPr>
          <w:rFonts w:ascii="Arial" w:cs="Arial" w:eastAsia="Arial" w:hAnsi="Arial"/>
          <w:sz w:val="16"/>
          <w:szCs w:val="16"/>
          <w:b w:val="1"/>
          <w:bCs w:val="1"/>
          <w:color w:val="auto"/>
        </w:rPr>
      </w:pPr>
    </w:p>
    <w:p>
      <w:pPr>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(1.5%) per month, or the maximum amount allowed by law, if lower. In the event that any payment is not made within the time period specified in this Agreement, Illumina may suspend providing the Services and delivering the Results until all payments are made current. Customer shall pay for all costs (including reasonable attorneys’ fees) incurred by Illumina in connection with the collection of late payments. The amount of credit authorized by Illumina may be changed or entirely withdrawn at any time, and Illumina reserves the right to require alternative payment terms, including but not limited to a letter of credit or full or partial payment in advance.</w:t>
      </w:r>
    </w:p>
    <w:p>
      <w:pPr>
        <w:spacing w:after="0" w:line="18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All amounts payable to Illumina are exclusive of and are payable without deduction for all sales, use, excise, value added, withholding and other taxes, and all customs duties and tariffs claimed or imposed by any governmental authority upon the performance of the Services or delivery of the Results. Any such charges will be added to the price or subsequently invoiced to the Customer where permitted by law. In those countries where Illumina is not permitted to add such charges to the invoice or collect those charges on behalf of Customer, Customer is responsible for remitting payment of such amounts to the appropriate body.</w:t>
      </w:r>
    </w:p>
    <w:p>
      <w:pPr>
        <w:spacing w:after="0" w:line="183" w:lineRule="exact"/>
        <w:rPr>
          <w:sz w:val="20"/>
          <w:szCs w:val="20"/>
          <w:color w:val="auto"/>
        </w:rPr>
      </w:pPr>
    </w:p>
    <w:p>
      <w:pPr>
        <w:ind w:right="340"/>
        <w:spacing w:after="0" w:line="341" w:lineRule="auto"/>
        <w:rPr>
          <w:sz w:val="20"/>
          <w:szCs w:val="20"/>
          <w:color w:val="auto"/>
        </w:rPr>
      </w:pPr>
      <w:r>
        <w:rPr>
          <w:rFonts w:ascii="Arial" w:cs="Arial" w:eastAsia="Arial" w:hAnsi="Arial"/>
          <w:sz w:val="16"/>
          <w:szCs w:val="16"/>
          <w:color w:val="auto"/>
        </w:rPr>
        <w:t>Customer shall pay the total price as set forth in the Quotation, in U.S. dollars unless otherwise specified. Each accepted purchase order is a</w:t>
      </w:r>
    </w:p>
    <w:p>
      <w:pPr>
        <w:sectPr>
          <w:pgSz w:w="11900" w:h="16838" w:orient="portrait"/>
          <w:cols w:equalWidth="0" w:num="2">
            <w:col w:w="5270" w:space="340"/>
            <w:col w:w="5400"/>
          </w:cols>
          <w:pgMar w:left="450" w:top="918" w:right="439" w:bottom="0" w:gutter="0" w:footer="0" w:header="0"/>
          <w:type w:val="continuous"/>
        </w:sectPr>
      </w:pPr>
    </w:p>
    <w:bookmarkStart w:id="599" w:name="page600"/>
    <w:bookmarkEnd w:id="599"/>
    <w:p>
      <w:pPr>
        <w:ind w:left="4620" w:right="300"/>
        <w:spacing w:after="0" w:line="341" w:lineRule="auto"/>
        <w:rPr>
          <w:sz w:val="20"/>
          <w:szCs w:val="20"/>
          <w:color w:val="auto"/>
        </w:rPr>
      </w:pPr>
      <w:r>
        <w:rPr>
          <w:rFonts w:ascii="Arial" w:cs="Arial" w:eastAsia="Arial" w:hAnsi="Arial"/>
          <w:sz w:val="16"/>
          <w:szCs w:val="16"/>
          <w:color w:val="auto"/>
        </w:rPr>
        <w:t>separate, independent transaction, and Customer has no right of set-off against other purchase orders or other transactions with Illumina.</w:t>
      </w:r>
    </w:p>
    <w:p>
      <w:pPr>
        <w:spacing w:after="0" w:line="125" w:lineRule="exact"/>
        <w:rPr>
          <w:sz w:val="20"/>
          <w:szCs w:val="20"/>
          <w:color w:val="auto"/>
        </w:rPr>
      </w:pPr>
    </w:p>
    <w:p>
      <w:pPr>
        <w:ind w:left="4620" w:right="20"/>
        <w:spacing w:after="0" w:line="273" w:lineRule="auto"/>
        <w:rPr>
          <w:sz w:val="20"/>
          <w:szCs w:val="20"/>
          <w:color w:val="auto"/>
        </w:rPr>
      </w:pPr>
      <w:r>
        <w:rPr>
          <w:rFonts w:ascii="Arial" w:cs="Arial" w:eastAsia="Arial" w:hAnsi="Arial"/>
          <w:sz w:val="17"/>
          <w:szCs w:val="17"/>
          <w:color w:val="auto"/>
        </w:rPr>
        <w:t>In the event the Customer terminates the Agreement prior to the delivery of all the Results, the Customer will be charged a cancellation fee equal to the costs reasonably incurred by Illumina up to that point and for which payment has not been received, including but not limited to Illumina’s then current list price of all materials used or produced, including, without limitation, flow cells and reagents.</w:t>
      </w:r>
    </w:p>
    <w:p>
      <w:pPr>
        <w:spacing w:after="0" w:line="173" w:lineRule="exact"/>
        <w:rPr>
          <w:sz w:val="20"/>
          <w:szCs w:val="20"/>
          <w:color w:val="auto"/>
        </w:rPr>
      </w:pPr>
    </w:p>
    <w:p>
      <w:pPr>
        <w:ind w:left="4940" w:hanging="316"/>
        <w:spacing w:after="0"/>
        <w:tabs>
          <w:tab w:leader="none" w:pos="494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Ownership of Samples. </w:t>
      </w:r>
      <w:r>
        <w:rPr>
          <w:rFonts w:ascii="Arial" w:cs="Arial" w:eastAsia="Arial" w:hAnsi="Arial"/>
          <w:sz w:val="17"/>
          <w:szCs w:val="17"/>
          <w:color w:val="auto"/>
        </w:rPr>
        <w:t>Customer represents and warrants that it</w:t>
      </w:r>
    </w:p>
    <w:p>
      <w:pPr>
        <w:spacing w:after="0" w:line="38" w:lineRule="exact"/>
        <w:rPr>
          <w:rFonts w:ascii="Arial" w:cs="Arial" w:eastAsia="Arial" w:hAnsi="Arial"/>
          <w:sz w:val="17"/>
          <w:szCs w:val="17"/>
          <w:b w:val="1"/>
          <w:bCs w:val="1"/>
          <w:color w:val="auto"/>
        </w:rPr>
      </w:pPr>
    </w:p>
    <w:p>
      <w:pPr>
        <w:ind w:left="462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owns or otherwise controls the Samples and that it has the right to provide the Samples to Illumina for the purpose described herein, including without limitation, obtaining informed consents and complying with IRBs, where applicable. Illumina shall use the Samples solely for the purpose of performing the Services. Illumina agrees that it will promptly return any unused Samples or portions thereof following the delivery of the Results. Customer shall at all times retain all right, title, and interest in the Samples provided hereunder.</w:t>
      </w:r>
    </w:p>
    <w:p>
      <w:pPr>
        <w:spacing w:after="0" w:line="177" w:lineRule="exact"/>
        <w:rPr>
          <w:rFonts w:ascii="Arial" w:cs="Arial" w:eastAsia="Arial" w:hAnsi="Arial"/>
          <w:sz w:val="17"/>
          <w:szCs w:val="17"/>
          <w:b w:val="1"/>
          <w:bCs w:val="1"/>
          <w:color w:val="auto"/>
        </w:rPr>
      </w:pPr>
    </w:p>
    <w:p>
      <w:pPr>
        <w:ind w:left="4620" w:right="80" w:firstLine="4"/>
        <w:spacing w:after="0" w:line="312" w:lineRule="auto"/>
        <w:tabs>
          <w:tab w:leader="none" w:pos="4934"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Ownership of Results. </w:t>
      </w:r>
      <w:r>
        <w:rPr>
          <w:rFonts w:ascii="Arial" w:cs="Arial" w:eastAsia="Arial" w:hAnsi="Arial"/>
          <w:sz w:val="17"/>
          <w:szCs w:val="17"/>
          <w:color w:val="auto"/>
        </w:rPr>
        <w:t>The Results shall be owned by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Illumina claims no ownership interest in or to the Results.</w:t>
      </w:r>
    </w:p>
    <w:p>
      <w:pPr>
        <w:spacing w:after="0" w:line="143" w:lineRule="exact"/>
        <w:rPr>
          <w:rFonts w:ascii="Arial" w:cs="Arial" w:eastAsia="Arial" w:hAnsi="Arial"/>
          <w:sz w:val="17"/>
          <w:szCs w:val="17"/>
          <w:b w:val="1"/>
          <w:bCs w:val="1"/>
          <w:color w:val="auto"/>
        </w:rPr>
      </w:pPr>
    </w:p>
    <w:p>
      <w:pPr>
        <w:ind w:left="4620" w:right="20" w:firstLine="4"/>
        <w:spacing w:after="0" w:line="290" w:lineRule="auto"/>
        <w:tabs>
          <w:tab w:leader="none" w:pos="480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Research Use Only. Customer acknowledges that the Services are provided for research use only and are not being performed in a clinical laboratory (e.g., the Services are not being performed in a CLIA-certified laboratory). The Services are not a test or kit designed to diagnose, treat, or prevent a disease or medical condition, and the Results are not intended to be medical advice. The Services have not been cleared by any country’s medical regulatory agency, including the United States Food and Drug Administration, for diagnostic use or any other purpose.</w:t>
      </w:r>
    </w:p>
    <w:p>
      <w:pPr>
        <w:spacing w:after="0" w:line="159" w:lineRule="exact"/>
        <w:rPr>
          <w:rFonts w:ascii="Arial" w:cs="Arial" w:eastAsia="Arial" w:hAnsi="Arial"/>
          <w:sz w:val="16"/>
          <w:szCs w:val="16"/>
          <w:color w:val="auto"/>
        </w:rPr>
      </w:pPr>
    </w:p>
    <w:p>
      <w:pPr>
        <w:ind w:left="4620" w:right="240" w:firstLine="4"/>
        <w:spacing w:after="0" w:line="293" w:lineRule="auto"/>
        <w:tabs>
          <w:tab w:leader="none" w:pos="4934" w:val="left"/>
        </w:tabs>
        <w:numPr>
          <w:ilvl w:val="0"/>
          <w:numId w:val="601"/>
        </w:numPr>
        <w:rPr>
          <w:rFonts w:ascii="Arial" w:cs="Arial" w:eastAsia="Arial" w:hAnsi="Arial"/>
          <w:sz w:val="16"/>
          <w:szCs w:val="16"/>
          <w:b w:val="1"/>
          <w:bCs w:val="1"/>
          <w:color w:val="auto"/>
        </w:rPr>
      </w:pPr>
      <w:r>
        <w:rPr>
          <w:rFonts w:ascii="Arial" w:cs="Arial" w:eastAsia="Arial" w:hAnsi="Arial"/>
          <w:sz w:val="16"/>
          <w:szCs w:val="16"/>
          <w:b w:val="1"/>
          <w:bCs w:val="1"/>
          <w:color w:val="auto"/>
        </w:rPr>
        <w:t>Limited Warranty</w:t>
      </w:r>
      <w:r>
        <w:rPr>
          <w:rFonts w:ascii="Arial" w:cs="Arial" w:eastAsia="Arial" w:hAnsi="Arial"/>
          <w:sz w:val="16"/>
          <w:szCs w:val="16"/>
          <w:color w:val="auto"/>
        </w:rPr>
        <w:t>. Illumina warrants to Customer that all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by Illumina hereunder shall conform to the Specifications.</w:t>
      </w:r>
    </w:p>
    <w:p>
      <w:pPr>
        <w:ind w:left="4620" w:right="100"/>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EXCEPT AS EXPRESSLY SET FORTH IN THIS SECTION 9 THE RESULTS ARE PROVIDED TO CUSTOMER ON AN “AS IS” BASIS, AND ILLUMINA, TO THE MAXIMUM EXTENT PERMITTED BY APPLICABLE LAW, EXPRESSLY DISCLAIMS ANY AND ALL WARRANTIES, EXPRESS OR IMPLIED, INCLUDING, WITHOUT LIMITATION, ANY IMPLIED WARRANTY OF MERCHANTABILITY, FITNESS FOR A PARTICULAR PURPOSE, ACCURACY, UTILITY, OR NON INFRINGEMENT WITH RESPECT THERETO.</w:t>
      </w:r>
    </w:p>
    <w:p>
      <w:pPr>
        <w:spacing w:after="0" w:line="191" w:lineRule="exact"/>
        <w:rPr>
          <w:rFonts w:ascii="Arial" w:cs="Arial" w:eastAsia="Arial" w:hAnsi="Arial"/>
          <w:sz w:val="16"/>
          <w:szCs w:val="16"/>
          <w:b w:val="1"/>
          <w:bCs w:val="1"/>
          <w:color w:val="auto"/>
        </w:rPr>
      </w:pPr>
    </w:p>
    <w:p>
      <w:pPr>
        <w:ind w:left="4620" w:right="60" w:firstLine="4"/>
        <w:spacing w:after="0" w:line="269" w:lineRule="auto"/>
        <w:tabs>
          <w:tab w:leader="none" w:pos="5024"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Illumina shall indemnify and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its directors, officers, employees, agents, successors, and assigns from and against any liabilities, expenses, or costs arising out of any claim, complaint, suit, proceedings, or cause of action brought by a third party pertaining to infringement of such third party’s valid and enforceable Intellectual Property Rights resulting from the methods, materials, or processes specified by Illumina and used by Illumina in performance of the Services and Illumina shall pay all settlements entered into, and all final judgments and costs (including reasonable attorneys’ fees) awarded against Customer (and Illumina, as the case may be) in connection with any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186055</wp:posOffset>
            </wp:positionV>
            <wp:extent cx="698944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1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0000"/>
          </w:cols>
          <w:pgMar w:left="1440" w:top="126" w:right="459" w:bottom="1440" w:gutter="0" w:footer="0" w:header="0"/>
        </w:sectPr>
      </w:pPr>
    </w:p>
    <w:bookmarkStart w:id="600" w:name="page601"/>
    <w:bookmarkEnd w:id="600"/>
    <w:p>
      <w:pPr>
        <w:ind w:left="1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285750</wp:posOffset>
            </wp:positionH>
            <wp:positionV relativeFrom="page">
              <wp:posOffset>182880</wp:posOffset>
            </wp:positionV>
            <wp:extent cx="6569710" cy="31686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clrChange>
                        <a:clrFrom>
                          <a:srgbClr val="FFFFFF"/>
                        </a:clrFrom>
                        <a:clrTo>
                          <a:srgbClr val="FFFFFF">
                            <a:alpha val="0"/>
                          </a:srgbClr>
                        </a:clrTo>
                      </a:clrChange>
                      <a:extLst>
                        <a:ext uri="{28A0092B-C50C-407E-A947-70E740481C1C}"/>
                      </a:extLst>
                    </a:blip>
                    <a:srcRect/>
                    <a:stretch>
                      <a:fillRect/>
                    </a:stretch>
                  </pic:blipFill>
                  <pic:spPr bwMode="auto">
                    <a:xfrm>
                      <a:off x="0" y="0"/>
                      <a:ext cx="6569710" cy="316865"/>
                    </a:xfrm>
                    <a:prstGeom prst="rect">
                      <a:avLst/>
                    </a:prstGeom>
                    <a:noFill/>
                  </pic:spPr>
                </pic:pic>
              </a:graphicData>
            </a:graphic>
          </wp:anchor>
        </w:drawing>
        <w:t>Customer shall indemnify and hold harmless Illumina, its directors, officers, employees, agents, successors, and assigns from and against any liabilities, expenses, or costs arising out of any claim, complaint, suit, proceedings or cause of action brought by a third party pertaining to</w:t>
      </w:r>
    </w:p>
    <w:p>
      <w:pPr>
        <w:spacing w:after="0" w:line="1" w:lineRule="exact"/>
        <w:rPr>
          <w:sz w:val="20"/>
          <w:szCs w:val="20"/>
          <w:color w:val="auto"/>
        </w:rPr>
      </w:pPr>
    </w:p>
    <w:p>
      <w:pPr>
        <w:jc w:val="both"/>
        <w:ind w:left="10" w:right="220" w:hanging="10"/>
        <w:spacing w:after="0" w:line="281" w:lineRule="auto"/>
        <w:tabs>
          <w:tab w:leader="none" w:pos="225"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infringement of such third party’s valid and enforceable Intellectual Property Rights resulting from Customer’s (a) providing the Samples,</w:t>
      </w:r>
    </w:p>
    <w:p>
      <w:pPr>
        <w:ind w:left="10" w:hanging="10"/>
        <w:spacing w:after="0" w:line="285" w:lineRule="auto"/>
        <w:tabs>
          <w:tab w:leader="none" w:pos="264" w:val="left"/>
        </w:tabs>
        <w:numPr>
          <w:ilvl w:val="0"/>
          <w:numId w:val="603"/>
        </w:numPr>
        <w:rPr>
          <w:rFonts w:ascii="Arial" w:cs="Arial" w:eastAsia="Arial" w:hAnsi="Arial"/>
          <w:sz w:val="16"/>
          <w:szCs w:val="16"/>
          <w:color w:val="auto"/>
        </w:rPr>
      </w:pPr>
      <w:r>
        <w:rPr>
          <w:rFonts w:ascii="Arial" w:cs="Arial" w:eastAsia="Arial" w:hAnsi="Arial"/>
          <w:sz w:val="16"/>
          <w:szCs w:val="16"/>
          <w:color w:val="auto"/>
        </w:rPr>
        <w:t>specification or selection of any methods, materials, or processes to be used in the performance of the Services, other than those methods, materials, or processes that are specified by Illumina and used by Illumina in performing the Service, and (c) specification or selection of the SNP loci in the case of genotyping or regions of interest in the case of targeted sequencing, and (ii) or arising out of any actions Customer has taken based on its analysis, interpretation, or use of the Results and any other information provided by Illumina under this Agreement and Customer shall pay all settlements entered into, and all final judgments and costs (including reasonable attorneys’ fees) awarded against Illumina (and Customer, as the case may be) in connection with any such action.</w:t>
      </w:r>
    </w:p>
    <w:p>
      <w:pPr>
        <w:spacing w:after="0" w:line="172" w:lineRule="exact"/>
        <w:rPr>
          <w:sz w:val="20"/>
          <w:szCs w:val="20"/>
          <w:color w:val="auto"/>
        </w:rPr>
      </w:pPr>
    </w:p>
    <w:p>
      <w:pPr>
        <w:ind w:left="10" w:right="40"/>
        <w:spacing w:after="0" w:line="287" w:lineRule="auto"/>
        <w:rPr>
          <w:sz w:val="20"/>
          <w:szCs w:val="20"/>
          <w:color w:val="auto"/>
        </w:rPr>
      </w:pPr>
      <w:r>
        <w:rPr>
          <w:rFonts w:ascii="Arial" w:cs="Arial" w:eastAsia="Arial" w:hAnsi="Arial"/>
          <w:sz w:val="16"/>
          <w:szCs w:val="16"/>
          <w:color w:val="auto"/>
        </w:rPr>
        <w:t>Each party’s indemnification obligation pursuant to this Section 10 is subject to the indemnified party (i) notifying the indemnifying party promptly in writing of such action, (ii) giving the indemnifying party exclusive control and authority over the defense and settlement of such action, (iii) not admitting infringement of any Intellectual Property Right without the indemnifying party’s prior written consent, (iv) not entering into any settlement or compromise of any such action without the indemnifying party’s prior written consent, and (v) providing all reasonable assistance to the indemnifying party (provided that the indemnifying party reimburses the indemnified party for its reasonable out-of-pocket expenses incurred in providing such assistance).</w:t>
      </w:r>
    </w:p>
    <w:p>
      <w:pPr>
        <w:spacing w:after="0" w:line="166" w:lineRule="exact"/>
        <w:rPr>
          <w:sz w:val="20"/>
          <w:szCs w:val="20"/>
          <w:color w:val="auto"/>
        </w:rPr>
      </w:pPr>
    </w:p>
    <w:p>
      <w:pPr>
        <w:ind w:left="10" w:right="40" w:hanging="10"/>
        <w:spacing w:after="0" w:line="267" w:lineRule="auto"/>
        <w:tabs>
          <w:tab w:leader="none" w:pos="404" w:val="left"/>
        </w:tabs>
        <w:numPr>
          <w:ilvl w:val="0"/>
          <w:numId w:val="6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Limited Liability. </w:t>
      </w:r>
      <w:r>
        <w:rPr>
          <w:rFonts w:ascii="Arial" w:cs="Arial" w:eastAsia="Arial" w:hAnsi="Arial"/>
          <w:sz w:val="17"/>
          <w:szCs w:val="17"/>
          <w:color w:val="auto"/>
        </w:rPr>
        <w:t>TO THE EXTENT PERMITTED BY LAW, IN</w:t>
      </w:r>
      <w:r>
        <w:rPr>
          <w:rFonts w:ascii="Arial" w:cs="Arial" w:eastAsia="Arial" w:hAnsi="Arial"/>
          <w:sz w:val="17"/>
          <w:szCs w:val="17"/>
          <w:b w:val="1"/>
          <w:bCs w:val="1"/>
          <w:color w:val="auto"/>
        </w:rPr>
        <w:t xml:space="preserve"> </w:t>
      </w:r>
      <w:r>
        <w:rPr>
          <w:rFonts w:ascii="Arial" w:cs="Arial" w:eastAsia="Arial" w:hAnsi="Arial"/>
          <w:sz w:val="17"/>
          <w:szCs w:val="17"/>
          <w:color w:val="auto"/>
        </w:rPr>
        <w:t>NO EVENT WILL EITHER PARTY BE LIABLE TO THE OTHER FOR COSTS OF PROCUREMENT OF SUBSTITUTE SERVICES, LOST PROFITS, DATA OR BUSINESS, OR FOR ANY SPECIAL, INDIRECT, CONSEQUENTIAL, INCIDENTAL, EXEMPLARY, OR PUNITIVE DAMAGES INCURRED BY SUCH PARTY ARISING OUT OF OR IN CONNECTION WITH THIS AGREEMENT (OR THE TERMINATION HEREOF), HOWEVER CAUSED AND ON ANY THEORY OF LIABILITY (WHETHER IN CONTRACT, TORT (INCLUDING NEGLIGENCE) STRICT LIABILITY OR OTHERWISE, INCLUDING, BUT NOT LIMITED TO, THE LOSS OF PROSPECTIVE PROFITS OR ANTICIPATED SALES, OR ON ACCOUNT OF EXPENSES, INVESTMENTS, OR COMMITMENTS IN CONNECTION WITH THE BUSINESS OR GOODWILL OR OTHERWISE. ILLUMINA’S TOTAL AND CUMULATIVE LIABILITY ARISING UNDER OR IN CONNECTION WITH THIS AGREEMENT, WHETHER IN CONTRACT, TORT (INCLUDING NEGLIGENCE), STRICT LIABILITY OR OTHERWISE, SHALL IN NO EVENT EXCEED THE AMOUNT RECEIVED BY ILLUMINA FROM CUSTOMER UNDER THIS AGREEMENT. THE LIMITATIONS SET FORTH IN THIS SECTION SHALL APPLY EVEN IF A PARTY HAS BEEN ADVISED OF THE POSSIBILITY OF SUCH DAMAGES, AND NOTWITHSTANDING ANY FAILURE OF ESSENTIAL PURPOSE OF ANY LIMITED REMEDY.</w:t>
      </w:r>
    </w:p>
    <w:p>
      <w:pPr>
        <w:spacing w:after="0" w:line="20" w:lineRule="exact"/>
        <w:rPr>
          <w:sz w:val="20"/>
          <w:szCs w:val="20"/>
          <w:color w:val="auto"/>
        </w:rPr>
      </w:pPr>
      <w:r>
        <w:rPr>
          <w:sz w:val="20"/>
          <w:szCs w:val="20"/>
          <w:color w:val="auto"/>
        </w:rPr>
        <w:br w:type="column"/>
      </w:r>
    </w:p>
    <w:p>
      <w:pPr>
        <w:ind w:firstLine="4"/>
        <w:spacing w:after="0" w:line="286" w:lineRule="auto"/>
        <w:tabs>
          <w:tab w:leader="none" w:pos="405" w:val="left"/>
        </w:tabs>
        <w:numPr>
          <w:ilvl w:val="0"/>
          <w:numId w:val="605"/>
        </w:numPr>
        <w:rPr>
          <w:rFonts w:ascii="Arial" w:cs="Arial" w:eastAsia="Arial" w:hAnsi="Arial"/>
          <w:sz w:val="16"/>
          <w:szCs w:val="16"/>
          <w:color w:val="auto"/>
        </w:rPr>
      </w:pPr>
      <w:r>
        <w:rPr>
          <w:rFonts w:ascii="Arial" w:cs="Arial" w:eastAsia="Arial" w:hAnsi="Arial"/>
          <w:sz w:val="16"/>
          <w:szCs w:val="16"/>
          <w:color w:val="auto"/>
        </w:rPr>
        <w:t>Privacy. Customer acknowledges that Illumina deems of utmost importance the privacy and anonymity of any individual that is the subject of the Samples. Therefore Customer shall not disclose or provide to Illumina in any format, any information that might identify the source of a Sample, shall comply with all legal, regulatory, and contractual obligations with respect to the privacy of the individual that is the subject of such Sample, and shall inform Illumina in a timely manner of any requirements applicable to Illumina’s provision of these Services. Illumina shall not sell, trade or otherwise share with any other customer of Illumina any account information of Customer. Customer acknowledges and agrees that Illumina may maintain and use a database of orders and account information pertaining to Customer for purposes of order processing, maintaining records and assisting with future orders of Customer.</w:t>
      </w:r>
    </w:p>
    <w:p>
      <w:pPr>
        <w:spacing w:after="0" w:line="167" w:lineRule="exact"/>
        <w:rPr>
          <w:rFonts w:ascii="Arial" w:cs="Arial" w:eastAsia="Arial" w:hAnsi="Arial"/>
          <w:sz w:val="16"/>
          <w:szCs w:val="16"/>
          <w:color w:val="auto"/>
        </w:rPr>
      </w:pPr>
    </w:p>
    <w:p>
      <w:pPr>
        <w:ind w:right="20" w:firstLine="4"/>
        <w:spacing w:after="0" w:line="268" w:lineRule="auto"/>
        <w:tabs>
          <w:tab w:leader="none" w:pos="404" w:val="left"/>
        </w:tabs>
        <w:numPr>
          <w:ilvl w:val="0"/>
          <w:numId w:val="6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Except as provided herein,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maintain in confidence, and shall not use for any other purpose or disclose to any third party, information disclosed by the other party in writing and marked “Confidential” (or in a similar manner to indicate its confidential nature) or that is disclosed orally as confidential and confirmed in writing within thirty (30) days following such disclosure (collectively, “Confidential Information”). However, the source and identity of Samples, the Results, and the details of the assay used in the performance of the Services which, by their very nature, would reasonably be deemed confidential, shall be considered Confidential Information whether or not so marked. Each party also agrees not to disclose to any third party any financial terms of this Agreement without the consent of the other party, except as required by securities or other applicable laws, in which case the disclosing party shall seek confidential treatment to the extent available, under conditions that reasonably protect the confidentiality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-4663440</wp:posOffset>
            </wp:positionV>
            <wp:extent cx="72891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shall not include any information that is:</w:t>
      </w:r>
    </w:p>
    <w:p>
      <w:pPr>
        <w:spacing w:after="0" w:line="23" w:lineRule="exact"/>
        <w:rPr>
          <w:sz w:val="20"/>
          <w:szCs w:val="20"/>
          <w:color w:val="auto"/>
        </w:rPr>
      </w:pPr>
    </w:p>
    <w:p>
      <w:pPr>
        <w:ind w:firstLine="4"/>
        <w:spacing w:after="0" w:line="286" w:lineRule="auto"/>
        <w:tabs>
          <w:tab w:leader="none" w:pos="215"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already known to the receiving party at the time of disclosure hereunder, (ii) now or hereafter becomes publicly known other than through breach of this Agreement, (iii) is disclosed to the receiving party by a third party that the disclosing party reasonably concluded was under no obligation of confidentiality to the disclosing party with respect thereto, or (iv) is independently developed by or for the receiving party without reliance on the Confidential Information of the disclosing party. The obligations of confidentiality contained in this Section 13 shall remain in force for a period of no less than three (3) years from the delivery of all the Results, which shall in all events survive its earlier termination.</w:t>
      </w:r>
    </w:p>
    <w:p>
      <w:pPr>
        <w:spacing w:after="0" w:line="163" w:lineRule="exact"/>
        <w:rPr>
          <w:sz w:val="20"/>
          <w:szCs w:val="20"/>
          <w:color w:val="auto"/>
        </w:rPr>
      </w:pPr>
    </w:p>
    <w:p>
      <w:pPr>
        <w:ind w:right="40" w:firstLine="4"/>
        <w:spacing w:after="0" w:line="258" w:lineRule="auto"/>
        <w:tabs>
          <w:tab w:leader="none" w:pos="404"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provisions of this Agreement that by their nature</w:t>
      </w:r>
      <w:r>
        <w:rPr>
          <w:rFonts w:ascii="Arial" w:cs="Arial" w:eastAsia="Arial" w:hAnsi="Arial"/>
          <w:sz w:val="18"/>
          <w:szCs w:val="18"/>
          <w:b w:val="1"/>
          <w:bCs w:val="1"/>
          <w:color w:val="auto"/>
        </w:rPr>
        <w:t xml:space="preserve"> </w:t>
      </w:r>
      <w:r>
        <w:rPr>
          <w:rFonts w:ascii="Arial" w:cs="Arial" w:eastAsia="Arial" w:hAnsi="Arial"/>
          <w:sz w:val="18"/>
          <w:szCs w:val="18"/>
          <w:color w:val="auto"/>
        </w:rPr>
        <w:t>should survive termination shall survive including without limitation Sections 1-15 and all payment obligations incurred hereunder. All other rights and obligations of the parties under this Agreement shall cease upon termination or expiration of this Agreement.</w:t>
      </w:r>
    </w:p>
    <w:p>
      <w:pPr>
        <w:spacing w:after="0" w:line="290" w:lineRule="exact"/>
        <w:rPr>
          <w:rFonts w:ascii="Arial" w:cs="Arial" w:eastAsia="Arial" w:hAnsi="Arial"/>
          <w:sz w:val="18"/>
          <w:szCs w:val="18"/>
          <w:b w:val="1"/>
          <w:bCs w:val="1"/>
          <w:color w:val="auto"/>
        </w:rPr>
      </w:pPr>
    </w:p>
    <w:p>
      <w:pPr>
        <w:ind w:left="400" w:hanging="396"/>
        <w:spacing w:after="0"/>
        <w:tabs>
          <w:tab w:leader="none" w:pos="400"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0" w:lineRule="exact"/>
        <w:rPr>
          <w:rFonts w:ascii="Arial" w:cs="Arial" w:eastAsia="Arial" w:hAnsi="Arial"/>
          <w:sz w:val="18"/>
          <w:szCs w:val="18"/>
          <w:b w:val="1"/>
          <w:bCs w:val="1"/>
          <w:color w:val="auto"/>
        </w:rPr>
      </w:pPr>
    </w:p>
    <w:p>
      <w:pPr>
        <w:ind w:left="360" w:right="40" w:firstLine="3"/>
        <w:spacing w:after="0" w:line="256" w:lineRule="auto"/>
        <w:tabs>
          <w:tab w:leader="none" w:pos="53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Customer acknowledges and agrees that any future products and/or services (“Unreleased Products”) are subject to new part numbers, pricing, and specifications. Customer agrees that its purchase of the Services hereunder is not in reliance on the availability of any Unreleased Products.</w:t>
      </w:r>
    </w:p>
    <w:p>
      <w:pPr>
        <w:spacing w:after="0" w:line="83" w:lineRule="exact"/>
        <w:rPr>
          <w:rFonts w:ascii="Arial" w:cs="Arial" w:eastAsia="Arial" w:hAnsi="Arial"/>
          <w:sz w:val="18"/>
          <w:szCs w:val="18"/>
          <w:color w:val="auto"/>
        </w:rPr>
      </w:pPr>
    </w:p>
    <w:p>
      <w:pPr>
        <w:ind w:left="360" w:firstLine="3"/>
        <w:spacing w:after="0" w:line="286" w:lineRule="auto"/>
        <w:tabs>
          <w:tab w:leader="none" w:pos="675" w:val="left"/>
        </w:tabs>
        <w:numPr>
          <w:ilvl w:val="1"/>
          <w:numId w:val="607"/>
        </w:numPr>
        <w:rPr>
          <w:rFonts w:ascii="Arial" w:cs="Arial" w:eastAsia="Arial" w:hAnsi="Arial"/>
          <w:sz w:val="16"/>
          <w:szCs w:val="16"/>
          <w:color w:val="auto"/>
        </w:rPr>
      </w:pPr>
      <w:r>
        <w:rPr>
          <w:rFonts w:ascii="Arial" w:cs="Arial" w:eastAsia="Arial" w:hAnsi="Arial"/>
          <w:sz w:val="16"/>
          <w:szCs w:val="16"/>
          <w:color w:val="auto"/>
        </w:rPr>
        <w:t>If any provision of this Agreement is held invalid or unenforceable, such provision shall be enforced to the maximum extent permissible so as to effect the intent of the parties, and the remainder of this Agreement will continue in full force and effect. The failure of either party to exercise any right granted herein or to require any performance of any term of this Agreement or the waiver by either party of any breach of this Agreement shall not prevent a subsequent exercise or enforcement of, or be deemed a waiver of any subsequent breach of, the same or any other term of this Agreement. Nothing in this Agreement shall constitute or create a joint venture, partnership, or any other similar arrangement between the parties. No party is authorized to act as agent for the other party hereunder except as expressly stated in this Agreement.</w:t>
      </w:r>
    </w:p>
    <w:p>
      <w:pPr>
        <w:spacing w:after="0" w:line="63" w:lineRule="exact"/>
        <w:rPr>
          <w:rFonts w:ascii="Arial" w:cs="Arial" w:eastAsia="Arial" w:hAnsi="Arial"/>
          <w:sz w:val="16"/>
          <w:szCs w:val="16"/>
          <w:color w:val="auto"/>
        </w:rPr>
      </w:pPr>
    </w:p>
    <w:p>
      <w:pPr>
        <w:ind w:left="360" w:right="180" w:firstLine="3"/>
        <w:spacing w:after="0" w:line="307" w:lineRule="auto"/>
        <w:tabs>
          <w:tab w:leader="none" w:pos="655" w:val="left"/>
        </w:tabs>
        <w:numPr>
          <w:ilvl w:val="1"/>
          <w:numId w:val="607"/>
        </w:numPr>
        <w:rPr>
          <w:rFonts w:ascii="Arial" w:cs="Arial" w:eastAsia="Arial" w:hAnsi="Arial"/>
          <w:sz w:val="17"/>
          <w:szCs w:val="17"/>
          <w:color w:val="auto"/>
        </w:rPr>
      </w:pPr>
      <w:r>
        <w:rPr>
          <w:rFonts w:ascii="Arial" w:cs="Arial" w:eastAsia="Arial" w:hAnsi="Arial"/>
          <w:sz w:val="17"/>
          <w:szCs w:val="17"/>
          <w:color w:val="auto"/>
        </w:rPr>
        <w:t>All notices required or permitted under this Agreement shall be in writing and shall be deemed received when (a) delivered</w:t>
      </w:r>
    </w:p>
    <w:p>
      <w:pPr>
        <w:sectPr>
          <w:pgSz w:w="11900" w:h="16838" w:orient="portrait"/>
          <w:cols w:equalWidth="0" w:num="2">
            <w:col w:w="5290" w:space="320"/>
            <w:col w:w="5400"/>
          </w:cols>
          <w:pgMar w:left="450" w:top="975" w:right="439" w:bottom="0" w:gutter="0" w:footer="0" w:header="0"/>
        </w:sectPr>
      </w:pPr>
    </w:p>
    <w:bookmarkStart w:id="601" w:name="page602"/>
    <w:bookmarkEnd w:id="601"/>
    <w:p>
      <w:pPr>
        <w:ind w:left="4980"/>
        <w:spacing w:after="0"/>
        <w:rPr>
          <w:sz w:val="20"/>
          <w:szCs w:val="20"/>
          <w:color w:val="auto"/>
        </w:rPr>
      </w:pPr>
      <w:r>
        <w:rPr>
          <w:rFonts w:ascii="Arial" w:cs="Arial" w:eastAsia="Arial" w:hAnsi="Arial"/>
          <w:sz w:val="17"/>
          <w:szCs w:val="17"/>
          <w:color w:val="auto"/>
        </w:rPr>
        <w:t>personally; (b) five (5) days after having been sent by registered or</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certified mail, return receipt requested, postage prepaid (or ten</w:t>
      </w:r>
    </w:p>
    <w:p>
      <w:pPr>
        <w:spacing w:after="0" w:line="9" w:lineRule="exact"/>
        <w:rPr>
          <w:sz w:val="20"/>
          <w:szCs w:val="20"/>
          <w:color w:val="auto"/>
        </w:rPr>
      </w:pPr>
    </w:p>
    <w:p>
      <w:pPr>
        <w:ind w:left="4980" w:right="60" w:firstLine="3"/>
        <w:spacing w:after="0" w:line="252" w:lineRule="auto"/>
        <w:tabs>
          <w:tab w:leader="none" w:pos="5324" w:val="left"/>
        </w:tabs>
        <w:numPr>
          <w:ilvl w:val="0"/>
          <w:numId w:val="608"/>
        </w:numPr>
        <w:rPr>
          <w:rFonts w:ascii="Arial" w:cs="Arial" w:eastAsia="Arial" w:hAnsi="Arial"/>
          <w:sz w:val="18"/>
          <w:szCs w:val="18"/>
          <w:color w:val="auto"/>
        </w:rPr>
      </w:pPr>
      <w:r>
        <w:rPr>
          <w:rFonts w:ascii="Arial" w:cs="Arial" w:eastAsia="Arial" w:hAnsi="Arial"/>
          <w:sz w:val="18"/>
          <w:szCs w:val="18"/>
          <w:color w:val="auto"/>
        </w:rPr>
        <w:t>days for international mail); or (c) one (1) day after deposit with a commercial express courier specifying next day delivery or, for international courier packages, two (2) days after deposit with a commercial express courier specifying 2-day delivery, with written verification of receipt.</w:t>
      </w:r>
    </w:p>
    <w:p>
      <w:pPr>
        <w:spacing w:after="0" w:line="86" w:lineRule="exact"/>
        <w:rPr>
          <w:sz w:val="20"/>
          <w:szCs w:val="20"/>
          <w:color w:val="auto"/>
        </w:rPr>
      </w:pPr>
    </w:p>
    <w:p>
      <w:pPr>
        <w:ind w:left="4980" w:firstLine="3"/>
        <w:spacing w:after="0" w:line="285" w:lineRule="auto"/>
        <w:tabs>
          <w:tab w:leader="none" w:pos="5295" w:val="left"/>
        </w:tabs>
        <w:numPr>
          <w:ilvl w:val="0"/>
          <w:numId w:val="609"/>
        </w:numPr>
        <w:rPr>
          <w:rFonts w:ascii="Arial" w:cs="Arial" w:eastAsia="Arial" w:hAnsi="Arial"/>
          <w:sz w:val="16"/>
          <w:szCs w:val="16"/>
          <w:color w:val="auto"/>
        </w:rPr>
      </w:pPr>
      <w:r>
        <w:rPr>
          <w:rFonts w:ascii="Arial" w:cs="Arial" w:eastAsia="Arial" w:hAnsi="Arial"/>
          <w:sz w:val="16"/>
          <w:szCs w:val="16"/>
          <w:color w:val="auto"/>
        </w:rPr>
        <w:t>Customer shall not assign or transfer this Agreement or any rights or obligations under this Agreement, whether voluntary, by operation of law or otherwise, without the prior written consent of Illumina; provided, however, that no consent shall be required for any assignment in connection with any merger, acquisition or the sale of all or substantially all of the stock or assets of Customer to a party that (i) agrees in writing to be bound by the terms and conditions of this Agreement, and (ii) is not, in Illumina’s reasonable judgment, a competitor of Illumina. Illumina may assign or transfer this agreement to any (i) successor by way of merger, acquisition or sale of all or substantially all of its stock or assets relating to this Agreement, (ii) of its affiliated entities. Illumina or any successor may assign all or part of the right to payments under this Agreement. Any assignment or transfer of this Agreement made in contravention of the terms hereof shall be null and void. Subject to the foregoing, this Agreement shall be binding on and inure to the benefit of the parties’ respective successors and permitted assigns.</w:t>
      </w:r>
    </w:p>
    <w:p>
      <w:pPr>
        <w:spacing w:after="0" w:line="62" w:lineRule="exact"/>
        <w:rPr>
          <w:rFonts w:ascii="Arial" w:cs="Arial" w:eastAsia="Arial" w:hAnsi="Arial"/>
          <w:sz w:val="16"/>
          <w:szCs w:val="16"/>
          <w:color w:val="auto"/>
        </w:rPr>
      </w:pPr>
    </w:p>
    <w:p>
      <w:pPr>
        <w:jc w:val="both"/>
        <w:ind w:left="4980" w:right="140" w:firstLine="3"/>
        <w:spacing w:after="0" w:line="311" w:lineRule="auto"/>
        <w:tabs>
          <w:tab w:leader="none" w:pos="5281" w:val="left"/>
        </w:tabs>
        <w:numPr>
          <w:ilvl w:val="0"/>
          <w:numId w:val="609"/>
        </w:numPr>
        <w:rPr>
          <w:rFonts w:ascii="Arial" w:cs="Arial" w:eastAsia="Arial" w:hAnsi="Arial"/>
          <w:sz w:val="16"/>
          <w:szCs w:val="16"/>
          <w:color w:val="auto"/>
        </w:rPr>
      </w:pPr>
      <w:r>
        <w:rPr>
          <w:rFonts w:ascii="Arial" w:cs="Arial" w:eastAsia="Arial" w:hAnsi="Arial"/>
          <w:sz w:val="16"/>
          <w:szCs w:val="16"/>
          <w:color w:val="auto"/>
        </w:rPr>
        <w:t>This Agreement and performance by the parties hereunder shall be construed in accordance with the laws of the State of California, U.S.A., without regard to provisions on the conflicts of laws.</w:t>
      </w:r>
    </w:p>
    <w:p>
      <w:pPr>
        <w:spacing w:after="0" w:line="40" w:lineRule="exact"/>
        <w:rPr>
          <w:rFonts w:ascii="Arial" w:cs="Arial" w:eastAsia="Arial" w:hAnsi="Arial"/>
          <w:sz w:val="16"/>
          <w:szCs w:val="16"/>
          <w:color w:val="auto"/>
        </w:rPr>
      </w:pPr>
    </w:p>
    <w:p>
      <w:pPr>
        <w:ind w:left="4980" w:firstLine="3"/>
        <w:spacing w:after="0" w:line="288" w:lineRule="auto"/>
        <w:tabs>
          <w:tab w:leader="none" w:pos="513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Illumina shall not be responsible for any failure to perform or delay attributable in whole or in part to any cause beyond its reasonable control, including but not limited to acts of God, fire, flood, tornado, earthquake, hurricane, lightning, government actions, actual or threatened acts of war, terrorism, civil disturbance or insurrection, sabotage, labor shortages or disputes, failure or delay in delivery by Illumina’s suppliers or subcontractors, transportation difficulties, shortage of energy, raw materials or equipment, or Customer’s fault or negligence. In the event of any such delay the delivery date shall be deferred for a period equal to the time lost by reason of the delay.</w:t>
      </w:r>
    </w:p>
    <w:p>
      <w:pPr>
        <w:spacing w:after="0" w:line="58" w:lineRule="exact"/>
        <w:rPr>
          <w:rFonts w:ascii="Arial" w:cs="Arial" w:eastAsia="Arial" w:hAnsi="Arial"/>
          <w:sz w:val="16"/>
          <w:szCs w:val="16"/>
          <w:color w:val="auto"/>
        </w:rPr>
      </w:pPr>
    </w:p>
    <w:p>
      <w:pPr>
        <w:ind w:left="4980" w:right="40" w:firstLine="3"/>
        <w:spacing w:after="0" w:line="254" w:lineRule="auto"/>
        <w:tabs>
          <w:tab w:leader="none" w:pos="5291"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This Agreement exclusively govern the ordering, purchase and provision of Services provided to Customer by Illumina hereunder, and shall override any conflicting, amending, and/or additional terms contained in any purchase orders, invoices, or similar documents which are hereby rejected and shall be null and void. Illumina’s failure to object to any such terms shall not constitute a waiver by Illumina, nor constitute acceptance by Illumina of such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189865</wp:posOffset>
            </wp:positionV>
            <wp:extent cx="698944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1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0000"/>
          </w:cols>
          <w:pgMar w:left="1440" w:top="126" w:right="459" w:bottom="1440" w:gutter="0" w:footer="0" w:header="0"/>
        </w:sectPr>
      </w:pPr>
    </w:p>
    <w:bookmarkStart w:id="602" w:name="page603"/>
    <w:bookmarkEnd w:id="602"/>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89445" cy="7194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989445"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 w:right="320" w:hanging="10"/>
        <w:spacing w:after="0" w:line="281" w:lineRule="auto"/>
        <w:tabs>
          <w:tab w:leader="none" w:pos="444" w:val="left"/>
        </w:tabs>
        <w:numPr>
          <w:ilvl w:val="0"/>
          <w:numId w:val="61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16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QUOTATION FOR SUPPLY OF GENETIC ANALYSIS PRODUCTS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60" w:type="dxa"/>
            <w:vAlign w:val="bottom"/>
            <w:gridSpan w:val="2"/>
          </w:tcPr>
          <w:p>
            <w:pPr>
              <w:jc w:val="center"/>
              <w:ind w:right="1870"/>
              <w:spacing w:after="0"/>
              <w:rPr>
                <w:sz w:val="20"/>
                <w:szCs w:val="20"/>
                <w:color w:val="auto"/>
              </w:rPr>
            </w:pPr>
            <w:r>
              <w:rPr>
                <w:rFonts w:ascii="Arial" w:cs="Arial" w:eastAsia="Arial" w:hAnsi="Arial"/>
                <w:sz w:val="18"/>
                <w:szCs w:val="18"/>
                <w:color w:val="auto"/>
                <w:w w:val="89"/>
              </w:rPr>
              <w:t>Prepared by:</w:t>
            </w:r>
          </w:p>
        </w:tc>
        <w:tc>
          <w:tcPr>
            <w:tcW w:w="1740" w:type="dxa"/>
            <w:vAlign w:val="bottom"/>
          </w:tcPr>
          <w:p>
            <w:pPr>
              <w:spacing w:after="0"/>
              <w:rPr>
                <w:sz w:val="20"/>
                <w:szCs w:val="20"/>
                <w:color w:val="auto"/>
              </w:rPr>
            </w:pPr>
          </w:p>
        </w:tc>
      </w:tr>
      <w:tr>
        <w:trPr>
          <w:trHeight w:val="413"/>
        </w:trPr>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2"/>
          </w:tcPr>
          <w:p>
            <w:pPr>
              <w:jc w:val="center"/>
              <w:ind w:right="1870"/>
              <w:spacing w:after="0"/>
              <w:rPr>
                <w:sz w:val="20"/>
                <w:szCs w:val="20"/>
                <w:color w:val="auto"/>
              </w:rPr>
            </w:pPr>
            <w:r>
              <w:rPr>
                <w:rFonts w:ascii="Arial" w:cs="Arial" w:eastAsia="Arial" w:hAnsi="Arial"/>
                <w:sz w:val="18"/>
                <w:szCs w:val="18"/>
                <w:b w:val="1"/>
                <w:bCs w:val="1"/>
                <w:color w:val="auto"/>
                <w:w w:val="95"/>
              </w:rPr>
              <w:t>Illumina, Inc.</w:t>
            </w:r>
          </w:p>
        </w:tc>
        <w:tc>
          <w:tcPr>
            <w:tcW w:w="17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60" w:type="dxa"/>
            <w:vAlign w:val="bottom"/>
            <w:gridSpan w:val="2"/>
          </w:tcPr>
          <w:p>
            <w:pPr>
              <w:jc w:val="center"/>
              <w:ind w:right="1890"/>
              <w:spacing w:after="0"/>
              <w:rPr>
                <w:sz w:val="20"/>
                <w:szCs w:val="20"/>
                <w:color w:val="auto"/>
              </w:rPr>
            </w:pPr>
            <w:r>
              <w:rPr>
                <w:rFonts w:ascii="Arial" w:cs="Arial" w:eastAsia="Arial" w:hAnsi="Arial"/>
                <w:sz w:val="18"/>
                <w:szCs w:val="18"/>
                <w:b w:val="1"/>
                <w:bCs w:val="1"/>
                <w:color w:val="auto"/>
                <w:w w:val="94"/>
              </w:rPr>
              <w:t>5200 Illumina Way</w:t>
            </w:r>
          </w:p>
        </w:tc>
        <w:tc>
          <w:tcPr>
            <w:tcW w:w="1740" w:type="dxa"/>
            <w:vAlign w:val="bottom"/>
          </w:tcPr>
          <w:p>
            <w:pPr>
              <w:spacing w:after="0"/>
              <w:rPr>
                <w:sz w:val="18"/>
                <w:szCs w:val="18"/>
                <w:color w:val="auto"/>
              </w:rPr>
            </w:pPr>
          </w:p>
        </w:tc>
      </w:tr>
      <w:tr>
        <w:trPr>
          <w:trHeight w:val="234"/>
        </w:trPr>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60" w:type="dxa"/>
            <w:vAlign w:val="bottom"/>
            <w:gridSpan w:val="2"/>
          </w:tcPr>
          <w:p>
            <w:pPr>
              <w:jc w:val="center"/>
              <w:ind w:right="1870"/>
              <w:spacing w:after="0"/>
              <w:rPr>
                <w:sz w:val="20"/>
                <w:szCs w:val="20"/>
                <w:color w:val="auto"/>
              </w:rPr>
            </w:pPr>
            <w:r>
              <w:rPr>
                <w:rFonts w:ascii="Arial" w:cs="Arial" w:eastAsia="Arial" w:hAnsi="Arial"/>
                <w:sz w:val="18"/>
                <w:szCs w:val="18"/>
                <w:b w:val="1"/>
                <w:bCs w:val="1"/>
                <w:color w:val="auto"/>
                <w:w w:val="90"/>
              </w:rPr>
              <w:t>San Diego, CA 92122-4616 , US</w:t>
            </w:r>
          </w:p>
        </w:tc>
        <w:tc>
          <w:tcPr>
            <w:tcW w:w="1740" w:type="dxa"/>
            <w:vAlign w:val="bottom"/>
          </w:tcPr>
          <w:p>
            <w:pPr>
              <w:spacing w:after="0"/>
              <w:rPr>
                <w:sz w:val="20"/>
                <w:szCs w:val="20"/>
                <w:color w:val="auto"/>
              </w:rPr>
            </w:pPr>
          </w:p>
        </w:tc>
      </w:tr>
      <w:tr>
        <w:trPr>
          <w:trHeight w:val="432"/>
        </w:trPr>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2"/>
          </w:tcPr>
          <w:p>
            <w:pPr>
              <w:jc w:val="center"/>
              <w:ind w:right="1890"/>
              <w:spacing w:after="0"/>
              <w:rPr>
                <w:sz w:val="20"/>
                <w:szCs w:val="20"/>
                <w:color w:val="auto"/>
              </w:rPr>
            </w:pPr>
            <w:r>
              <w:rPr>
                <w:rFonts w:ascii="Arial" w:cs="Arial" w:eastAsia="Arial" w:hAnsi="Arial"/>
                <w:sz w:val="18"/>
                <w:szCs w:val="18"/>
                <w:color w:val="auto"/>
                <w:w w:val="93"/>
              </w:rPr>
              <w:t>Hereinafter referred to as “Illumina”</w:t>
            </w:r>
          </w:p>
        </w:tc>
        <w:tc>
          <w:tcPr>
            <w:tcW w:w="1740" w:type="dxa"/>
            <w:vAlign w:val="bottom"/>
          </w:tcPr>
          <w:p>
            <w:pPr>
              <w:spacing w:after="0"/>
              <w:rPr>
                <w:sz w:val="24"/>
                <w:szCs w:val="24"/>
                <w:color w:val="auto"/>
              </w:rPr>
            </w:pPr>
          </w:p>
        </w:tc>
      </w:tr>
      <w:tr>
        <w:trPr>
          <w:trHeight w:val="432"/>
        </w:trPr>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2"/>
          </w:tcPr>
          <w:p>
            <w:pPr>
              <w:jc w:val="center"/>
              <w:ind w:right="1890"/>
              <w:spacing w:after="0"/>
              <w:rPr>
                <w:sz w:val="20"/>
                <w:szCs w:val="20"/>
                <w:color w:val="auto"/>
              </w:rPr>
            </w:pPr>
            <w:r>
              <w:rPr>
                <w:rFonts w:ascii="Arial" w:cs="Arial" w:eastAsia="Arial" w:hAnsi="Arial"/>
                <w:sz w:val="18"/>
                <w:szCs w:val="18"/>
                <w:color w:val="auto"/>
                <w:w w:val="88"/>
              </w:rPr>
              <w:t>Prepared For:</w:t>
            </w:r>
          </w:p>
        </w:tc>
        <w:tc>
          <w:tcPr>
            <w:tcW w:w="1740" w:type="dxa"/>
            <w:vAlign w:val="bottom"/>
          </w:tcPr>
          <w:p>
            <w:pPr>
              <w:spacing w:after="0"/>
              <w:rPr>
                <w:sz w:val="24"/>
                <w:szCs w:val="24"/>
                <w:color w:val="auto"/>
              </w:rPr>
            </w:pPr>
          </w:p>
        </w:tc>
      </w:tr>
      <w:tr>
        <w:trPr>
          <w:trHeight w:val="432"/>
        </w:trPr>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2"/>
          </w:tcPr>
          <w:p>
            <w:pPr>
              <w:jc w:val="center"/>
              <w:ind w:right="1890"/>
              <w:spacing w:after="0"/>
              <w:rPr>
                <w:sz w:val="20"/>
                <w:szCs w:val="20"/>
                <w:color w:val="auto"/>
              </w:rPr>
            </w:pPr>
            <w:r>
              <w:rPr>
                <w:rFonts w:ascii="Arial" w:cs="Arial" w:eastAsia="Arial" w:hAnsi="Arial"/>
                <w:sz w:val="18"/>
                <w:szCs w:val="18"/>
                <w:color w:val="auto"/>
                <w:w w:val="88"/>
              </w:rPr>
              <w:t>Personalis</w:t>
            </w:r>
          </w:p>
        </w:tc>
        <w:tc>
          <w:tcPr>
            <w:tcW w:w="1740" w:type="dxa"/>
            <w:vAlign w:val="bottom"/>
          </w:tcPr>
          <w:p>
            <w:pPr>
              <w:spacing w:after="0"/>
              <w:rPr>
                <w:sz w:val="24"/>
                <w:szCs w:val="24"/>
                <w:color w:val="auto"/>
              </w:rPr>
            </w:pPr>
          </w:p>
        </w:tc>
      </w:tr>
      <w:tr>
        <w:trPr>
          <w:trHeight w:val="432"/>
        </w:trPr>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2"/>
          </w:tcPr>
          <w:p>
            <w:pPr>
              <w:jc w:val="center"/>
              <w:ind w:right="1870"/>
              <w:spacing w:after="0"/>
              <w:rPr>
                <w:sz w:val="20"/>
                <w:szCs w:val="20"/>
                <w:color w:val="auto"/>
              </w:rPr>
            </w:pPr>
            <w:r>
              <w:rPr>
                <w:rFonts w:ascii="Arial" w:cs="Arial" w:eastAsia="Arial" w:hAnsi="Arial"/>
                <w:sz w:val="18"/>
                <w:szCs w:val="18"/>
                <w:color w:val="auto"/>
                <w:w w:val="90"/>
              </w:rPr>
              <w:t>Hereinafter referred to as “ Personalis ”</w:t>
            </w:r>
          </w:p>
        </w:tc>
        <w:tc>
          <w:tcPr>
            <w:tcW w:w="1740" w:type="dxa"/>
            <w:vAlign w:val="bottom"/>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740" w:type="dxa"/>
            <w:vAlign w:val="bottom"/>
          </w:tcPr>
          <w:p>
            <w:pPr>
              <w:spacing w:after="0"/>
              <w:rPr>
                <w:sz w:val="21"/>
                <w:szCs w:val="21"/>
                <w:color w:val="auto"/>
              </w:rPr>
            </w:pPr>
          </w:p>
        </w:tc>
      </w:tr>
      <w:tr>
        <w:trPr>
          <w:trHeight w:val="250"/>
        </w:trPr>
        <w:tc>
          <w:tcPr>
            <w:tcW w:w="1780" w:type="dxa"/>
            <w:vAlign w:val="bottom"/>
            <w:tcBorders>
              <w:right w:val="single" w:sz="8" w:color="auto"/>
            </w:tcBorders>
          </w:tcPr>
          <w:p>
            <w:pPr>
              <w:spacing w:after="0"/>
              <w:rPr>
                <w:sz w:val="21"/>
                <w:szCs w:val="21"/>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Quotation Number:</w:t>
            </w:r>
          </w:p>
        </w:tc>
        <w:tc>
          <w:tcPr>
            <w:tcW w:w="1740" w:type="dxa"/>
            <w:vAlign w:val="bottom"/>
            <w:tcBorders>
              <w:right w:val="single" w:sz="8" w:color="auto"/>
            </w:tcBorders>
          </w:tcPr>
          <w:p>
            <w:pPr>
              <w:spacing w:after="0"/>
              <w:rPr>
                <w:sz w:val="21"/>
                <w:szCs w:val="21"/>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r>
      <w:tr>
        <w:trPr>
          <w:trHeight w:val="337"/>
        </w:trPr>
        <w:tc>
          <w:tcPr>
            <w:tcW w:w="1780" w:type="dxa"/>
            <w:vAlign w:val="bottom"/>
            <w:tcBorders>
              <w:right w:val="single" w:sz="8" w:color="auto"/>
            </w:tcBorders>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Quotation Date:</w:t>
            </w:r>
          </w:p>
        </w:tc>
        <w:tc>
          <w:tcPr>
            <w:tcW w:w="17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February 22, 2019</w:t>
            </w:r>
          </w:p>
        </w:tc>
        <w:tc>
          <w:tcPr>
            <w:tcW w:w="1740" w:type="dxa"/>
            <w:vAlign w:val="bottom"/>
          </w:tcPr>
          <w:p>
            <w:pPr>
              <w:spacing w:after="0"/>
              <w:rPr>
                <w:sz w:val="24"/>
                <w:szCs w:val="24"/>
                <w:color w:val="auto"/>
              </w:rPr>
            </w:pPr>
          </w:p>
        </w:tc>
      </w:tr>
      <w:tr>
        <w:trPr>
          <w:trHeight w:val="337"/>
        </w:trPr>
        <w:tc>
          <w:tcPr>
            <w:tcW w:w="1780" w:type="dxa"/>
            <w:vAlign w:val="bottom"/>
            <w:tcBorders>
              <w:right w:val="single" w:sz="8" w:color="auto"/>
            </w:tcBorders>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Expiration Date:</w:t>
            </w:r>
          </w:p>
        </w:tc>
        <w:tc>
          <w:tcPr>
            <w:tcW w:w="17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February 14, 2020</w:t>
            </w:r>
          </w:p>
        </w:tc>
        <w:tc>
          <w:tcPr>
            <w:tcW w:w="1740" w:type="dxa"/>
            <w:vAlign w:val="bottom"/>
          </w:tcPr>
          <w:p>
            <w:pPr>
              <w:spacing w:after="0"/>
              <w:rPr>
                <w:sz w:val="24"/>
                <w:szCs w:val="24"/>
                <w:color w:val="auto"/>
              </w:rPr>
            </w:pPr>
          </w:p>
        </w:tc>
      </w:tr>
      <w:tr>
        <w:trPr>
          <w:trHeight w:val="337"/>
        </w:trPr>
        <w:tc>
          <w:tcPr>
            <w:tcW w:w="1780" w:type="dxa"/>
            <w:vAlign w:val="bottom"/>
            <w:tcBorders>
              <w:right w:val="single" w:sz="8" w:color="auto"/>
            </w:tcBorders>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Prepared By:</w:t>
            </w:r>
          </w:p>
        </w:tc>
        <w:tc>
          <w:tcPr>
            <w:tcW w:w="17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r>
      <w:tr>
        <w:trPr>
          <w:trHeight w:val="337"/>
        </w:trPr>
        <w:tc>
          <w:tcPr>
            <w:tcW w:w="1780" w:type="dxa"/>
            <w:vAlign w:val="bottom"/>
            <w:tcBorders>
              <w:right w:val="single" w:sz="8" w:color="auto"/>
            </w:tcBorders>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Phone Number:</w:t>
            </w:r>
          </w:p>
        </w:tc>
        <w:tc>
          <w:tcPr>
            <w:tcW w:w="17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r>
      <w:tr>
        <w:trPr>
          <w:trHeight w:val="337"/>
        </w:trPr>
        <w:tc>
          <w:tcPr>
            <w:tcW w:w="1780" w:type="dxa"/>
            <w:vAlign w:val="bottom"/>
            <w:tcBorders>
              <w:right w:val="single" w:sz="8" w:color="auto"/>
            </w:tcBorders>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Email:</w:t>
            </w:r>
          </w:p>
        </w:tc>
        <w:tc>
          <w:tcPr>
            <w:tcW w:w="17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r>
      <w:tr>
        <w:trPr>
          <w:trHeight w:val="54"/>
        </w:trPr>
        <w:tc>
          <w:tcPr>
            <w:tcW w:w="1780" w:type="dxa"/>
            <w:vAlign w:val="bottom"/>
            <w:tcBorders>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1740" w:type="dxa"/>
            <w:vAlign w:val="bottom"/>
          </w:tcPr>
          <w:p>
            <w:pPr>
              <w:spacing w:after="0"/>
              <w:rPr>
                <w:sz w:val="4"/>
                <w:szCs w:val="4"/>
                <w:color w:val="auto"/>
              </w:rPr>
            </w:pPr>
          </w:p>
        </w:tc>
      </w:tr>
      <w:tr>
        <w:trPr>
          <w:trHeight w:val="155"/>
        </w:trPr>
        <w:tc>
          <w:tcPr>
            <w:tcW w:w="17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12</w:t>
      </w:r>
    </w:p>
    <w:p>
      <w:pPr>
        <w:sectPr>
          <w:pgSz w:w="11900" w:h="16838" w:orient="portrait"/>
          <w:cols w:equalWidth="0" w:num="1">
            <w:col w:w="11010"/>
          </w:cols>
          <w:pgMar w:left="450" w:top="121" w:right="439" w:bottom="1440" w:gutter="0" w:footer="0" w:header="0"/>
        </w:sectPr>
      </w:pPr>
    </w:p>
    <w:bookmarkStart w:id="603" w:name="page604"/>
    <w:bookmarkEnd w:id="603"/>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989445" cy="8255"/>
                    </a:xfrm>
                    <a:prstGeom prst="rect">
                      <a:avLst/>
                    </a:prstGeom>
                    <a:noFill/>
                  </pic:spPr>
                </pic:pic>
              </a:graphicData>
            </a:graphic>
          </wp:anchor>
        </w:drawing>
        <w:t>I. CUSTOMER INFORMATION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4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Company or Institution Name:</w:t>
            </w:r>
          </w:p>
        </w:tc>
        <w:tc>
          <w:tcPr>
            <w:tcW w:w="56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Personalis</w:t>
            </w:r>
          </w:p>
        </w:tc>
      </w:tr>
      <w:tr>
        <w:trPr>
          <w:trHeight w:val="337"/>
        </w:trPr>
        <w:tc>
          <w:tcPr>
            <w:tcW w:w="5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Address:</w:t>
            </w:r>
          </w:p>
        </w:tc>
        <w:tc>
          <w:tcPr>
            <w:tcW w:w="5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1330 Obrien Dr, Menlo Park CA 94025-1436.</w:t>
            </w:r>
          </w:p>
        </w:tc>
      </w:tr>
      <w:tr>
        <w:trPr>
          <w:trHeight w:val="54"/>
        </w:trPr>
        <w:tc>
          <w:tcPr>
            <w:tcW w:w="540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bl>
    <w:p>
      <w:pPr>
        <w:spacing w:after="0" w:line="30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II. PRODUCT &amp; PRICING INFORMATION</w:t>
      </w:r>
    </w:p>
    <w:p>
      <w:pPr>
        <w:spacing w:after="0" w:line="117" w:lineRule="exact"/>
        <w:rPr>
          <w:sz w:val="20"/>
          <w:szCs w:val="20"/>
          <w:color w:val="auto"/>
        </w:rPr>
      </w:pPr>
    </w:p>
    <w:p>
      <w:pPr>
        <w:ind w:left="10" w:right="120"/>
        <w:spacing w:after="0" w:line="281" w:lineRule="auto"/>
        <w:rPr>
          <w:sz w:val="20"/>
          <w:szCs w:val="20"/>
          <w:color w:val="auto"/>
        </w:rPr>
      </w:pPr>
      <w:r>
        <w:rPr>
          <w:rFonts w:ascii="Arial" w:cs="Arial" w:eastAsia="Arial" w:hAnsi="Arial"/>
          <w:sz w:val="18"/>
          <w:szCs w:val="18"/>
          <w:b w:val="1"/>
          <w:bCs w:val="1"/>
          <w:color w:val="auto"/>
        </w:rPr>
        <w:t>Customer receives the following [***] on the product families listed below (excludes [***] consumables, software, hardware or new instrument purchases). For [***] to apply, Customer must agree to the following:</w:t>
      </w:r>
    </w:p>
    <w:p>
      <w:pPr>
        <w:spacing w:after="0" w:line="72" w:lineRule="exact"/>
        <w:rPr>
          <w:sz w:val="20"/>
          <w:szCs w:val="20"/>
          <w:color w:val="auto"/>
        </w:rPr>
      </w:pPr>
    </w:p>
    <w:p>
      <w:pPr>
        <w:ind w:left="430" w:hanging="430"/>
        <w:spacing w:after="0"/>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This Master Quote, which can be used for multiple purchases, will only be valid until 5:00pm on the expiration date listed on page 1.</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All Customer Purchase Orders received by Illumina [***] must be in the quoted currency and reference this quotation.</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Illumina shall at its sole discretion, adjust [***] for future products or for any [***] to the products offered on this Quotation.</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pricing and terms of this offer are kept confidential except as needed to execute the purchase.</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for consumables applies only to the product families specified in the table herein.</w:t>
      </w:r>
    </w:p>
    <w:p>
      <w:pPr>
        <w:spacing w:after="0" w:line="130" w:lineRule="exact"/>
        <w:rPr>
          <w:rFonts w:ascii="Arial" w:cs="Arial" w:eastAsia="Arial" w:hAnsi="Arial"/>
          <w:sz w:val="18"/>
          <w:szCs w:val="18"/>
          <w:color w:val="auto"/>
        </w:rPr>
      </w:pPr>
    </w:p>
    <w:p>
      <w:pPr>
        <w:ind w:left="430" w:right="200" w:hanging="430"/>
        <w:spacing w:after="0" w:line="263" w:lineRule="auto"/>
        <w:tabs>
          <w:tab w:leader="none" w:pos="43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Customer understands that product pricing stated herein is not inclusive of any applicable shipping, freight and/or taxes. Any estimated shipping and freight charges listed on this quotation may differ from actual charges. Any shipping/freight costs will be pre-paid and charged back to Customer. Customer accepts responsibility for any actual incurred shipping/freight costs.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FF8500"/>
          </w:tcPr>
          <w:p>
            <w:pPr>
              <w:jc w:val="right"/>
              <w:ind w:right="2470"/>
              <w:spacing w:after="0"/>
              <w:rPr>
                <w:sz w:val="20"/>
                <w:szCs w:val="20"/>
                <w:color w:val="auto"/>
              </w:rPr>
            </w:pPr>
            <w:r>
              <w:rPr>
                <w:rFonts w:ascii="Arial" w:cs="Arial" w:eastAsia="Arial" w:hAnsi="Arial"/>
                <w:sz w:val="18"/>
                <w:szCs w:val="18"/>
                <w:b w:val="1"/>
                <w:bCs w:val="1"/>
                <w:color w:val="auto"/>
              </w:rPr>
              <w:t>[***]</w:t>
            </w:r>
          </w:p>
        </w:tc>
        <w:tc>
          <w:tcPr>
            <w:tcW w:w="5380" w:type="dxa"/>
            <w:vAlign w:val="bottom"/>
            <w:tcBorders>
              <w:top w:val="single" w:sz="8" w:color="auto"/>
              <w:bottom w:val="single" w:sz="8" w:color="auto"/>
              <w:right w:val="single" w:sz="8" w:color="auto"/>
            </w:tcBorders>
            <w:shd w:val="clear" w:color="auto" w:fill="FF8500"/>
          </w:tcPr>
          <w:p>
            <w:pPr>
              <w:jc w:val="right"/>
              <w:ind w:right="2330"/>
              <w:spacing w:after="0"/>
              <w:rPr>
                <w:sz w:val="20"/>
                <w:szCs w:val="20"/>
                <w:color w:val="auto"/>
              </w:rPr>
            </w:pPr>
            <w:r>
              <w:rPr>
                <w:rFonts w:ascii="Arial" w:cs="Arial" w:eastAsia="Arial" w:hAnsi="Arial"/>
                <w:sz w:val="18"/>
                <w:szCs w:val="18"/>
                <w:b w:val="1"/>
                <w:bCs w:val="1"/>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53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53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53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53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8335" cy="47117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998335" cy="471170"/>
                    </a:xfrm>
                    <a:prstGeom prst="rect">
                      <a:avLst/>
                    </a:prstGeom>
                    <a:noFill/>
                  </pic:spPr>
                </pic:pic>
              </a:graphicData>
            </a:graphic>
          </wp:anchor>
        </w:drawing>
      </w:r>
    </w:p>
    <w:p>
      <w:pPr>
        <w:spacing w:after="0" w:line="231" w:lineRule="exact"/>
        <w:rPr>
          <w:sz w:val="20"/>
          <w:szCs w:val="20"/>
          <w:color w:val="auto"/>
        </w:rPr>
      </w:pPr>
    </w:p>
    <w:p>
      <w:pPr>
        <w:ind w:left="15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0" w:type="dxa"/>
            <w:vAlign w:val="bottom"/>
            <w:tcBorders>
              <w:top w:val="single" w:sz="8" w:color="FF8500"/>
            </w:tcBorders>
            <w:shd w:val="clear" w:color="auto" w:fill="FF8500"/>
          </w:tcPr>
          <w:p>
            <w:pPr>
              <w:spacing w:after="0"/>
              <w:rPr>
                <w:sz w:val="19"/>
                <w:szCs w:val="19"/>
                <w:color w:val="auto"/>
              </w:rPr>
            </w:pPr>
          </w:p>
        </w:tc>
        <w:tc>
          <w:tcPr>
            <w:tcW w:w="2100" w:type="dxa"/>
            <w:vAlign w:val="bottom"/>
            <w:tcBorders>
              <w:top w:val="single" w:sz="8" w:color="auto"/>
              <w:bottom w:val="single" w:sz="8" w:color="auto"/>
              <w:right w:val="single" w:sz="8" w:color="auto"/>
            </w:tcBorders>
            <w:shd w:val="clear" w:color="auto" w:fill="FF8500"/>
          </w:tcPr>
          <w:p>
            <w:pPr>
              <w:jc w:val="right"/>
              <w:ind w:right="710"/>
              <w:spacing w:after="0"/>
              <w:rPr>
                <w:sz w:val="20"/>
                <w:szCs w:val="20"/>
                <w:color w:val="auto"/>
              </w:rPr>
            </w:pPr>
            <w:r>
              <w:rPr>
                <w:rFonts w:ascii="Arial" w:cs="Arial" w:eastAsia="Arial" w:hAnsi="Arial"/>
                <w:sz w:val="18"/>
                <w:szCs w:val="18"/>
                <w:b w:val="1"/>
                <w:bCs w:val="1"/>
                <w:color w:val="auto"/>
              </w:rPr>
              <w:t>[***]</w:t>
            </w:r>
          </w:p>
        </w:tc>
        <w:tc>
          <w:tcPr>
            <w:tcW w:w="4500" w:type="dxa"/>
            <w:vAlign w:val="bottom"/>
            <w:tcBorders>
              <w:top w:val="single" w:sz="8" w:color="auto"/>
              <w:bottom w:val="single" w:sz="8" w:color="auto"/>
              <w:right w:val="single" w:sz="8" w:color="auto"/>
            </w:tcBorders>
            <w:shd w:val="clear" w:color="auto" w:fill="FF8500"/>
          </w:tcPr>
          <w:p>
            <w:pPr>
              <w:jc w:val="right"/>
              <w:ind w:right="1870"/>
              <w:spacing w:after="0"/>
              <w:rPr>
                <w:sz w:val="20"/>
                <w:szCs w:val="20"/>
                <w:color w:val="auto"/>
              </w:rPr>
            </w:pPr>
            <w:r>
              <w:rPr>
                <w:rFonts w:ascii="Arial" w:cs="Arial" w:eastAsia="Arial" w:hAnsi="Arial"/>
                <w:sz w:val="18"/>
                <w:szCs w:val="18"/>
                <w:b w:val="1"/>
                <w:bCs w:val="1"/>
                <w:color w:val="auto"/>
              </w:rPr>
              <w:t>[***]</w:t>
            </w:r>
          </w:p>
        </w:tc>
        <w:tc>
          <w:tcPr>
            <w:tcW w:w="4380" w:type="dxa"/>
            <w:vAlign w:val="bottom"/>
            <w:tcBorders>
              <w:top w:val="single" w:sz="8" w:color="auto"/>
              <w:bottom w:val="single" w:sz="8" w:color="auto"/>
            </w:tcBorders>
            <w:shd w:val="clear" w:color="auto" w:fill="FF8500"/>
          </w:tcPr>
          <w:p>
            <w:pPr>
              <w:jc w:val="right"/>
              <w:ind w:right="183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1870"/>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698944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Page 2 of 12</w:t>
      </w:r>
    </w:p>
    <w:p>
      <w:pPr>
        <w:sectPr>
          <w:pgSz w:w="11900" w:h="16838" w:orient="portrait"/>
          <w:cols w:equalWidth="0" w:num="1">
            <w:col w:w="11030"/>
          </w:cols>
          <w:pgMar w:left="450" w:top="878" w:right="41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440055</wp:posOffset>
            </wp:positionV>
            <wp:extent cx="698944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12</w:t>
      </w:r>
    </w:p>
    <w:p>
      <w:pPr>
        <w:sectPr>
          <w:pgSz w:w="11900" w:h="16838" w:orient="portrait"/>
          <w:cols w:equalWidth="0" w:num="1">
            <w:col w:w="11000"/>
          </w:cols>
          <w:pgMar w:left="460" w:top="881" w:right="43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182880</wp:posOffset>
            </wp:positionV>
            <wp:extent cx="6989445" cy="1968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440055</wp:posOffset>
            </wp:positionV>
            <wp:extent cx="698944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12</w:t>
      </w:r>
    </w:p>
    <w:p>
      <w:pPr>
        <w:sectPr>
          <w:pgSz w:w="11900" w:h="16838" w:orient="portrait"/>
          <w:cols w:equalWidth="0" w:num="1">
            <w:col w:w="11000"/>
          </w:cols>
          <w:pgMar w:left="460" w:top="880" w:right="439" w:bottom="1440" w:gutter="0" w:footer="0" w:header="0"/>
        </w:sectPr>
      </w:pPr>
    </w:p>
    <w:bookmarkStart w:id="606" w:name="page607"/>
    <w:bookmarkEnd w:id="6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12</w:t>
      </w:r>
    </w:p>
    <w:p>
      <w:pPr>
        <w:sectPr>
          <w:pgSz w:w="11900" w:h="16838" w:orient="portrait"/>
          <w:cols w:equalWidth="0" w:num="1">
            <w:col w:w="11000"/>
          </w:cols>
          <w:pgMar w:left="460" w:top="881" w:right="439" w:bottom="1440" w:gutter="0" w:footer="0" w:header="0"/>
        </w:sectPr>
      </w:pPr>
    </w:p>
    <w:bookmarkStart w:id="607" w:name="page608"/>
    <w:bookmarkEnd w:id="6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182880</wp:posOffset>
            </wp:positionV>
            <wp:extent cx="6989445" cy="1968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440055</wp:posOffset>
            </wp:positionV>
            <wp:extent cx="698944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12</w:t>
      </w:r>
    </w:p>
    <w:p>
      <w:pPr>
        <w:sectPr>
          <w:pgSz w:w="11900" w:h="16838" w:orient="portrait"/>
          <w:cols w:equalWidth="0" w:num="1">
            <w:col w:w="11000"/>
          </w:cols>
          <w:pgMar w:left="460" w:top="881" w:right="43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12</w:t>
      </w:r>
    </w:p>
    <w:p>
      <w:pPr>
        <w:sectPr>
          <w:pgSz w:w="11900" w:h="16838" w:orient="portrait"/>
          <w:cols w:equalWidth="0" w:num="1">
            <w:col w:w="11000"/>
          </w:cols>
          <w:pgMar w:left="460" w:top="882" w:right="43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184150</wp:posOffset>
            </wp:positionV>
            <wp:extent cx="6989445" cy="1968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8944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12</w:t>
      </w:r>
    </w:p>
    <w:p>
      <w:pPr>
        <w:sectPr>
          <w:pgSz w:w="11900" w:h="16838" w:orient="portrait"/>
          <w:cols w:equalWidth="0" w:num="1">
            <w:col w:w="11000"/>
          </w:cols>
          <w:pgMar w:left="460" w:top="882" w:right="4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440055</wp:posOffset>
            </wp:positionV>
            <wp:extent cx="698944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989445" cy="8255"/>
                    </a:xfrm>
                    <a:prstGeom prst="rect">
                      <a:avLst/>
                    </a:prstGeom>
                    <a:noFill/>
                  </pic:spPr>
                </pic:pic>
              </a:graphicData>
            </a:graphic>
          </wp:anchor>
        </w:drawing>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CONDITIONS OF SALE</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By submitting an order, Customer accepts and agrees that the Terms and Conditions is the sole and exclusive agreement between Customer and Illumina with respect to the Illumina products and/or services as described above and accepts all other terms of this quotation. NOTWITHSTANDING THE FOREGOING, IF ILLUMINA AND CUSTOMER HAVE ENTERED INTO A VALID AND ENFORCEABLE AGREEMENT GOVERNING THE ILLUMINA PRODUCTS AND/OR SERVICES DESCRIBED ABOVE, THE ORDER OF PRECEDENCE BETWEEN THE AGREEMENT AND THE TERMS AND CONDITIONS SHALL BE AS FOLLOWS: IN THE EVENT OF A CONFLICT BETWEEN THE TERMS OF THE AGREEMENT AND THE TERMS AND CONDITIONS, OR IF THE AGREEMENT INCLUDES ADDITIONAL TERMS NOT ADDRESSED IN THE TERMS AND CONDITIONS, THE AGREEMENT SHALL GOVERN WITH RESPECT TO SUCH TERMS. Illumina does not supply plastics such as microplates or pipette tips for use in the listed assays and these are not included in the consumables pricing provided; however, as a result of the highly multiplexed nature of all assays, plastics alone contribute minimally to the final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698944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12</w:t>
      </w:r>
    </w:p>
    <w:p>
      <w:pPr>
        <w:sectPr>
          <w:pgSz w:w="11900" w:h="16838" w:orient="portrait"/>
          <w:cols w:equalWidth="0" w:num="1">
            <w:col w:w="11000"/>
          </w:cols>
          <w:pgMar w:left="460" w:top="881" w:right="439" w:bottom="1440" w:gutter="0" w:footer="0" w:header="0"/>
        </w:sectPr>
      </w:pPr>
    </w:p>
    <w:bookmarkStart w:id="611" w:name="page612"/>
    <w:bookmarkEnd w:id="61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989445" cy="8255"/>
                    </a:xfrm>
                    <a:prstGeom prst="rect">
                      <a:avLst/>
                    </a:prstGeom>
                    <a:noFill/>
                  </pic:spPr>
                </pic:pic>
              </a:graphicData>
            </a:graphic>
          </wp:anchor>
        </w:drawing>
        <w:t>Customer and Illumina agree as follows:</w:t>
      </w:r>
    </w:p>
    <w:p>
      <w:pPr>
        <w:spacing w:after="0" w:line="130" w:lineRule="exact"/>
        <w:rPr>
          <w:sz w:val="20"/>
          <w:szCs w:val="20"/>
          <w:color w:val="auto"/>
        </w:rPr>
      </w:pPr>
    </w:p>
    <w:p>
      <w:pPr>
        <w:ind w:left="430" w:right="60" w:hanging="430"/>
        <w:spacing w:after="0" w:line="277" w:lineRule="auto"/>
        <w:tabs>
          <w:tab w:leader="none" w:pos="43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Customer’s purchase of the products referenced in this Quotation is not conditioned on future performance characteristics or applications, whether or not realized.</w:t>
      </w:r>
    </w:p>
    <w:p>
      <w:pPr>
        <w:spacing w:after="0" w:line="75" w:lineRule="exact"/>
        <w:rPr>
          <w:rFonts w:ascii="Arial" w:cs="Arial" w:eastAsia="Arial" w:hAnsi="Arial"/>
          <w:sz w:val="18"/>
          <w:szCs w:val="18"/>
          <w:color w:val="auto"/>
        </w:rPr>
      </w:pPr>
    </w:p>
    <w:p>
      <w:pPr>
        <w:ind w:left="430" w:hanging="430"/>
        <w:spacing w:after="0"/>
        <w:tabs>
          <w:tab w:leader="none" w:pos="430" w:val="left"/>
        </w:tabs>
        <w:numPr>
          <w:ilvl w:val="0"/>
          <w:numId w:val="612"/>
        </w:numPr>
        <w:rPr>
          <w:rFonts w:ascii="Arial" w:cs="Arial" w:eastAsia="Arial" w:hAnsi="Arial"/>
          <w:sz w:val="16"/>
          <w:szCs w:val="16"/>
          <w:color w:val="auto"/>
        </w:rPr>
      </w:pPr>
      <w:r>
        <w:rPr>
          <w:rFonts w:ascii="Arial" w:cs="Arial" w:eastAsia="Arial" w:hAnsi="Arial"/>
          <w:sz w:val="16"/>
          <w:szCs w:val="16"/>
          <w:color w:val="auto"/>
        </w:rPr>
        <w:t>Unless otherwise agreed by Illumina in writing, Illumina will not assist Customer in developing, testing, or validating unsupported applications.</w:t>
      </w:r>
    </w:p>
    <w:p>
      <w:pPr>
        <w:spacing w:after="0" w:line="153" w:lineRule="exact"/>
        <w:rPr>
          <w:rFonts w:ascii="Arial" w:cs="Arial" w:eastAsia="Arial" w:hAnsi="Arial"/>
          <w:sz w:val="16"/>
          <w:szCs w:val="16"/>
          <w:color w:val="auto"/>
        </w:rPr>
      </w:pPr>
    </w:p>
    <w:p>
      <w:pPr>
        <w:ind w:left="430" w:hanging="430"/>
        <w:spacing w:after="0"/>
        <w:tabs>
          <w:tab w:leader="none" w:pos="43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Illumina will not replace any consumables or reagent kits if the cause of any performance failure is due to unsupported applications.</w:t>
      </w:r>
    </w:p>
    <w:p>
      <w:pPr>
        <w:spacing w:after="0" w:line="130" w:lineRule="exact"/>
        <w:rPr>
          <w:rFonts w:ascii="Arial" w:cs="Arial" w:eastAsia="Arial" w:hAnsi="Arial"/>
          <w:sz w:val="18"/>
          <w:szCs w:val="18"/>
          <w:color w:val="auto"/>
        </w:rPr>
      </w:pPr>
    </w:p>
    <w:p>
      <w:pPr>
        <w:ind w:left="430" w:right="180" w:hanging="430"/>
        <w:spacing w:after="0" w:line="277" w:lineRule="auto"/>
        <w:tabs>
          <w:tab w:leader="none" w:pos="43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Illumina is unable to provide any assurances or guarantee that the performance of the products referenced in this Quotation will match published specifications when used for unsupported applications.</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IV. SHIP HOLD</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cases where this Quotation does not include a pre-defined ship schedule, the following ship hold terms shall apply:</w:t>
      </w:r>
    </w:p>
    <w:p>
      <w:pPr>
        <w:spacing w:after="0" w:line="130" w:lineRule="exact"/>
        <w:rPr>
          <w:sz w:val="20"/>
          <w:szCs w:val="20"/>
          <w:color w:val="auto"/>
        </w:rPr>
      </w:pPr>
    </w:p>
    <w:p>
      <w:pPr>
        <w:jc w:val="both"/>
        <w:ind w:left="430" w:right="460" w:hanging="430"/>
        <w:spacing w:after="0" w:line="263" w:lineRule="auto"/>
        <w:tabs>
          <w:tab w:leader="none" w:pos="43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All orders must have a defined ship schedule. The initial ship date must be no later than three (3) months from the date the purchase order is received by Illumina (as provided in the Order Confirmation) and the entire order must be shipped complete within twelve (12) months from Illumina’s receipt of the purchase order.</w:t>
      </w:r>
    </w:p>
    <w:p>
      <w:pPr>
        <w:spacing w:after="0" w:line="88" w:lineRule="exact"/>
        <w:rPr>
          <w:rFonts w:ascii="Arial" w:cs="Arial" w:eastAsia="Arial" w:hAnsi="Arial"/>
          <w:sz w:val="18"/>
          <w:szCs w:val="18"/>
          <w:color w:val="auto"/>
        </w:rPr>
      </w:pPr>
    </w:p>
    <w:p>
      <w:pPr>
        <w:ind w:left="430" w:right="20" w:hanging="430"/>
        <w:spacing w:after="0" w:line="277" w:lineRule="auto"/>
        <w:tabs>
          <w:tab w:leader="none" w:pos="43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Any exceptions to these ship hold terms must be agreed to in writing by Illumina and the Customer must pre-pay at least fifty percent (50%) of the purchase order amount of the affected shipments.</w:t>
      </w:r>
    </w:p>
    <w:p>
      <w:pPr>
        <w:spacing w:after="0" w:line="75" w:lineRule="exact"/>
        <w:rPr>
          <w:rFonts w:ascii="Arial" w:cs="Arial" w:eastAsia="Arial" w:hAnsi="Arial"/>
          <w:sz w:val="18"/>
          <w:szCs w:val="18"/>
          <w:color w:val="auto"/>
        </w:rPr>
      </w:pPr>
    </w:p>
    <w:p>
      <w:pPr>
        <w:ind w:left="430" w:right="360" w:hanging="430"/>
        <w:spacing w:after="0" w:line="277" w:lineRule="auto"/>
        <w:tabs>
          <w:tab w:leader="none" w:pos="43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Customers may request two (2) shipment delays for any single purchase order. The total months of delayed shipment for shipments associated with a single purchase order shall not exceed six (6) months.</w:t>
      </w:r>
    </w:p>
    <w:p>
      <w:pPr>
        <w:spacing w:after="0" w:line="75" w:lineRule="exact"/>
        <w:rPr>
          <w:rFonts w:ascii="Arial" w:cs="Arial" w:eastAsia="Arial" w:hAnsi="Arial"/>
          <w:sz w:val="18"/>
          <w:szCs w:val="18"/>
          <w:color w:val="auto"/>
        </w:rPr>
      </w:pPr>
    </w:p>
    <w:p>
      <w:pPr>
        <w:ind w:left="430" w:right="180" w:hanging="430"/>
        <w:spacing w:after="0" w:line="277" w:lineRule="auto"/>
        <w:tabs>
          <w:tab w:leader="none" w:pos="43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If Customer has requested a delayed shipment, Illumina reserves the right to change the lead time necessary to initiate Customer’s first shipment (which may be longer than the lead time quoted at the time of the order placement).</w:t>
      </w:r>
    </w:p>
    <w:p>
      <w:pPr>
        <w:spacing w:after="0" w:line="75" w:lineRule="exact"/>
        <w:rPr>
          <w:rFonts w:ascii="Arial" w:cs="Arial" w:eastAsia="Arial" w:hAnsi="Arial"/>
          <w:sz w:val="18"/>
          <w:szCs w:val="18"/>
          <w:color w:val="auto"/>
        </w:rPr>
      </w:pPr>
    </w:p>
    <w:p>
      <w:pPr>
        <w:ind w:left="430" w:right="20" w:hanging="430"/>
        <w:spacing w:after="0" w:line="277" w:lineRule="auto"/>
        <w:tabs>
          <w:tab w:leader="none" w:pos="43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If Customer cannot take shipment in accordance with these terms, Illumina reserves the right to cancel the order in its entirety without any liability to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98944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12</w:t>
      </w:r>
    </w:p>
    <w:p>
      <w:pPr>
        <w:sectPr>
          <w:pgSz w:w="11900" w:h="16838" w:orient="portrait"/>
          <w:cols w:equalWidth="0" w:num="1">
            <w:col w:w="11010"/>
          </w:cols>
          <w:pgMar w:left="450" w:top="881" w:right="439" w:bottom="1440" w:gutter="0" w:footer="0" w:header="0"/>
        </w:sectPr>
      </w:pPr>
    </w:p>
    <w:bookmarkStart w:id="612" w:name="page613"/>
    <w:bookmarkEnd w:id="6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6989445" cy="1968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989445" cy="8255"/>
                    </a:xfrm>
                    <a:prstGeom prst="rect">
                      <a:avLst/>
                    </a:prstGeom>
                    <a:noFill/>
                  </pic:spPr>
                </pic:pic>
              </a:graphicData>
            </a:graphic>
          </wp:anchor>
        </w:drawing>
        <w:t>V. HOW TO ORDER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RUO &amp; DX Goods, Instruments and Warranty Coverage (including BlueGnome)</w:t>
      </w:r>
    </w:p>
    <w:p>
      <w:pPr>
        <w:sectPr>
          <w:pgSz w:w="11900" w:h="16838" w:orient="portrait"/>
          <w:cols w:equalWidth="0" w:num="1">
            <w:col w:w="11000"/>
          </w:cols>
          <w:pgMar w:left="460" w:top="87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all consumable orders:</w:t>
      </w:r>
    </w:p>
    <w:p>
      <w:pPr>
        <w:spacing w:after="0" w:line="252" w:lineRule="exact"/>
        <w:rPr>
          <w:sz w:val="20"/>
          <w:szCs w:val="20"/>
          <w:color w:val="auto"/>
        </w:rPr>
      </w:pPr>
    </w:p>
    <w:p>
      <w:pPr>
        <w:ind w:left="140" w:right="1060"/>
        <w:spacing w:after="0" w:line="277" w:lineRule="auto"/>
        <w:rPr>
          <w:sz w:val="20"/>
          <w:szCs w:val="20"/>
          <w:color w:val="auto"/>
        </w:rPr>
      </w:pPr>
      <w:r>
        <w:rPr>
          <w:rFonts w:ascii="Arial" w:cs="Arial" w:eastAsia="Arial" w:hAnsi="Arial"/>
          <w:sz w:val="18"/>
          <w:szCs w:val="18"/>
          <w:color w:val="auto"/>
        </w:rPr>
        <w:t>Please submit your order online through MyIllumina (http://my.illumina.com).</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all other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-130175</wp:posOffset>
            </wp:positionV>
            <wp:extent cx="6998335" cy="155067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998335" cy="1550670"/>
                    </a:xfrm>
                    <a:prstGeom prst="rect">
                      <a:avLst/>
                    </a:prstGeom>
                    <a:noFill/>
                  </pic:spPr>
                </pic:pic>
              </a:graphicData>
            </a:graphic>
          </wp:anchor>
        </w:drawing>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submit your institutional Purchase Order and a complete copy of this quotation to the attention of:</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Illumina Customer Service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customerservice@illumina.com</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+1.858.202.4566</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Toll Free: +1.800.809.ILMN (4566)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+1.858.202.4766</w:t>
      </w:r>
    </w:p>
    <w:p>
      <w:pPr>
        <w:spacing w:after="0" w:line="200" w:lineRule="exact"/>
        <w:rPr>
          <w:sz w:val="20"/>
          <w:szCs w:val="20"/>
          <w:color w:val="auto"/>
        </w:rPr>
      </w:pPr>
    </w:p>
    <w:p>
      <w:pPr>
        <w:sectPr>
          <w:pgSz w:w="11900" w:h="16838" w:orient="portrait"/>
          <w:cols w:equalWidth="0" w:num="2">
            <w:col w:w="5000" w:space="720"/>
            <w:col w:w="5280"/>
          </w:cols>
          <w:pgMar w:left="460" w:top="878" w:right="4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EXPIRATION OF OFFER</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offer contained in this document is revocable at the sole discretion of Illumina if not executed by Customer and a purchase order received by Illumina before 5:00 pm Pacific Time on the expiration date shown on page 1 of this quotation.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98944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12</w:t>
      </w:r>
    </w:p>
    <w:p>
      <w:pPr>
        <w:sectPr>
          <w:pgSz w:w="11900" w:h="16838" w:orient="portrait"/>
          <w:cols w:equalWidth="0" w:num="1">
            <w:col w:w="11000"/>
          </w:cols>
          <w:pgMar w:left="460" w:top="878" w:right="439" w:bottom="1440" w:gutter="0" w:footer="0" w:header="0"/>
          <w:type w:val="continuous"/>
        </w:sectPr>
      </w:pPr>
    </w:p>
    <w:bookmarkStart w:id="613" w:name="page614"/>
    <w:bookmarkEnd w:id="6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184150</wp:posOffset>
            </wp:positionV>
            <wp:extent cx="6989445" cy="1968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989445" cy="19685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440690</wp:posOffset>
            </wp:positionV>
            <wp:extent cx="698944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989445" cy="8255"/>
                    </a:xfrm>
                    <a:prstGeom prst="rect">
                      <a:avLst/>
                    </a:prstGeom>
                    <a:noFill/>
                  </pic:spPr>
                </pic:pic>
              </a:graphicData>
            </a:graphic>
          </wp:anchor>
        </w:drawing>
        <w:t>Terms and Conditions of Sale</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http://www.illumina.com/content/dam/illumina-marketing/documents/terms-conditions/united-states/usa-terms-and-conditions-of-sale-general.pdf. Additionally, if Customer is purchasing Illumina professional consulting services as relate to instruments, Customer environment or workflows (in all cases, excluding instrument warranty services) (“Professional Services”), Customer agrees such Professional Services are exclusively governed by the Terms and Conditions - Services (Professional Services) located here: http://www.illumina.com/content/dam/ illumina-marketing/ documents/company/terms-and-conditions-services.pdf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698944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12</w:t>
      </w:r>
    </w:p>
    <w:p>
      <w:pPr>
        <w:sectPr>
          <w:pgSz w:w="11900" w:h="16838" w:orient="portrait"/>
          <w:cols w:equalWidth="0" w:num="1">
            <w:col w:w="11000"/>
          </w:cols>
          <w:pgMar w:left="460" w:top="878" w:right="439" w:bottom="1440" w:gutter="0" w:footer="0" w:header="0"/>
        </w:sectPr>
      </w:pPr>
    </w:p>
    <w:bookmarkStart w:id="614" w:name="page615"/>
    <w:bookmarkEnd w:id="614"/>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89445" cy="3854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989445" cy="38544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711200</wp:posOffset>
            </wp:positionV>
            <wp:extent cx="2192655" cy="50546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19265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320" w:hanging="10"/>
        <w:spacing w:after="0" w:line="281" w:lineRule="auto"/>
        <w:tabs>
          <w:tab w:leader="none" w:pos="444"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16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QUOTATION FOR SUPPLY OF GENETIC ANALYSIS PRODUCTS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340" w:type="dxa"/>
            <w:vAlign w:val="bottom"/>
            <w:gridSpan w:val="2"/>
          </w:tcPr>
          <w:p>
            <w:pPr>
              <w:jc w:val="center"/>
              <w:ind w:right="1690"/>
              <w:spacing w:after="0"/>
              <w:rPr>
                <w:sz w:val="20"/>
                <w:szCs w:val="20"/>
                <w:color w:val="auto"/>
              </w:rPr>
            </w:pPr>
            <w:r>
              <w:rPr>
                <w:rFonts w:ascii="Arial" w:cs="Arial" w:eastAsia="Arial" w:hAnsi="Arial"/>
                <w:sz w:val="18"/>
                <w:szCs w:val="18"/>
                <w:color w:val="auto"/>
                <w:w w:val="89"/>
              </w:rPr>
              <w:t>Prepared by:</w:t>
            </w:r>
          </w:p>
        </w:tc>
        <w:tc>
          <w:tcPr>
            <w:tcW w:w="2940" w:type="dxa"/>
            <w:vAlign w:val="bottom"/>
          </w:tcPr>
          <w:p>
            <w:pPr>
              <w:spacing w:after="0"/>
              <w:rPr>
                <w:sz w:val="20"/>
                <w:szCs w:val="20"/>
                <w:color w:val="auto"/>
              </w:rPr>
            </w:pPr>
          </w:p>
        </w:tc>
      </w:tr>
      <w:tr>
        <w:trPr>
          <w:trHeight w:val="417"/>
        </w:trPr>
        <w:tc>
          <w:tcPr>
            <w:tcW w:w="3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40" w:type="dxa"/>
            <w:vAlign w:val="bottom"/>
            <w:gridSpan w:val="2"/>
          </w:tcPr>
          <w:p>
            <w:pPr>
              <w:jc w:val="center"/>
              <w:ind w:right="1710"/>
              <w:spacing w:after="0"/>
              <w:rPr>
                <w:sz w:val="20"/>
                <w:szCs w:val="20"/>
                <w:color w:val="auto"/>
              </w:rPr>
            </w:pPr>
            <w:r>
              <w:rPr>
                <w:rFonts w:ascii="Arial" w:cs="Arial" w:eastAsia="Arial" w:hAnsi="Arial"/>
                <w:sz w:val="18"/>
                <w:szCs w:val="18"/>
                <w:color w:val="auto"/>
                <w:w w:val="96"/>
              </w:rPr>
              <w:t>Illumina, Inc.</w:t>
            </w:r>
          </w:p>
        </w:tc>
        <w:tc>
          <w:tcPr>
            <w:tcW w:w="294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40" w:type="dxa"/>
            <w:vAlign w:val="bottom"/>
            <w:gridSpan w:val="2"/>
          </w:tcPr>
          <w:p>
            <w:pPr>
              <w:jc w:val="center"/>
              <w:ind w:right="1710"/>
              <w:spacing w:after="0"/>
              <w:rPr>
                <w:sz w:val="20"/>
                <w:szCs w:val="20"/>
                <w:color w:val="auto"/>
              </w:rPr>
            </w:pPr>
            <w:r>
              <w:rPr>
                <w:rFonts w:ascii="Arial" w:cs="Arial" w:eastAsia="Arial" w:hAnsi="Arial"/>
                <w:sz w:val="18"/>
                <w:szCs w:val="18"/>
                <w:color w:val="auto"/>
                <w:w w:val="93"/>
              </w:rPr>
              <w:t>5200 Illumina Way</w:t>
            </w:r>
          </w:p>
        </w:tc>
        <w:tc>
          <w:tcPr>
            <w:tcW w:w="294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0"/>
              </w:rPr>
              <w:t>San Diego CA 92122-4616</w:t>
            </w:r>
          </w:p>
        </w:tc>
        <w:tc>
          <w:tcPr>
            <w:tcW w:w="294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40" w:type="dxa"/>
            <w:vAlign w:val="bottom"/>
            <w:gridSpan w:val="2"/>
          </w:tcPr>
          <w:p>
            <w:pPr>
              <w:jc w:val="center"/>
              <w:ind w:right="1690"/>
              <w:spacing w:after="0"/>
              <w:rPr>
                <w:sz w:val="20"/>
                <w:szCs w:val="20"/>
                <w:color w:val="auto"/>
              </w:rPr>
            </w:pPr>
            <w:r>
              <w:rPr>
                <w:rFonts w:ascii="Arial" w:cs="Arial" w:eastAsia="Arial" w:hAnsi="Arial"/>
                <w:sz w:val="18"/>
                <w:szCs w:val="18"/>
                <w:color w:val="auto"/>
                <w:w w:val="97"/>
              </w:rPr>
              <w:t>USA</w:t>
            </w:r>
          </w:p>
        </w:tc>
        <w:tc>
          <w:tcPr>
            <w:tcW w:w="294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3"/>
              </w:rPr>
              <w:t>Hereinafter referred to as “Illumina”</w:t>
            </w:r>
          </w:p>
        </w:tc>
        <w:tc>
          <w:tcPr>
            <w:tcW w:w="29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40" w:type="dxa"/>
            <w:vAlign w:val="bottom"/>
            <w:gridSpan w:val="2"/>
          </w:tcPr>
          <w:p>
            <w:pPr>
              <w:jc w:val="center"/>
              <w:ind w:right="1710"/>
              <w:spacing w:after="0"/>
              <w:rPr>
                <w:sz w:val="20"/>
                <w:szCs w:val="20"/>
                <w:color w:val="auto"/>
              </w:rPr>
            </w:pPr>
            <w:r>
              <w:rPr>
                <w:rFonts w:ascii="Arial" w:cs="Arial" w:eastAsia="Arial" w:hAnsi="Arial"/>
                <w:sz w:val="18"/>
                <w:szCs w:val="18"/>
                <w:color w:val="auto"/>
                <w:w w:val="89"/>
              </w:rPr>
              <w:t>Prepared for:</w:t>
            </w:r>
          </w:p>
        </w:tc>
        <w:tc>
          <w:tcPr>
            <w:tcW w:w="2940" w:type="dxa"/>
            <w:vAlign w:val="bottom"/>
          </w:tcPr>
          <w:p>
            <w:pPr>
              <w:spacing w:after="0"/>
              <w:rPr>
                <w:sz w:val="24"/>
                <w:szCs w:val="24"/>
                <w:color w:val="auto"/>
              </w:rPr>
            </w:pPr>
          </w:p>
        </w:tc>
      </w:tr>
      <w:tr>
        <w:trPr>
          <w:trHeight w:val="324"/>
        </w:trPr>
        <w:tc>
          <w:tcPr>
            <w:tcW w:w="3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4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1"/>
              </w:rPr>
              <w:t>PO# P11405</w:t>
            </w:r>
          </w:p>
        </w:tc>
        <w:tc>
          <w:tcPr>
            <w:tcW w:w="2940" w:type="dxa"/>
            <w:vAlign w:val="bottom"/>
          </w:tcPr>
          <w:p>
            <w:pPr>
              <w:spacing w:after="0"/>
              <w:rPr>
                <w:sz w:val="24"/>
                <w:szCs w:val="24"/>
                <w:color w:val="auto"/>
              </w:rPr>
            </w:pPr>
          </w:p>
        </w:tc>
      </w:tr>
      <w:tr>
        <w:trPr>
          <w:trHeight w:val="324"/>
        </w:trPr>
        <w:tc>
          <w:tcPr>
            <w:tcW w:w="3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4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5"/>
              </w:rPr>
              <w:t>Personalis</w:t>
            </w:r>
          </w:p>
        </w:tc>
        <w:tc>
          <w:tcPr>
            <w:tcW w:w="294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2"/>
              </w:rPr>
              <w:t>Hereinafter referred to as “Personalis” or “Customer”</w:t>
            </w:r>
          </w:p>
        </w:tc>
        <w:tc>
          <w:tcPr>
            <w:tcW w:w="2940" w:type="dxa"/>
            <w:vAlign w:val="bottom"/>
          </w:tcPr>
          <w:p>
            <w:pPr>
              <w:spacing w:after="0"/>
              <w:rPr>
                <w:sz w:val="24"/>
                <w:szCs w:val="24"/>
                <w:color w:val="auto"/>
              </w:rPr>
            </w:pPr>
          </w:p>
        </w:tc>
      </w:tr>
      <w:tr>
        <w:trPr>
          <w:trHeight w:val="243"/>
        </w:trPr>
        <w:tc>
          <w:tcPr>
            <w:tcW w:w="300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940" w:type="dxa"/>
            <w:vAlign w:val="bottom"/>
          </w:tcPr>
          <w:p>
            <w:pPr>
              <w:spacing w:after="0"/>
              <w:rPr>
                <w:sz w:val="21"/>
                <w:szCs w:val="21"/>
                <w:color w:val="auto"/>
              </w:rPr>
            </w:pPr>
          </w:p>
        </w:tc>
      </w:tr>
      <w:tr>
        <w:trPr>
          <w:trHeight w:val="191"/>
        </w:trPr>
        <w:tc>
          <w:tcPr>
            <w:tcW w:w="3000" w:type="dxa"/>
            <w:vAlign w:val="bottom"/>
            <w:tcBorders>
              <w:right w:val="single" w:sz="8" w:color="auto"/>
            </w:tcBorders>
          </w:tcPr>
          <w:p>
            <w:pPr>
              <w:spacing w:after="0"/>
              <w:rPr>
                <w:sz w:val="16"/>
                <w:szCs w:val="16"/>
                <w:color w:val="auto"/>
              </w:rPr>
            </w:pPr>
          </w:p>
        </w:tc>
        <w:tc>
          <w:tcPr>
            <w:tcW w:w="1720" w:type="dxa"/>
            <w:vAlign w:val="bottom"/>
          </w:tcPr>
          <w:p>
            <w:pPr>
              <w:ind w:left="120"/>
              <w:spacing w:after="0" w:line="191" w:lineRule="exact"/>
              <w:rPr>
                <w:sz w:val="20"/>
                <w:szCs w:val="20"/>
                <w:color w:val="auto"/>
              </w:rPr>
            </w:pPr>
            <w:r>
              <w:rPr>
                <w:rFonts w:ascii="Arial" w:cs="Arial" w:eastAsia="Arial" w:hAnsi="Arial"/>
                <w:sz w:val="18"/>
                <w:szCs w:val="18"/>
                <w:b w:val="1"/>
                <w:bCs w:val="1"/>
                <w:color w:val="auto"/>
                <w:w w:val="96"/>
              </w:rPr>
              <w:t>Quotation Number:</w:t>
            </w:r>
          </w:p>
        </w:tc>
        <w:tc>
          <w:tcPr>
            <w:tcW w:w="86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w:t>
            </w:r>
          </w:p>
        </w:tc>
        <w:tc>
          <w:tcPr>
            <w:tcW w:w="2940" w:type="dxa"/>
            <w:vAlign w:val="bottom"/>
          </w:tcPr>
          <w:p>
            <w:pPr>
              <w:spacing w:after="0"/>
              <w:rPr>
                <w:sz w:val="16"/>
                <w:szCs w:val="16"/>
                <w:color w:val="auto"/>
              </w:rPr>
            </w:pPr>
          </w:p>
        </w:tc>
      </w:tr>
      <w:tr>
        <w:trPr>
          <w:trHeight w:val="216"/>
        </w:trPr>
        <w:tc>
          <w:tcPr>
            <w:tcW w:w="3000" w:type="dxa"/>
            <w:vAlign w:val="bottom"/>
            <w:tcBorders>
              <w:right w:val="single" w:sz="8" w:color="auto"/>
            </w:tcBorders>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Quotation Date:</w:t>
            </w:r>
          </w:p>
        </w:tc>
        <w:tc>
          <w:tcPr>
            <w:tcW w:w="8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Mar 1, 2019</w:t>
            </w:r>
          </w:p>
        </w:tc>
        <w:tc>
          <w:tcPr>
            <w:tcW w:w="2940" w:type="dxa"/>
            <w:vAlign w:val="bottom"/>
          </w:tcPr>
          <w:p>
            <w:pPr>
              <w:spacing w:after="0"/>
              <w:rPr>
                <w:sz w:val="18"/>
                <w:szCs w:val="18"/>
                <w:color w:val="auto"/>
              </w:rPr>
            </w:pPr>
          </w:p>
        </w:tc>
      </w:tr>
      <w:tr>
        <w:trPr>
          <w:trHeight w:val="216"/>
        </w:trPr>
        <w:tc>
          <w:tcPr>
            <w:tcW w:w="3000" w:type="dxa"/>
            <w:vAlign w:val="bottom"/>
            <w:tcBorders>
              <w:right w:val="single" w:sz="8" w:color="auto"/>
            </w:tcBorders>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Expiration Date:</w:t>
            </w:r>
          </w:p>
        </w:tc>
        <w:tc>
          <w:tcPr>
            <w:tcW w:w="8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Mar 31, 2019</w:t>
            </w:r>
          </w:p>
        </w:tc>
        <w:tc>
          <w:tcPr>
            <w:tcW w:w="2940" w:type="dxa"/>
            <w:vAlign w:val="bottom"/>
          </w:tcPr>
          <w:p>
            <w:pPr>
              <w:spacing w:after="0"/>
              <w:rPr>
                <w:sz w:val="18"/>
                <w:szCs w:val="18"/>
                <w:color w:val="auto"/>
              </w:rPr>
            </w:pPr>
          </w:p>
        </w:tc>
      </w:tr>
      <w:tr>
        <w:trPr>
          <w:trHeight w:val="216"/>
        </w:trPr>
        <w:tc>
          <w:tcPr>
            <w:tcW w:w="3000" w:type="dxa"/>
            <w:vAlign w:val="bottom"/>
            <w:tcBorders>
              <w:right w:val="single" w:sz="8" w:color="auto"/>
            </w:tcBorders>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Prepared By:</w:t>
            </w:r>
          </w:p>
        </w:tc>
        <w:tc>
          <w:tcPr>
            <w:tcW w:w="8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spacing w:after="0"/>
              <w:rPr>
                <w:sz w:val="18"/>
                <w:szCs w:val="18"/>
                <w:color w:val="auto"/>
              </w:rPr>
            </w:pPr>
          </w:p>
        </w:tc>
      </w:tr>
      <w:tr>
        <w:trPr>
          <w:trHeight w:val="216"/>
        </w:trPr>
        <w:tc>
          <w:tcPr>
            <w:tcW w:w="3000" w:type="dxa"/>
            <w:vAlign w:val="bottom"/>
            <w:tcBorders>
              <w:right w:val="single" w:sz="8" w:color="auto"/>
            </w:tcBorders>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Phone Number:</w:t>
            </w:r>
          </w:p>
        </w:tc>
        <w:tc>
          <w:tcPr>
            <w:tcW w:w="8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spacing w:after="0"/>
              <w:rPr>
                <w:sz w:val="18"/>
                <w:szCs w:val="18"/>
                <w:color w:val="auto"/>
              </w:rPr>
            </w:pPr>
          </w:p>
        </w:tc>
      </w:tr>
      <w:tr>
        <w:trPr>
          <w:trHeight w:val="234"/>
        </w:trPr>
        <w:tc>
          <w:tcPr>
            <w:tcW w:w="3000" w:type="dxa"/>
            <w:vAlign w:val="bottom"/>
            <w:tcBorders>
              <w:right w:val="single" w:sz="8" w:color="auto"/>
            </w:tcBorders>
          </w:tcPr>
          <w:p>
            <w:pPr>
              <w:spacing w:after="0"/>
              <w:rPr>
                <w:sz w:val="20"/>
                <w:szCs w:val="20"/>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Email:</w:t>
            </w:r>
          </w:p>
        </w:tc>
        <w:tc>
          <w:tcPr>
            <w:tcW w:w="86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spacing w:after="0"/>
              <w:rPr>
                <w:sz w:val="20"/>
                <w:szCs w:val="20"/>
                <w:color w:val="auto"/>
              </w:rPr>
            </w:pPr>
          </w:p>
        </w:tc>
      </w:tr>
      <w:tr>
        <w:trPr>
          <w:trHeight w:val="155"/>
        </w:trPr>
        <w:tc>
          <w:tcPr>
            <w:tcW w:w="4720" w:type="dxa"/>
            <w:vAlign w:val="bottom"/>
            <w:tcBorders>
              <w:bottom w:val="single" w:sz="8" w:color="auto"/>
            </w:tcBorders>
            <w:gridSpan w:val="2"/>
          </w:tcPr>
          <w:p>
            <w:pPr>
              <w:spacing w:after="0"/>
              <w:rPr>
                <w:sz w:val="13"/>
                <w:szCs w:val="13"/>
                <w:color w:val="auto"/>
              </w:rPr>
            </w:pPr>
          </w:p>
        </w:tc>
        <w:tc>
          <w:tcPr>
            <w:tcW w:w="3340" w:type="dxa"/>
            <w:vAlign w:val="bottom"/>
            <w:tcBorders>
              <w:bottom w:val="single" w:sz="8" w:color="auto"/>
            </w:tcBorders>
            <w:gridSpan w:val="2"/>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r>
      <w:tr>
        <w:trPr>
          <w:trHeight w:val="250"/>
        </w:trPr>
        <w:tc>
          <w:tcPr>
            <w:tcW w:w="472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Proposal # [***]</w:t>
            </w:r>
          </w:p>
        </w:tc>
        <w:tc>
          <w:tcPr>
            <w:tcW w:w="2940" w:type="dxa"/>
            <w:vAlign w:val="bottom"/>
          </w:tcPr>
          <w:p>
            <w:pPr>
              <w:ind w:left="2120"/>
              <w:spacing w:after="0"/>
              <w:rPr>
                <w:sz w:val="20"/>
                <w:szCs w:val="20"/>
                <w:color w:val="auto"/>
              </w:rPr>
            </w:pPr>
            <w:r>
              <w:rPr>
                <w:rFonts w:ascii="Arial" w:cs="Arial" w:eastAsia="Arial" w:hAnsi="Arial"/>
                <w:sz w:val="18"/>
                <w:szCs w:val="18"/>
                <w:color w:val="auto"/>
                <w:w w:val="86"/>
              </w:rPr>
              <w:t>Page 1 of 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5679440</wp:posOffset>
            </wp:positionH>
            <wp:positionV relativeFrom="paragraph">
              <wp:posOffset>42545</wp:posOffset>
            </wp:positionV>
            <wp:extent cx="1310640" cy="2997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10"/>
          </w:cols>
          <w:pgMar w:left="450" w:top="122" w:right="439" w:bottom="1440" w:gutter="0" w:footer="0" w:header="0"/>
        </w:sectPr>
      </w:pPr>
    </w:p>
    <w:bookmarkStart w:id="615" w:name="page616"/>
    <w:bookmarkEnd w:id="615"/>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QUOTATION NUMBER</w:t>
            </w:r>
          </w:p>
        </w:tc>
        <w:tc>
          <w:tcPr>
            <w:tcW w:w="1200" w:type="dxa"/>
            <w:vAlign w:val="bottom"/>
          </w:tcPr>
          <w:p>
            <w:pPr>
              <w:ind w:left="100"/>
              <w:spacing w:after="0"/>
              <w:rPr>
                <w:sz w:val="20"/>
                <w:szCs w:val="20"/>
                <w:color w:val="auto"/>
              </w:rPr>
            </w:pPr>
            <w:r>
              <w:rPr>
                <w:rFonts w:ascii="Arial" w:cs="Arial" w:eastAsia="Arial" w:hAnsi="Arial"/>
                <w:sz w:val="18"/>
                <w:szCs w:val="18"/>
                <w:color w:val="auto"/>
              </w:rPr>
              <w:t>[***]</w:t>
            </w:r>
          </w:p>
        </w:tc>
        <w:tc>
          <w:tcPr>
            <w:tcW w:w="5040" w:type="dxa"/>
            <w:vAlign w:val="bottom"/>
          </w:tcPr>
          <w:p>
            <w:pPr>
              <w:ind w:left="3320"/>
              <w:spacing w:after="0"/>
              <w:rPr>
                <w:sz w:val="20"/>
                <w:szCs w:val="20"/>
                <w:color w:val="auto"/>
              </w:rPr>
            </w:pPr>
            <w:r>
              <w:rPr>
                <w:rFonts w:ascii="Arial" w:cs="Arial" w:eastAsia="Arial" w:hAnsi="Arial"/>
                <w:sz w:val="18"/>
                <w:szCs w:val="18"/>
                <w:b w:val="1"/>
                <w:bCs w:val="1"/>
                <w:color w:val="auto"/>
              </w:rPr>
              <w:t>PREPARED BY</w:t>
            </w:r>
          </w:p>
        </w:tc>
        <w:tc>
          <w:tcPr>
            <w:tcW w:w="2340" w:type="dxa"/>
            <w:vAlign w:val="bottom"/>
          </w:tcPr>
          <w:p>
            <w:pPr>
              <w:jc w:val="right"/>
              <w:ind w:right="141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1200" w:type="dxa"/>
            <w:vAlign w:val="bottom"/>
          </w:tcPr>
          <w:p>
            <w:pPr>
              <w:ind w:left="100"/>
              <w:spacing w:after="0"/>
              <w:rPr>
                <w:sz w:val="20"/>
                <w:szCs w:val="20"/>
                <w:color w:val="auto"/>
              </w:rPr>
            </w:pPr>
            <w:r>
              <w:rPr>
                <w:rFonts w:ascii="Arial" w:cs="Arial" w:eastAsia="Arial" w:hAnsi="Arial"/>
                <w:sz w:val="18"/>
                <w:szCs w:val="18"/>
                <w:color w:val="auto"/>
              </w:rPr>
              <w:t>Mar 1, 2019</w:t>
            </w:r>
          </w:p>
        </w:tc>
        <w:tc>
          <w:tcPr>
            <w:tcW w:w="5040" w:type="dxa"/>
            <w:vAlign w:val="bottom"/>
          </w:tcPr>
          <w:p>
            <w:pPr>
              <w:ind w:left="3320"/>
              <w:spacing w:after="0"/>
              <w:rPr>
                <w:sz w:val="20"/>
                <w:szCs w:val="20"/>
                <w:color w:val="auto"/>
              </w:rPr>
            </w:pPr>
            <w:r>
              <w:rPr>
                <w:rFonts w:ascii="Arial" w:cs="Arial" w:eastAsia="Arial" w:hAnsi="Arial"/>
                <w:sz w:val="18"/>
                <w:szCs w:val="18"/>
                <w:b w:val="1"/>
                <w:bCs w:val="1"/>
                <w:color w:val="auto"/>
              </w:rPr>
              <w:t>TEL</w:t>
            </w:r>
          </w:p>
        </w:tc>
        <w:tc>
          <w:tcPr>
            <w:tcW w:w="2340" w:type="dxa"/>
            <w:vAlign w:val="bottom"/>
          </w:tcPr>
          <w:p>
            <w:pPr>
              <w:jc w:val="right"/>
              <w:ind w:right="141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1200" w:type="dxa"/>
            <w:vAlign w:val="bottom"/>
          </w:tcPr>
          <w:p>
            <w:pPr>
              <w:ind w:left="100"/>
              <w:spacing w:after="0"/>
              <w:rPr>
                <w:sz w:val="20"/>
                <w:szCs w:val="20"/>
                <w:color w:val="auto"/>
              </w:rPr>
            </w:pPr>
            <w:r>
              <w:rPr>
                <w:rFonts w:ascii="Arial" w:cs="Arial" w:eastAsia="Arial" w:hAnsi="Arial"/>
                <w:sz w:val="18"/>
                <w:szCs w:val="18"/>
                <w:color w:val="auto"/>
              </w:rPr>
              <w:t>Mar 31, 2019</w:t>
            </w:r>
          </w:p>
        </w:tc>
        <w:tc>
          <w:tcPr>
            <w:tcW w:w="5040" w:type="dxa"/>
            <w:vAlign w:val="bottom"/>
          </w:tcPr>
          <w:p>
            <w:pPr>
              <w:ind w:left="3320"/>
              <w:spacing w:after="0"/>
              <w:rPr>
                <w:sz w:val="20"/>
                <w:szCs w:val="20"/>
                <w:color w:val="auto"/>
              </w:rPr>
            </w:pPr>
            <w:r>
              <w:rPr>
                <w:rFonts w:ascii="Arial" w:cs="Arial" w:eastAsia="Arial" w:hAnsi="Arial"/>
                <w:sz w:val="18"/>
                <w:szCs w:val="18"/>
                <w:b w:val="1"/>
                <w:bCs w:val="1"/>
                <w:color w:val="auto"/>
              </w:rPr>
              <w:t>EMAIL</w:t>
            </w:r>
          </w:p>
        </w:tc>
        <w:tc>
          <w:tcPr>
            <w:tcW w:w="2340" w:type="dxa"/>
            <w:vAlign w:val="bottom"/>
          </w:tcPr>
          <w:p>
            <w:pPr>
              <w:jc w:val="right"/>
              <w:ind w:right="1410"/>
              <w:spacing w:after="0"/>
              <w:rPr>
                <w:sz w:val="20"/>
                <w:szCs w:val="20"/>
                <w:color w:val="auto"/>
              </w:rPr>
            </w:pPr>
            <w:r>
              <w:rPr>
                <w:rFonts w:ascii="Arial" w:cs="Arial" w:eastAsia="Arial" w:hAnsi="Arial"/>
                <w:sz w:val="18"/>
                <w:szCs w:val="18"/>
                <w:color w:val="auto"/>
              </w:rPr>
              <w:t>[***]</w:t>
            </w: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200" w:type="dxa"/>
            <w:vAlign w:val="bottom"/>
          </w:tcPr>
          <w:p>
            <w:pPr>
              <w:ind w:left="100"/>
              <w:spacing w:after="0"/>
              <w:rPr>
                <w:sz w:val="20"/>
                <w:szCs w:val="20"/>
                <w:color w:val="auto"/>
              </w:rPr>
            </w:pPr>
            <w:r>
              <w:rPr>
                <w:rFonts w:ascii="Arial" w:cs="Arial" w:eastAsia="Arial" w:hAnsi="Arial"/>
                <w:sz w:val="18"/>
                <w:szCs w:val="18"/>
                <w:color w:val="auto"/>
              </w:rPr>
              <w:t>USD</w:t>
            </w:r>
          </w:p>
        </w:tc>
        <w:tc>
          <w:tcPr>
            <w:tcW w:w="50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54"/>
        </w:trPr>
        <w:tc>
          <w:tcPr>
            <w:tcW w:w="3640" w:type="dxa"/>
            <w:vAlign w:val="bottom"/>
            <w:tcBorders>
              <w:bottom w:val="single" w:sz="8" w:color="auto"/>
            </w:tcBorders>
            <w:gridSpan w:val="2"/>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398"/>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I. CUSTOMER INFORMATION</w:t>
            </w:r>
          </w:p>
        </w:tc>
        <w:tc>
          <w:tcPr>
            <w:tcW w:w="50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43"/>
        </w:trPr>
        <w:tc>
          <w:tcPr>
            <w:tcW w:w="2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r>
      <w:tr>
        <w:trPr>
          <w:trHeight w:val="25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5"/>
              </w:rPr>
              <w:t>Company or Institution Name:</w:t>
            </w:r>
          </w:p>
        </w:tc>
        <w:tc>
          <w:tcPr>
            <w:tcW w:w="1200" w:type="dxa"/>
            <w:vAlign w:val="bottom"/>
          </w:tcPr>
          <w:p>
            <w:pPr>
              <w:spacing w:after="0"/>
              <w:rPr>
                <w:sz w:val="21"/>
                <w:szCs w:val="21"/>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Personalis</w:t>
            </w:r>
          </w:p>
        </w:tc>
        <w:tc>
          <w:tcPr>
            <w:tcW w:w="2340" w:type="dxa"/>
            <w:vAlign w:val="bottom"/>
            <w:tcBorders>
              <w:right w:val="single" w:sz="8" w:color="auto"/>
            </w:tcBorders>
          </w:tcPr>
          <w:p>
            <w:pPr>
              <w:spacing w:after="0"/>
              <w:rPr>
                <w:sz w:val="21"/>
                <w:szCs w:val="21"/>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Customer Number:</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Personalis</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Address:</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1330 Obrien Dr</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Menlo Park CA 94025-1436</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USA</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Contact Name:</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PO# P11405</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Phone:</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E-Mail:</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Ultimate Consignee:</w:t>
            </w:r>
          </w:p>
        </w:tc>
        <w:tc>
          <w:tcPr>
            <w:tcW w:w="120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Personalis</w:t>
            </w:r>
          </w:p>
        </w:tc>
        <w:tc>
          <w:tcPr>
            <w:tcW w:w="2340" w:type="dxa"/>
            <w:vAlign w:val="bottom"/>
            <w:tcBorders>
              <w:bottom w:val="single" w:sz="8" w:color="auto"/>
              <w:right w:val="single" w:sz="8" w:color="auto"/>
            </w:tcBorders>
          </w:tcPr>
          <w:p>
            <w:pPr>
              <w:spacing w:after="0"/>
              <w:rPr>
                <w:sz w:val="23"/>
                <w:szCs w:val="23"/>
                <w:color w:val="auto"/>
              </w:rPr>
            </w:pPr>
          </w:p>
        </w:tc>
      </w:tr>
      <w:tr>
        <w:trPr>
          <w:trHeight w:val="250"/>
        </w:trPr>
        <w:tc>
          <w:tcPr>
            <w:tcW w:w="244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Personalis</w:t>
            </w:r>
          </w:p>
        </w:tc>
        <w:tc>
          <w:tcPr>
            <w:tcW w:w="2340" w:type="dxa"/>
            <w:vAlign w:val="bottom"/>
            <w:tcBorders>
              <w:right w:val="single" w:sz="8" w:color="auto"/>
            </w:tcBorders>
          </w:tcPr>
          <w:p>
            <w:pPr>
              <w:spacing w:after="0"/>
              <w:rPr>
                <w:sz w:val="21"/>
                <w:szCs w:val="21"/>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Bill to address</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1330 Obrien Dr</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Menlo Park CA 94025-1436</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USA</w:t>
            </w:r>
          </w:p>
        </w:tc>
        <w:tc>
          <w:tcPr>
            <w:tcW w:w="2340" w:type="dxa"/>
            <w:vAlign w:val="bottom"/>
            <w:tcBorders>
              <w:bottom w:val="single" w:sz="8" w:color="auto"/>
              <w:right w:val="single" w:sz="8" w:color="auto"/>
            </w:tcBorders>
          </w:tcPr>
          <w:p>
            <w:pPr>
              <w:spacing w:after="0"/>
              <w:rPr>
                <w:sz w:val="23"/>
                <w:szCs w:val="23"/>
                <w:color w:val="auto"/>
              </w:rPr>
            </w:pPr>
          </w:p>
        </w:tc>
      </w:tr>
      <w:tr>
        <w:trPr>
          <w:trHeight w:val="250"/>
        </w:trPr>
        <w:tc>
          <w:tcPr>
            <w:tcW w:w="244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Personalis</w:t>
            </w:r>
          </w:p>
        </w:tc>
        <w:tc>
          <w:tcPr>
            <w:tcW w:w="2340" w:type="dxa"/>
            <w:vAlign w:val="bottom"/>
            <w:tcBorders>
              <w:right w:val="single" w:sz="8" w:color="auto"/>
            </w:tcBorders>
          </w:tcPr>
          <w:p>
            <w:pPr>
              <w:spacing w:after="0"/>
              <w:rPr>
                <w:sz w:val="21"/>
                <w:szCs w:val="21"/>
                <w:color w:val="auto"/>
              </w:rPr>
            </w:pPr>
          </w:p>
        </w:tc>
      </w:tr>
      <w:tr>
        <w:trPr>
          <w:trHeight w:val="27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Shipping address:</w:t>
            </w: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1330 Obrien Dr</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Menlo Park CA 94025-1436</w:t>
            </w:r>
          </w:p>
        </w:tc>
        <w:tc>
          <w:tcPr>
            <w:tcW w:w="2340" w:type="dxa"/>
            <w:vAlign w:val="bottom"/>
            <w:tcBorders>
              <w:right w:val="single" w:sz="8" w:color="auto"/>
            </w:tcBorders>
          </w:tcPr>
          <w:p>
            <w:pPr>
              <w:spacing w:after="0"/>
              <w:rPr>
                <w:sz w:val="23"/>
                <w:szCs w:val="23"/>
                <w:color w:val="auto"/>
              </w:rPr>
            </w:pPr>
          </w:p>
        </w:tc>
      </w:tr>
      <w:tr>
        <w:trPr>
          <w:trHeight w:val="270"/>
        </w:trPr>
        <w:tc>
          <w:tcPr>
            <w:tcW w:w="2440" w:type="dxa"/>
            <w:vAlign w:val="bottom"/>
            <w:tcBorders>
              <w:left w:val="single" w:sz="8" w:color="auto"/>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USA</w:t>
            </w:r>
          </w:p>
        </w:tc>
        <w:tc>
          <w:tcPr>
            <w:tcW w:w="2340" w:type="dxa"/>
            <w:vAlign w:val="bottom"/>
            <w:tcBorders>
              <w:bottom w:val="single" w:sz="8" w:color="auto"/>
              <w:right w:val="single" w:sz="8" w:color="auto"/>
            </w:tcBorders>
          </w:tcPr>
          <w:p>
            <w:pPr>
              <w:spacing w:after="0"/>
              <w:rPr>
                <w:sz w:val="23"/>
                <w:szCs w:val="23"/>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208915</wp:posOffset>
            </wp:positionV>
            <wp:extent cx="6989445" cy="3854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989445" cy="385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PRODUCT &amp; PRICING INFORMATION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980" w:type="dxa"/>
            <w:vAlign w:val="bottom"/>
            <w:tcBorders>
              <w:top w:val="single" w:sz="8" w:color="auto"/>
              <w:left w:val="single" w:sz="8" w:color="auto"/>
              <w:right w:val="single" w:sz="8" w:color="auto"/>
            </w:tcBorders>
            <w:vMerge w:val="restart"/>
            <w:shd w:val="clear" w:color="auto" w:fill="FF9900"/>
          </w:tcPr>
          <w:p>
            <w:pPr>
              <w:ind w:left="140"/>
              <w:spacing w:after="0"/>
              <w:rPr>
                <w:sz w:val="20"/>
                <w:szCs w:val="20"/>
                <w:color w:val="auto"/>
              </w:rPr>
            </w:pPr>
            <w:r>
              <w:rPr>
                <w:rFonts w:ascii="Arial" w:cs="Arial" w:eastAsia="Arial" w:hAnsi="Arial"/>
                <w:sz w:val="14"/>
                <w:szCs w:val="14"/>
                <w:b w:val="1"/>
                <w:bCs w:val="1"/>
                <w:color w:val="auto"/>
              </w:rPr>
              <w:t>Catalog#</w:t>
            </w:r>
          </w:p>
        </w:tc>
        <w:tc>
          <w:tcPr>
            <w:tcW w:w="360" w:type="dxa"/>
            <w:vAlign w:val="bottom"/>
            <w:tcBorders>
              <w:top w:val="single" w:sz="8" w:color="auto"/>
            </w:tcBorders>
            <w:shd w:val="clear" w:color="auto" w:fill="FF9900"/>
          </w:tcPr>
          <w:p>
            <w:pPr>
              <w:spacing w:after="0"/>
              <w:rPr>
                <w:sz w:val="20"/>
                <w:szCs w:val="20"/>
                <w:color w:val="auto"/>
              </w:rPr>
            </w:pPr>
          </w:p>
        </w:tc>
        <w:tc>
          <w:tcPr>
            <w:tcW w:w="3240" w:type="dxa"/>
            <w:vAlign w:val="bottom"/>
            <w:tcBorders>
              <w:top w:val="single" w:sz="8" w:color="auto"/>
              <w:right w:val="single" w:sz="8" w:color="auto"/>
            </w:tcBorders>
            <w:vMerge w:val="restart"/>
            <w:shd w:val="clear" w:color="auto" w:fill="FF9900"/>
          </w:tcPr>
          <w:p>
            <w:pPr>
              <w:ind w:left="1000"/>
              <w:spacing w:after="0"/>
              <w:rPr>
                <w:sz w:val="20"/>
                <w:szCs w:val="20"/>
                <w:color w:val="auto"/>
              </w:rPr>
            </w:pPr>
            <w:r>
              <w:rPr>
                <w:rFonts w:ascii="Arial" w:cs="Arial" w:eastAsia="Arial" w:hAnsi="Arial"/>
                <w:sz w:val="14"/>
                <w:szCs w:val="14"/>
                <w:b w:val="1"/>
                <w:bCs w:val="1"/>
                <w:color w:val="auto"/>
              </w:rPr>
              <w:t>Product Description</w:t>
            </w:r>
          </w:p>
        </w:tc>
        <w:tc>
          <w:tcPr>
            <w:tcW w:w="1520" w:type="dxa"/>
            <w:vAlign w:val="bottom"/>
            <w:tcBorders>
              <w:top w:val="single" w:sz="8" w:color="auto"/>
              <w:right w:val="single" w:sz="8" w:color="auto"/>
            </w:tcBorders>
            <w:vMerge w:val="restart"/>
            <w:shd w:val="clear" w:color="auto" w:fill="FF9900"/>
          </w:tcPr>
          <w:p>
            <w:pPr>
              <w:jc w:val="right"/>
              <w:spacing w:after="0"/>
              <w:rPr>
                <w:sz w:val="20"/>
                <w:szCs w:val="20"/>
                <w:color w:val="auto"/>
              </w:rPr>
            </w:pPr>
            <w:r>
              <w:rPr>
                <w:rFonts w:ascii="Arial" w:cs="Arial" w:eastAsia="Arial" w:hAnsi="Arial"/>
                <w:sz w:val="14"/>
                <w:szCs w:val="14"/>
                <w:b w:val="1"/>
                <w:bCs w:val="1"/>
                <w:color w:val="auto"/>
              </w:rPr>
              <w:t>Unit Price (USD)</w:t>
            </w:r>
          </w:p>
        </w:tc>
        <w:tc>
          <w:tcPr>
            <w:tcW w:w="320" w:type="dxa"/>
            <w:vAlign w:val="bottom"/>
            <w:tcBorders>
              <w:top w:val="single" w:sz="8" w:color="auto"/>
            </w:tcBorders>
            <w:shd w:val="clear" w:color="auto" w:fill="FF9900"/>
          </w:tcPr>
          <w:p>
            <w:pPr>
              <w:spacing w:after="0"/>
              <w:rPr>
                <w:sz w:val="20"/>
                <w:szCs w:val="20"/>
                <w:color w:val="auto"/>
              </w:rPr>
            </w:pPr>
          </w:p>
        </w:tc>
        <w:tc>
          <w:tcPr>
            <w:tcW w:w="880" w:type="dxa"/>
            <w:vAlign w:val="bottom"/>
            <w:tcBorders>
              <w:top w:val="single" w:sz="8" w:color="auto"/>
              <w:right w:val="single" w:sz="8" w:color="auto"/>
            </w:tcBorders>
            <w:vMerge w:val="restart"/>
            <w:shd w:val="clear" w:color="auto" w:fill="FF9900"/>
          </w:tcPr>
          <w:p>
            <w:pPr>
              <w:jc w:val="right"/>
              <w:spacing w:after="0"/>
              <w:rPr>
                <w:sz w:val="20"/>
                <w:szCs w:val="20"/>
                <w:color w:val="auto"/>
              </w:rPr>
            </w:pPr>
            <w:r>
              <w:rPr>
                <w:rFonts w:ascii="Arial" w:cs="Arial" w:eastAsia="Arial" w:hAnsi="Arial"/>
                <w:sz w:val="14"/>
                <w:szCs w:val="14"/>
                <w:b w:val="1"/>
                <w:bCs w:val="1"/>
                <w:color w:val="auto"/>
              </w:rPr>
              <w:t>Discount %</w:t>
            </w:r>
          </w:p>
        </w:tc>
        <w:tc>
          <w:tcPr>
            <w:tcW w:w="1460" w:type="dxa"/>
            <w:vAlign w:val="bottom"/>
            <w:tcBorders>
              <w:top w:val="single" w:sz="8" w:color="auto"/>
              <w:right w:val="single" w:sz="8" w:color="auto"/>
            </w:tcBorders>
            <w:shd w:val="clear" w:color="auto" w:fill="FF9900"/>
          </w:tcPr>
          <w:p>
            <w:pPr>
              <w:jc w:val="center"/>
              <w:ind w:left="222"/>
              <w:spacing w:after="0"/>
              <w:rPr>
                <w:sz w:val="20"/>
                <w:szCs w:val="20"/>
                <w:color w:val="auto"/>
              </w:rPr>
            </w:pPr>
            <w:r>
              <w:rPr>
                <w:rFonts w:ascii="Arial" w:cs="Arial" w:eastAsia="Arial" w:hAnsi="Arial"/>
                <w:sz w:val="14"/>
                <w:szCs w:val="14"/>
                <w:b w:val="1"/>
                <w:bCs w:val="1"/>
                <w:color w:val="auto"/>
                <w:w w:val="92"/>
              </w:rPr>
              <w:t>Customer Price</w:t>
            </w:r>
          </w:p>
        </w:tc>
        <w:tc>
          <w:tcPr>
            <w:tcW w:w="800" w:type="dxa"/>
            <w:vAlign w:val="bottom"/>
            <w:tcBorders>
              <w:top w:val="single" w:sz="8" w:color="auto"/>
              <w:right w:val="single" w:sz="8" w:color="auto"/>
            </w:tcBorders>
            <w:vMerge w:val="restart"/>
            <w:shd w:val="clear" w:color="auto" w:fill="FF9900"/>
          </w:tcPr>
          <w:p>
            <w:pPr>
              <w:jc w:val="right"/>
              <w:ind w:right="19"/>
              <w:spacing w:after="0"/>
              <w:rPr>
                <w:sz w:val="20"/>
                <w:szCs w:val="20"/>
                <w:color w:val="auto"/>
              </w:rPr>
            </w:pPr>
            <w:r>
              <w:rPr>
                <w:rFonts w:ascii="Arial" w:cs="Arial" w:eastAsia="Arial" w:hAnsi="Arial"/>
                <w:sz w:val="14"/>
                <w:szCs w:val="14"/>
                <w:b w:val="1"/>
                <w:bCs w:val="1"/>
                <w:color w:val="auto"/>
              </w:rPr>
              <w:t>Units</w:t>
            </w:r>
          </w:p>
        </w:tc>
        <w:tc>
          <w:tcPr>
            <w:tcW w:w="1460" w:type="dxa"/>
            <w:vAlign w:val="bottom"/>
            <w:tcBorders>
              <w:top w:val="single" w:sz="8" w:color="auto"/>
              <w:right w:val="single" w:sz="8" w:color="auto"/>
            </w:tcBorders>
            <w:vMerge w:val="restart"/>
            <w:shd w:val="clear" w:color="auto" w:fill="FF9900"/>
          </w:tcPr>
          <w:p>
            <w:pPr>
              <w:jc w:val="right"/>
              <w:ind w:right="53"/>
              <w:spacing w:after="0"/>
              <w:rPr>
                <w:sz w:val="20"/>
                <w:szCs w:val="20"/>
                <w:color w:val="auto"/>
              </w:rPr>
            </w:pPr>
            <w:r>
              <w:rPr>
                <w:rFonts w:ascii="Arial" w:cs="Arial" w:eastAsia="Arial" w:hAnsi="Arial"/>
                <w:sz w:val="14"/>
                <w:szCs w:val="14"/>
                <w:b w:val="1"/>
                <w:bCs w:val="1"/>
                <w:color w:val="auto"/>
              </w:rPr>
              <w:t>Subtotal (USD)</w:t>
            </w: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vMerge w:val="continue"/>
            <w:shd w:val="clear" w:color="auto" w:fill="FF9900"/>
          </w:tcPr>
          <w:p>
            <w:pPr>
              <w:spacing w:after="0"/>
              <w:rPr>
                <w:sz w:val="9"/>
                <w:szCs w:val="9"/>
                <w:color w:val="auto"/>
              </w:rPr>
            </w:pPr>
          </w:p>
        </w:tc>
        <w:tc>
          <w:tcPr>
            <w:tcW w:w="360" w:type="dxa"/>
            <w:vAlign w:val="bottom"/>
            <w:shd w:val="clear" w:color="auto" w:fill="FF9900"/>
          </w:tcPr>
          <w:p>
            <w:pPr>
              <w:spacing w:after="0"/>
              <w:rPr>
                <w:sz w:val="9"/>
                <w:szCs w:val="9"/>
                <w:color w:val="auto"/>
              </w:rPr>
            </w:pPr>
          </w:p>
        </w:tc>
        <w:tc>
          <w:tcPr>
            <w:tcW w:w="3240" w:type="dxa"/>
            <w:vAlign w:val="bottom"/>
            <w:tcBorders>
              <w:right w:val="single" w:sz="8" w:color="auto"/>
            </w:tcBorders>
            <w:vMerge w:val="continue"/>
            <w:shd w:val="clear" w:color="auto" w:fill="FF9900"/>
          </w:tcPr>
          <w:p>
            <w:pPr>
              <w:spacing w:after="0"/>
              <w:rPr>
                <w:sz w:val="9"/>
                <w:szCs w:val="9"/>
                <w:color w:val="auto"/>
              </w:rPr>
            </w:pPr>
          </w:p>
        </w:tc>
        <w:tc>
          <w:tcPr>
            <w:tcW w:w="1520" w:type="dxa"/>
            <w:vAlign w:val="bottom"/>
            <w:tcBorders>
              <w:right w:val="single" w:sz="8" w:color="auto"/>
            </w:tcBorders>
            <w:vMerge w:val="continue"/>
            <w:shd w:val="clear" w:color="auto" w:fill="FF9900"/>
          </w:tcPr>
          <w:p>
            <w:pPr>
              <w:spacing w:after="0"/>
              <w:rPr>
                <w:sz w:val="9"/>
                <w:szCs w:val="9"/>
                <w:color w:val="auto"/>
              </w:rPr>
            </w:pPr>
          </w:p>
        </w:tc>
        <w:tc>
          <w:tcPr>
            <w:tcW w:w="320" w:type="dxa"/>
            <w:vAlign w:val="bottom"/>
            <w:shd w:val="clear" w:color="auto" w:fill="FF9900"/>
          </w:tcPr>
          <w:p>
            <w:pPr>
              <w:spacing w:after="0"/>
              <w:rPr>
                <w:sz w:val="9"/>
                <w:szCs w:val="9"/>
                <w:color w:val="auto"/>
              </w:rPr>
            </w:pPr>
          </w:p>
        </w:tc>
        <w:tc>
          <w:tcPr>
            <w:tcW w:w="880" w:type="dxa"/>
            <w:vAlign w:val="bottom"/>
            <w:tcBorders>
              <w:right w:val="single" w:sz="8" w:color="auto"/>
            </w:tcBorders>
            <w:vMerge w:val="continue"/>
            <w:shd w:val="clear" w:color="auto" w:fill="FF9900"/>
          </w:tcPr>
          <w:p>
            <w:pPr>
              <w:spacing w:after="0"/>
              <w:rPr>
                <w:sz w:val="9"/>
                <w:szCs w:val="9"/>
                <w:color w:val="auto"/>
              </w:rPr>
            </w:pPr>
          </w:p>
        </w:tc>
        <w:tc>
          <w:tcPr>
            <w:tcW w:w="1460" w:type="dxa"/>
            <w:vAlign w:val="bottom"/>
            <w:tcBorders>
              <w:right w:val="single" w:sz="8" w:color="auto"/>
            </w:tcBorders>
            <w:vMerge w:val="restart"/>
            <w:shd w:val="clear" w:color="auto" w:fill="FF9900"/>
          </w:tcPr>
          <w:p>
            <w:pPr>
              <w:jc w:val="center"/>
              <w:ind w:left="202"/>
              <w:spacing w:after="0"/>
              <w:rPr>
                <w:sz w:val="20"/>
                <w:szCs w:val="20"/>
                <w:color w:val="auto"/>
              </w:rPr>
            </w:pPr>
            <w:r>
              <w:rPr>
                <w:rFonts w:ascii="Arial" w:cs="Arial" w:eastAsia="Arial" w:hAnsi="Arial"/>
                <w:sz w:val="14"/>
                <w:szCs w:val="14"/>
                <w:b w:val="1"/>
                <w:bCs w:val="1"/>
                <w:color w:val="auto"/>
                <w:w w:val="97"/>
              </w:rPr>
              <w:t>(USD)</w:t>
            </w:r>
          </w:p>
        </w:tc>
        <w:tc>
          <w:tcPr>
            <w:tcW w:w="800" w:type="dxa"/>
            <w:vAlign w:val="bottom"/>
            <w:tcBorders>
              <w:right w:val="single" w:sz="8" w:color="auto"/>
            </w:tcBorders>
            <w:vMerge w:val="continue"/>
            <w:shd w:val="clear" w:color="auto" w:fill="FF9900"/>
          </w:tcPr>
          <w:p>
            <w:pPr>
              <w:spacing w:after="0"/>
              <w:rPr>
                <w:sz w:val="9"/>
                <w:szCs w:val="9"/>
                <w:color w:val="auto"/>
              </w:rPr>
            </w:pPr>
          </w:p>
        </w:tc>
        <w:tc>
          <w:tcPr>
            <w:tcW w:w="1460" w:type="dxa"/>
            <w:vAlign w:val="bottom"/>
            <w:tcBorders>
              <w:right w:val="single" w:sz="8" w:color="auto"/>
            </w:tcBorders>
            <w:vMerge w:val="continue"/>
            <w:shd w:val="clear" w:color="auto" w:fill="FF9900"/>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980" w:type="dxa"/>
            <w:vAlign w:val="bottom"/>
            <w:tcBorders>
              <w:left w:val="single" w:sz="8" w:color="auto"/>
              <w:bottom w:val="single" w:sz="8" w:color="auto"/>
              <w:right w:val="single" w:sz="8" w:color="auto"/>
            </w:tcBorders>
            <w:shd w:val="clear" w:color="auto" w:fill="FF9900"/>
          </w:tcPr>
          <w:p>
            <w:pPr>
              <w:spacing w:after="0"/>
              <w:rPr>
                <w:sz w:val="5"/>
                <w:szCs w:val="5"/>
                <w:color w:val="auto"/>
              </w:rPr>
            </w:pPr>
          </w:p>
        </w:tc>
        <w:tc>
          <w:tcPr>
            <w:tcW w:w="360" w:type="dxa"/>
            <w:vAlign w:val="bottom"/>
            <w:tcBorders>
              <w:bottom w:val="single" w:sz="8" w:color="auto"/>
            </w:tcBorders>
            <w:shd w:val="clear" w:color="auto" w:fill="FF9900"/>
          </w:tcPr>
          <w:p>
            <w:pPr>
              <w:spacing w:after="0"/>
              <w:rPr>
                <w:sz w:val="5"/>
                <w:szCs w:val="5"/>
                <w:color w:val="auto"/>
              </w:rPr>
            </w:pPr>
          </w:p>
        </w:tc>
        <w:tc>
          <w:tcPr>
            <w:tcW w:w="3240" w:type="dxa"/>
            <w:vAlign w:val="bottom"/>
            <w:tcBorders>
              <w:bottom w:val="single" w:sz="8" w:color="auto"/>
              <w:right w:val="single" w:sz="8" w:color="auto"/>
            </w:tcBorders>
            <w:shd w:val="clear" w:color="auto" w:fill="FF9900"/>
          </w:tcPr>
          <w:p>
            <w:pPr>
              <w:spacing w:after="0"/>
              <w:rPr>
                <w:sz w:val="5"/>
                <w:szCs w:val="5"/>
                <w:color w:val="auto"/>
              </w:rPr>
            </w:pPr>
          </w:p>
        </w:tc>
        <w:tc>
          <w:tcPr>
            <w:tcW w:w="1520" w:type="dxa"/>
            <w:vAlign w:val="bottom"/>
            <w:tcBorders>
              <w:bottom w:val="single" w:sz="8" w:color="auto"/>
              <w:right w:val="single" w:sz="8" w:color="auto"/>
            </w:tcBorders>
            <w:shd w:val="clear" w:color="auto" w:fill="FF9900"/>
          </w:tcPr>
          <w:p>
            <w:pPr>
              <w:spacing w:after="0"/>
              <w:rPr>
                <w:sz w:val="5"/>
                <w:szCs w:val="5"/>
                <w:color w:val="auto"/>
              </w:rPr>
            </w:pPr>
          </w:p>
        </w:tc>
        <w:tc>
          <w:tcPr>
            <w:tcW w:w="320" w:type="dxa"/>
            <w:vAlign w:val="bottom"/>
            <w:tcBorders>
              <w:bottom w:val="single" w:sz="8" w:color="auto"/>
            </w:tcBorders>
            <w:shd w:val="clear" w:color="auto" w:fill="FF9900"/>
          </w:tcPr>
          <w:p>
            <w:pPr>
              <w:spacing w:after="0"/>
              <w:rPr>
                <w:sz w:val="5"/>
                <w:szCs w:val="5"/>
                <w:color w:val="auto"/>
              </w:rPr>
            </w:pPr>
          </w:p>
        </w:tc>
        <w:tc>
          <w:tcPr>
            <w:tcW w:w="880" w:type="dxa"/>
            <w:vAlign w:val="bottom"/>
            <w:tcBorders>
              <w:bottom w:val="single" w:sz="8" w:color="auto"/>
              <w:right w:val="single" w:sz="8" w:color="auto"/>
            </w:tcBorders>
            <w:shd w:val="clear" w:color="auto" w:fill="FF9900"/>
          </w:tcPr>
          <w:p>
            <w:pPr>
              <w:spacing w:after="0"/>
              <w:rPr>
                <w:sz w:val="5"/>
                <w:szCs w:val="5"/>
                <w:color w:val="auto"/>
              </w:rPr>
            </w:pPr>
          </w:p>
        </w:tc>
        <w:tc>
          <w:tcPr>
            <w:tcW w:w="1460" w:type="dxa"/>
            <w:vAlign w:val="bottom"/>
            <w:tcBorders>
              <w:bottom w:val="single" w:sz="8" w:color="auto"/>
              <w:right w:val="single" w:sz="8" w:color="auto"/>
            </w:tcBorders>
            <w:vMerge w:val="continue"/>
            <w:shd w:val="clear" w:color="auto" w:fill="FF9900"/>
          </w:tcPr>
          <w:p>
            <w:pPr>
              <w:spacing w:after="0"/>
              <w:rPr>
                <w:sz w:val="5"/>
                <w:szCs w:val="5"/>
                <w:color w:val="auto"/>
              </w:rPr>
            </w:pPr>
          </w:p>
        </w:tc>
        <w:tc>
          <w:tcPr>
            <w:tcW w:w="800" w:type="dxa"/>
            <w:vAlign w:val="bottom"/>
            <w:tcBorders>
              <w:bottom w:val="single" w:sz="8" w:color="auto"/>
              <w:right w:val="single" w:sz="8" w:color="auto"/>
            </w:tcBorders>
            <w:shd w:val="clear" w:color="auto" w:fill="FF9900"/>
          </w:tcPr>
          <w:p>
            <w:pPr>
              <w:spacing w:after="0"/>
              <w:rPr>
                <w:sz w:val="5"/>
                <w:szCs w:val="5"/>
                <w:color w:val="auto"/>
              </w:rPr>
            </w:pPr>
          </w:p>
        </w:tc>
        <w:tc>
          <w:tcPr>
            <w:tcW w:w="1460" w:type="dxa"/>
            <w:vAlign w:val="bottom"/>
            <w:tcBorders>
              <w:bottom w:val="single" w:sz="8" w:color="auto"/>
              <w:right w:val="single" w:sz="8" w:color="auto"/>
            </w:tcBorders>
            <w:shd w:val="clear" w:color="auto" w:fill="FF9900"/>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9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NovaSeq</w:t>
            </w:r>
            <w:r>
              <w:rPr>
                <w:rFonts w:ascii="Arial" w:cs="Arial" w:eastAsia="Arial" w:hAnsi="Arial"/>
                <w:sz w:val="15"/>
                <w:szCs w:val="15"/>
                <w:color w:val="auto"/>
                <w:w w:val="92"/>
              </w:rPr>
              <w:t>™</w:t>
            </w:r>
            <w:r>
              <w:rPr>
                <w:rFonts w:ascii="Arial" w:cs="Arial" w:eastAsia="Arial" w:hAnsi="Arial"/>
                <w:sz w:val="18"/>
                <w:szCs w:val="18"/>
                <w:color w:val="auto"/>
                <w:w w:val="92"/>
              </w:rPr>
              <w:t xml:space="preserve"> 6000 Sequencing System : The</w:t>
            </w:r>
          </w:p>
        </w:tc>
        <w:tc>
          <w:tcPr>
            <w:tcW w:w="1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NovaSeq 6000 Sequencing System is an</w:t>
            </w:r>
          </w:p>
        </w:tc>
        <w:tc>
          <w:tcPr>
            <w:tcW w:w="1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integrated ultrahigh throughput system</w:t>
            </w:r>
          </w:p>
        </w:tc>
        <w:tc>
          <w:tcPr>
            <w:tcW w:w="1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7"/>
              </w:rPr>
              <w:t>20012850</w:t>
            </w:r>
          </w:p>
        </w:tc>
        <w:tc>
          <w:tcPr>
            <w:tcW w:w="360" w:type="dxa"/>
            <w:vAlign w:val="bottom"/>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performing onboard cluster generation and</w:t>
            </w:r>
          </w:p>
        </w:tc>
        <w:tc>
          <w:tcPr>
            <w:tcW w:w="1520" w:type="dxa"/>
            <w:vAlign w:val="bottom"/>
            <w:tcBorders>
              <w:right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Borders>
              <w:right w:val="single" w:sz="8" w:color="auto"/>
            </w:tcBorders>
          </w:tcPr>
          <w:p>
            <w:pPr>
              <w:jc w:val="right"/>
              <w:ind w:right="139"/>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ind w:right="282"/>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8"/>
                <w:szCs w:val="18"/>
                <w:color w:val="auto"/>
              </w:rPr>
              <w:t>5</w:t>
            </w:r>
          </w:p>
        </w:tc>
        <w:tc>
          <w:tcPr>
            <w:tcW w:w="1460" w:type="dxa"/>
            <w:vAlign w:val="bottom"/>
            <w:tcBorders>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sequencing. This system includes</w:t>
            </w:r>
          </w:p>
        </w:tc>
        <w:tc>
          <w:tcPr>
            <w:tcW w:w="1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installation and training and 12 months</w:t>
            </w:r>
          </w:p>
        </w:tc>
        <w:tc>
          <w:tcPr>
            <w:tcW w:w="1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warranty (including parts and labor).</w:t>
            </w:r>
          </w:p>
        </w:tc>
        <w:tc>
          <w:tcPr>
            <w:tcW w:w="15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Subtotal</w:t>
            </w:r>
          </w:p>
        </w:tc>
        <w:tc>
          <w:tcPr>
            <w:tcW w:w="3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5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Freight / Handling Fee</w:t>
            </w: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13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Tax</w:t>
            </w:r>
          </w:p>
        </w:tc>
        <w:tc>
          <w:tcPr>
            <w:tcW w:w="3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5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Total Fees (including shipping and insurance)</w:t>
            </w: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8760" w:type="dxa"/>
            <w:vAlign w:val="bottom"/>
            <w:gridSpan w:val="7"/>
          </w:tcPr>
          <w:p>
            <w:pPr>
              <w:spacing w:after="0"/>
              <w:rPr>
                <w:sz w:val="20"/>
                <w:szCs w:val="20"/>
                <w:color w:val="auto"/>
              </w:rPr>
            </w:pPr>
            <w:r>
              <w:rPr>
                <w:rFonts w:ascii="Arial" w:cs="Arial" w:eastAsia="Arial" w:hAnsi="Arial"/>
                <w:sz w:val="18"/>
                <w:szCs w:val="18"/>
                <w:b w:val="1"/>
                <w:bCs w:val="1"/>
                <w:color w:val="auto"/>
                <w:w w:val="99"/>
              </w:rPr>
              <w:t xml:space="preserve">Notes: </w:t>
            </w:r>
            <w:r>
              <w:rPr>
                <w:rFonts w:ascii="Arial" w:cs="Arial" w:eastAsia="Arial" w:hAnsi="Arial"/>
                <w:sz w:val="18"/>
                <w:szCs w:val="18"/>
                <w:color w:val="auto"/>
                <w:w w:val="99"/>
              </w:rPr>
              <w:t>Tax is an estimate and is subject to change upon invoicing based upon the appropriate tax regulations.</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gridSpan w:val="2"/>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8"/>
                <w:szCs w:val="18"/>
                <w:color w:val="auto"/>
                <w:w w:val="99"/>
              </w:rPr>
              <w:t>CONFIDENTIAL</w:t>
            </w:r>
          </w:p>
        </w:tc>
        <w:tc>
          <w:tcPr>
            <w:tcW w:w="3240" w:type="dxa"/>
            <w:vAlign w:val="bottom"/>
          </w:tcPr>
          <w:p>
            <w:pPr>
              <w:spacing w:after="0"/>
              <w:rPr>
                <w:sz w:val="20"/>
                <w:szCs w:val="20"/>
                <w:color w:val="auto"/>
              </w:rPr>
            </w:pPr>
          </w:p>
        </w:tc>
        <w:tc>
          <w:tcPr>
            <w:tcW w:w="1840" w:type="dxa"/>
            <w:vAlign w:val="bottom"/>
            <w:gridSpan w:val="2"/>
          </w:tcPr>
          <w:p>
            <w:pPr>
              <w:ind w:left="560"/>
              <w:spacing w:after="0"/>
              <w:rPr>
                <w:sz w:val="20"/>
                <w:szCs w:val="20"/>
                <w:color w:val="auto"/>
              </w:rPr>
            </w:pPr>
            <w:r>
              <w:rPr>
                <w:rFonts w:ascii="Arial" w:cs="Arial" w:eastAsia="Arial" w:hAnsi="Arial"/>
                <w:sz w:val="18"/>
                <w:szCs w:val="18"/>
                <w:color w:val="auto"/>
              </w:rPr>
              <w:t>Proposal # [***]</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Page 2 of 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43180</wp:posOffset>
            </wp:positionV>
            <wp:extent cx="1310640" cy="2997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20"/>
          </w:cols>
          <w:pgMar w:left="460" w:top="957" w:right="41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rPr>
                <w:sz w:val="20"/>
                <w:szCs w:val="20"/>
                <w:color w:val="auto"/>
              </w:rPr>
            </w:pPr>
            <w:r>
              <w:rPr>
                <w:rFonts w:ascii="Arial" w:cs="Arial" w:eastAsia="Arial" w:hAnsi="Arial"/>
                <w:sz w:val="18"/>
                <w:szCs w:val="18"/>
                <w:color w:val="auto"/>
              </w:rPr>
              <w:t>[***]</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209550</wp:posOffset>
            </wp:positionV>
            <wp:extent cx="6989445" cy="3854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989445" cy="385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Post Pricing Message:</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quote for Blanket PO for [***] NovaSeq 6000 instruments is offered contingent upon Personalis winning the award for the VA Million Veterans Project FY 18. Should Personalis not receive the VA’s Million Veterans Project FY 18 contract award by November 1, 2017, this Blanket PO can be cancelled at that time. Should Personalis win the the Million Veterans FY 18 award, these additional [***] NovaSeq 6000 instruments will be delivered within [***] months of the date of this Blanket Purchase Order. Reagent discount pricing will be given as outlined in the NovaSeq S2 Reagent Standing Quote [***] and in keeping with the NovaSeq S4 Reagent Agreement as signed by Illumina and Personalis. Remaining Service Contracts may be credited towards an On-Site FSE at the time that Personalis elects to covert from Comprehensive Level Product Care to On-Site FSE and an On-Site FSE is hired.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98944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0" w:lineRule="exact"/>
        <w:rPr>
          <w:sz w:val="20"/>
          <w:szCs w:val="20"/>
          <w:color w:val="auto"/>
        </w:rPr>
      </w:pPr>
    </w:p>
    <w:p>
      <w:pPr>
        <w:spacing w:after="0"/>
        <w:tabs>
          <w:tab w:leader="none" w:pos="5120" w:val="left"/>
          <w:tab w:leader="none" w:pos="1016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Proposal # [***]</w:t>
      </w:r>
      <w:r>
        <w:rPr>
          <w:sz w:val="20"/>
          <w:szCs w:val="20"/>
          <w:color w:val="auto"/>
        </w:rPr>
        <w:tab/>
      </w: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57150</wp:posOffset>
            </wp:positionV>
            <wp:extent cx="1310640" cy="2997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00"/>
          </w:cols>
          <w:pgMar w:left="460" w:top="959" w:right="43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rPr>
                <w:sz w:val="20"/>
                <w:szCs w:val="20"/>
                <w:color w:val="auto"/>
              </w:rPr>
            </w:pPr>
            <w:r>
              <w:rPr>
                <w:rFonts w:ascii="Arial" w:cs="Arial" w:eastAsia="Arial" w:hAnsi="Arial"/>
                <w:sz w:val="18"/>
                <w:szCs w:val="18"/>
                <w:color w:val="auto"/>
              </w:rPr>
              <w:t>[***]</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208915</wp:posOffset>
            </wp:positionV>
            <wp:extent cx="6989445" cy="3854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989445" cy="385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Special Condition of Sale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Customer’s purchase of this product is based on currently published specifications as provided in NovaSeq 5000/6000 Specification Sheet (http://www.illumina.com/content/dam/illumina- marketing/documents/products/datasheets/novaseq-series-specification- sheet-770-2016-025.pdf) and not conditioned on future performance characteristics or applications, whether or not realized. The determination, timing and delivery of future performance characteristics, if any, if ever, remains at Illumina’s sole discretion and customers’ rights to publicly announced upgrades and other marketed upgrades are expressly limited. Customer acknowledges it has not relied on any information outside of published specifications in making the purchase contemplated in this quotation or purchase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96520</wp:posOffset>
            </wp:positionV>
            <wp:extent cx="698944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8" w:lineRule="exact"/>
        <w:rPr>
          <w:sz w:val="20"/>
          <w:szCs w:val="20"/>
          <w:color w:val="auto"/>
        </w:rPr>
      </w:pPr>
    </w:p>
    <w:p>
      <w:pPr>
        <w:spacing w:after="0"/>
        <w:tabs>
          <w:tab w:leader="none" w:pos="5120" w:val="left"/>
          <w:tab w:leader="none" w:pos="1016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Proposal # [***]</w:t>
      </w:r>
      <w:r>
        <w:rPr>
          <w:sz w:val="20"/>
          <w:szCs w:val="20"/>
          <w:color w:val="auto"/>
        </w:rPr>
        <w:tab/>
      </w:r>
      <w:r>
        <w:rPr>
          <w:rFonts w:ascii="Arial" w:cs="Arial" w:eastAsia="Arial" w:hAnsi="Arial"/>
          <w:sz w:val="16"/>
          <w:szCs w:val="16"/>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57785</wp:posOffset>
            </wp:positionV>
            <wp:extent cx="1310640" cy="2997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00"/>
          </w:cols>
          <w:pgMar w:left="460" w:top="958" w:right="439" w:bottom="1440" w:gutter="0" w:footer="0" w:header="0"/>
        </w:sectPr>
      </w:pPr>
    </w:p>
    <w:bookmarkStart w:id="618" w:name="page619"/>
    <w:bookmarkEnd w:id="618"/>
    <w:tbl>
      <w:tblPr>
        <w:tblLayout w:type="fixed"/>
        <w:tblInd w:w="1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rPr>
                <w:sz w:val="20"/>
                <w:szCs w:val="20"/>
                <w:color w:val="auto"/>
              </w:rPr>
            </w:pPr>
            <w:r>
              <w:rPr>
                <w:rFonts w:ascii="Arial" w:cs="Arial" w:eastAsia="Arial" w:hAnsi="Arial"/>
                <w:sz w:val="18"/>
                <w:szCs w:val="18"/>
                <w:color w:val="auto"/>
              </w:rPr>
              <w:t>[***]</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209550</wp:posOffset>
            </wp:positionV>
            <wp:extent cx="6989445" cy="3854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989445" cy="38544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b w:val="1"/>
          <w:bCs w:val="1"/>
          <w:color w:val="auto"/>
        </w:rPr>
        <w:t>III. CONDITIONS OF SALE</w:t>
      </w:r>
    </w:p>
    <w:p>
      <w:pPr>
        <w:spacing w:after="0" w:line="121" w:lineRule="exact"/>
        <w:rPr>
          <w:sz w:val="20"/>
          <w:szCs w:val="20"/>
          <w:color w:val="auto"/>
        </w:rPr>
      </w:pPr>
    </w:p>
    <w:p>
      <w:pPr>
        <w:ind w:left="10" w:right="100"/>
        <w:spacing w:after="0" w:line="269" w:lineRule="auto"/>
        <w:rPr>
          <w:sz w:val="20"/>
          <w:szCs w:val="20"/>
          <w:color w:val="auto"/>
        </w:rPr>
      </w:pPr>
      <w:r>
        <w:rPr>
          <w:rFonts w:ascii="Arial" w:cs="Arial" w:eastAsia="Arial" w:hAnsi="Arial"/>
          <w:sz w:val="17"/>
          <w:szCs w:val="17"/>
          <w:color w:val="auto"/>
        </w:rPr>
        <w:t>By submitting an order, Customer accepts and agrees that the Terms and Conditions referenced in this Quotation(as set forth in the section VII herein (Terms and Conditions ) is the sole and exclusive agreement between Customer and Illumina with respect to the Illumina products and/or services as described above and accepts all other terms of this quotation. NOTWITHSTANDING THE FOREGOING, IF ILLUMINA AND CUSTOMER HAVE ENTERED INTO A VALID AND ENFORCEABLE AGREEMENT GOVERNING THE ILLUMINA PRODUCTS AND/OR SERVICES DESCRIBED ABOVE, THE ORDER OF PRECEDENCE BETWEEN THE AGREEMENT AND THE TERMS AND CONDITIONS SHALL BE AS FOLLOWS: IN THE EVENT OF A CONFLICT BETWEEN THE TERMS OF THE AGREEMENT AND THE TERMS AND CONDITIONS, OR IF THE AGREEMENT INCLUDES ADDITIONAL TERMS NOT ADDRESSED IN THE TERMS AND CONDITIONS, THE AGREEMENT SHALL GOVERN WITH RESPECT TO SUCH TERMS. Illumina does not supply plastics such as microplates or pipette tips for use in the listed assays and these are not included in the consumables pricing provided; however, as a result of the highly multiplexed nature of all assays, plastics alone contribute minimally to the final cost.</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8"/>
          <w:szCs w:val="18"/>
          <w:color w:val="auto"/>
        </w:rPr>
        <w:t>Customer and Illumina agree as follows:</w:t>
      </w:r>
    </w:p>
    <w:p>
      <w:pPr>
        <w:spacing w:after="0" w:line="130" w:lineRule="exact"/>
        <w:rPr>
          <w:sz w:val="20"/>
          <w:szCs w:val="20"/>
          <w:color w:val="auto"/>
        </w:rPr>
      </w:pPr>
    </w:p>
    <w:p>
      <w:pPr>
        <w:ind w:left="870" w:right="240" w:hanging="330"/>
        <w:spacing w:after="0" w:line="277" w:lineRule="auto"/>
        <w:tabs>
          <w:tab w:leader="none" w:pos="87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Customer’s purchase of the products referenced in this Quotation is not conditioned on future performance characteristics or applications, whether or not realized.</w:t>
      </w:r>
    </w:p>
    <w:p>
      <w:pPr>
        <w:spacing w:after="0" w:line="75" w:lineRule="exact"/>
        <w:rPr>
          <w:rFonts w:ascii="Arial" w:cs="Arial" w:eastAsia="Arial" w:hAnsi="Arial"/>
          <w:sz w:val="18"/>
          <w:szCs w:val="18"/>
          <w:color w:val="auto"/>
        </w:rPr>
      </w:pPr>
    </w:p>
    <w:p>
      <w:pPr>
        <w:ind w:left="870" w:right="740" w:hanging="330"/>
        <w:spacing w:after="0" w:line="277" w:lineRule="auto"/>
        <w:tabs>
          <w:tab w:leader="none" w:pos="87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Unless otherwise agreed by Illumina in writing, Illumina will not assist Customer in developing, testing, or validating unsupported applications.</w:t>
      </w:r>
    </w:p>
    <w:p>
      <w:pPr>
        <w:spacing w:after="0" w:line="75" w:lineRule="exact"/>
        <w:rPr>
          <w:rFonts w:ascii="Arial" w:cs="Arial" w:eastAsia="Arial" w:hAnsi="Arial"/>
          <w:sz w:val="18"/>
          <w:szCs w:val="18"/>
          <w:color w:val="auto"/>
        </w:rPr>
      </w:pPr>
    </w:p>
    <w:p>
      <w:pPr>
        <w:ind w:left="870" w:hanging="330"/>
        <w:spacing w:after="0"/>
        <w:tabs>
          <w:tab w:leader="none" w:pos="87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Illumina will not replace any consumables or reagent kits if the cause of any performance failure is due to unsupported applications.</w:t>
      </w:r>
    </w:p>
    <w:p>
      <w:pPr>
        <w:spacing w:after="0" w:line="141" w:lineRule="exact"/>
        <w:rPr>
          <w:rFonts w:ascii="Arial" w:cs="Arial" w:eastAsia="Arial" w:hAnsi="Arial"/>
          <w:sz w:val="17"/>
          <w:szCs w:val="17"/>
          <w:color w:val="auto"/>
        </w:rPr>
      </w:pPr>
    </w:p>
    <w:p>
      <w:pPr>
        <w:ind w:left="870" w:right="500" w:hanging="330"/>
        <w:spacing w:after="0" w:line="277" w:lineRule="auto"/>
        <w:tabs>
          <w:tab w:leader="none" w:pos="87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Illumina is unable to provide any assurances or guarantee that the performance of the products referenced in this Quotation will match published specifications when used for unsupported applications.</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IV. SHIP HOLD</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cases where this Quotation does not include a pre-defined ship schedule, the following ship hold terms shall apply:</w:t>
      </w:r>
    </w:p>
    <w:p>
      <w:pPr>
        <w:spacing w:after="0" w:line="130" w:lineRule="exact"/>
        <w:rPr>
          <w:sz w:val="20"/>
          <w:szCs w:val="20"/>
          <w:color w:val="auto"/>
        </w:rPr>
      </w:pPr>
    </w:p>
    <w:p>
      <w:pPr>
        <w:jc w:val="both"/>
        <w:ind w:left="870" w:right="20" w:hanging="330"/>
        <w:spacing w:after="0" w:line="263" w:lineRule="auto"/>
        <w:tabs>
          <w:tab w:leader="none" w:pos="87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All orders must have a defined ship schedule. The initial ship date must be no later than three (3) months from the date the purchase order is received by Illumina (as provided in the Order Confirmation) and the entire order must be shipped complete within twelve (12) months from Illumina’s receipt of the purchase order.</w:t>
      </w:r>
    </w:p>
    <w:p>
      <w:pPr>
        <w:spacing w:after="0" w:line="88" w:lineRule="exact"/>
        <w:rPr>
          <w:rFonts w:ascii="Arial" w:cs="Arial" w:eastAsia="Arial" w:hAnsi="Arial"/>
          <w:sz w:val="18"/>
          <w:szCs w:val="18"/>
          <w:color w:val="auto"/>
        </w:rPr>
      </w:pPr>
    </w:p>
    <w:p>
      <w:pPr>
        <w:ind w:left="870" w:right="60" w:hanging="330"/>
        <w:spacing w:after="0" w:line="277" w:lineRule="auto"/>
        <w:tabs>
          <w:tab w:leader="none" w:pos="87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Any exceptions to these ship hold terms must be agreed to in writing by Illumina and the Customer must pre-pay at least fifty percent (50%) of the purchase order amount of the affected shipments.</w:t>
      </w:r>
    </w:p>
    <w:p>
      <w:pPr>
        <w:spacing w:after="0" w:line="75" w:lineRule="exact"/>
        <w:rPr>
          <w:rFonts w:ascii="Arial" w:cs="Arial" w:eastAsia="Arial" w:hAnsi="Arial"/>
          <w:sz w:val="18"/>
          <w:szCs w:val="18"/>
          <w:color w:val="auto"/>
        </w:rPr>
      </w:pPr>
    </w:p>
    <w:p>
      <w:pPr>
        <w:ind w:left="870" w:right="700" w:hanging="330"/>
        <w:spacing w:after="0" w:line="277" w:lineRule="auto"/>
        <w:tabs>
          <w:tab w:leader="none" w:pos="87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Customers may request two (2) shipment delays for any single purchase order. The total months of delayed shipment for shipments associated with a single purchase order shall not exceed six (6) months.</w:t>
      </w:r>
    </w:p>
    <w:p>
      <w:pPr>
        <w:spacing w:after="0" w:line="75" w:lineRule="exact"/>
        <w:rPr>
          <w:rFonts w:ascii="Arial" w:cs="Arial" w:eastAsia="Arial" w:hAnsi="Arial"/>
          <w:sz w:val="18"/>
          <w:szCs w:val="18"/>
          <w:color w:val="auto"/>
        </w:rPr>
      </w:pPr>
    </w:p>
    <w:p>
      <w:pPr>
        <w:ind w:left="870" w:right="460" w:hanging="330"/>
        <w:spacing w:after="0" w:line="277" w:lineRule="auto"/>
        <w:tabs>
          <w:tab w:leader="none" w:pos="87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If Customer has requested a delayed shipment, Illumina reserves the right to change the lead time necessary to initiate Customer’s first shipment (which may be longer than the lead time quoted at the time of the order placement).</w:t>
      </w:r>
    </w:p>
    <w:p>
      <w:pPr>
        <w:spacing w:after="0" w:line="75" w:lineRule="exact"/>
        <w:rPr>
          <w:rFonts w:ascii="Arial" w:cs="Arial" w:eastAsia="Arial" w:hAnsi="Arial"/>
          <w:sz w:val="18"/>
          <w:szCs w:val="18"/>
          <w:color w:val="auto"/>
        </w:rPr>
      </w:pPr>
    </w:p>
    <w:p>
      <w:pPr>
        <w:ind w:left="870" w:right="200" w:hanging="330"/>
        <w:spacing w:after="0" w:line="277" w:lineRule="auto"/>
        <w:tabs>
          <w:tab w:leader="none" w:pos="87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If Customer cannot take shipment in accordance with these terms, Illumina reserves the right to cancel the order in its entirety without any liability to the Customer.</w:t>
      </w:r>
    </w:p>
    <w:p>
      <w:pPr>
        <w:spacing w:after="0" w:line="273" w:lineRule="exact"/>
        <w:rPr>
          <w:rFonts w:ascii="Arial" w:cs="Arial" w:eastAsia="Arial" w:hAnsi="Arial"/>
          <w:sz w:val="18"/>
          <w:szCs w:val="18"/>
          <w:color w:val="auto"/>
        </w:rPr>
      </w:pPr>
    </w:p>
    <w:p>
      <w:pPr>
        <w:ind w:left="190" w:hanging="190"/>
        <w:spacing w:after="0"/>
        <w:tabs>
          <w:tab w:leader="none" w:pos="190"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color w:val="auto"/>
        </w:rPr>
        <w:t>HOW TO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8335" cy="137033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6998335" cy="1370330"/>
                    </a:xfrm>
                    <a:prstGeom prst="rect">
                      <a:avLst/>
                    </a:prstGeom>
                    <a:noFill/>
                  </pic:spPr>
                </pic:pic>
              </a:graphicData>
            </a:graphic>
          </wp:anchor>
        </w:drawing>
      </w:r>
    </w:p>
    <w:p>
      <w:pPr>
        <w:sectPr>
          <w:pgSz w:w="11900" w:h="16838" w:orient="portrait"/>
          <w:cols w:equalWidth="0" w:num="1">
            <w:col w:w="11010"/>
          </w:cols>
          <w:pgMar w:left="450" w:top="95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0" w:right="120"/>
        <w:spacing w:after="0" w:line="277" w:lineRule="auto"/>
        <w:rPr>
          <w:sz w:val="20"/>
          <w:szCs w:val="20"/>
          <w:color w:val="auto"/>
        </w:rPr>
      </w:pPr>
      <w:r>
        <w:rPr>
          <w:rFonts w:ascii="Arial" w:cs="Arial" w:eastAsia="Arial" w:hAnsi="Arial"/>
          <w:sz w:val="18"/>
          <w:szCs w:val="18"/>
          <w:color w:val="auto"/>
        </w:rPr>
        <w:t>For all consumable orders: Please submit your order online through MyIllumina (http://my.illumina.com).</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For all other orders: Please submit your institutional Purchase Order and a complete copy of this quotation to the attention of:</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Illumina Customer Service</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customerservice@illumina.com</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Phone: +1.858.202.4566</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Toll Free: +1.800.809.ILMN (4566)</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Fax: +1.858.202.4766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125730</wp:posOffset>
            </wp:positionV>
            <wp:extent cx="698944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30" w:space="720"/>
            <w:col w:w="5160"/>
          </w:cols>
          <w:pgMar w:left="450" w:top="958" w:right="439" w:bottom="1440" w:gutter="0" w:footer="0" w:header="0"/>
          <w:type w:val="continuous"/>
        </w:sectPr>
      </w:pPr>
    </w:p>
    <w:p>
      <w:pPr>
        <w:spacing w:after="0" w:line="24" w:lineRule="exact"/>
        <w:rPr>
          <w:sz w:val="20"/>
          <w:szCs w:val="20"/>
          <w:color w:val="auto"/>
        </w:rPr>
      </w:pPr>
    </w:p>
    <w:p>
      <w:pPr>
        <w:ind w:left="10"/>
        <w:spacing w:after="0"/>
        <w:tabs>
          <w:tab w:leader="none" w:pos="5129" w:val="left"/>
          <w:tab w:leader="none" w:pos="10169"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Proposal # [***]</w:t>
      </w:r>
      <w:r>
        <w:rPr>
          <w:sz w:val="20"/>
          <w:szCs w:val="20"/>
          <w:color w:val="auto"/>
        </w:rPr>
        <w:tab/>
      </w: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5679440</wp:posOffset>
            </wp:positionH>
            <wp:positionV relativeFrom="paragraph">
              <wp:posOffset>57150</wp:posOffset>
            </wp:positionV>
            <wp:extent cx="1310640" cy="2997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10"/>
          </w:cols>
          <w:pgMar w:left="450" w:top="958" w:right="439" w:bottom="1440" w:gutter="0" w:footer="0" w:header="0"/>
          <w:type w:val="continuous"/>
        </w:sectPr>
      </w:pPr>
    </w:p>
    <w:bookmarkStart w:id="619" w:name="page620"/>
    <w:bookmarkEnd w:id="619"/>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NUMBER</w:t>
            </w:r>
          </w:p>
        </w:tc>
        <w:tc>
          <w:tcPr>
            <w:tcW w:w="3000" w:type="dxa"/>
            <w:vAlign w:val="bottom"/>
          </w:tcPr>
          <w:p>
            <w:pPr>
              <w:ind w:left="300"/>
              <w:spacing w:after="0"/>
              <w:rPr>
                <w:sz w:val="20"/>
                <w:szCs w:val="20"/>
                <w:color w:val="auto"/>
              </w:rPr>
            </w:pPr>
            <w:r>
              <w:rPr>
                <w:rFonts w:ascii="Arial" w:cs="Arial" w:eastAsia="Arial" w:hAnsi="Arial"/>
                <w:sz w:val="18"/>
                <w:szCs w:val="18"/>
                <w:color w:val="auto"/>
              </w:rPr>
              <w:t>[***]</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PREPARED BY</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QUOTATION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TEL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3000" w:type="dxa"/>
            <w:vAlign w:val="bottom"/>
          </w:tcPr>
          <w:p>
            <w:pPr>
              <w:ind w:left="300"/>
              <w:spacing w:after="0"/>
              <w:rPr>
                <w:sz w:val="20"/>
                <w:szCs w:val="20"/>
                <w:color w:val="auto"/>
              </w:rPr>
            </w:pPr>
            <w:r>
              <w:rPr>
                <w:rFonts w:ascii="Arial" w:cs="Arial" w:eastAsia="Arial" w:hAnsi="Arial"/>
                <w:sz w:val="18"/>
                <w:szCs w:val="18"/>
                <w:color w:val="auto"/>
              </w:rPr>
              <w:t>Mar 31, 2019</w:t>
            </w:r>
          </w:p>
        </w:tc>
        <w:tc>
          <w:tcPr>
            <w:tcW w:w="3440" w:type="dxa"/>
            <w:vAlign w:val="bottom"/>
          </w:tcPr>
          <w:p>
            <w:pPr>
              <w:ind w:left="1720"/>
              <w:spacing w:after="0"/>
              <w:rPr>
                <w:sz w:val="20"/>
                <w:szCs w:val="20"/>
                <w:color w:val="auto"/>
              </w:rPr>
            </w:pPr>
            <w:r>
              <w:rPr>
                <w:rFonts w:ascii="Arial" w:cs="Arial" w:eastAsia="Arial" w:hAnsi="Arial"/>
                <w:sz w:val="18"/>
                <w:szCs w:val="18"/>
                <w:b w:val="1"/>
                <w:bCs w:val="1"/>
                <w:color w:val="auto"/>
              </w:rPr>
              <w:t>EMAIL</w:t>
            </w: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3000" w:type="dxa"/>
            <w:vAlign w:val="bottom"/>
          </w:tcPr>
          <w:p>
            <w:pPr>
              <w:ind w:left="300"/>
              <w:spacing w:after="0"/>
              <w:rPr>
                <w:sz w:val="20"/>
                <w:szCs w:val="20"/>
                <w:color w:val="auto"/>
              </w:rPr>
            </w:pPr>
            <w:r>
              <w:rPr>
                <w:rFonts w:ascii="Arial" w:cs="Arial" w:eastAsia="Arial" w:hAnsi="Arial"/>
                <w:sz w:val="18"/>
                <w:szCs w:val="18"/>
                <w:color w:val="auto"/>
              </w:rPr>
              <w:t>USD</w:t>
            </w: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209550</wp:posOffset>
            </wp:positionV>
            <wp:extent cx="6989445" cy="3854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989445" cy="385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Order Confirmation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will receive an e-mail confirmation containing your order number within 1 business day. Another email will be sent to notify you when your order has been shipped.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EXPIRATION OF OFFER</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offer contained in this document is revocable at the sole discretion of Illumina if not executed by Customer and a purchase order received by Illumina before 5:00 pm Pacific Time on the expiration date shown on page 1 of this quotation.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TERMS AND CONDITIONS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By this Quotation, Illumina conditionally offers to Customer the Illumina products and/or services as described above. This offer is conditional on, and may only be accepted by, Customer’s agreement that Illumina’s terms and conditions listed below or otherwise included with the product or service, as applicable to the specific product or service quoted (“Terms and Conditions”), is the sole and exclusive agreement between Customer and Illumina with respect to the particular products or service. For the avoidance of doubt, any terms and conditions applicable to “Test Specific Products” that have a specific intended use in such products’ documentation, as set forth in such terms and conditions, are applicable only to in vitro diagnostic products.</w:t>
      </w:r>
    </w:p>
    <w:p>
      <w:pPr>
        <w:spacing w:after="0" w:line="160"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http://www.illumina.com/content/dam/illumina-marketing/documents/terms-conditions/united-states/usa-terms-and-conditions-of-sale-general.pdf.</w:t>
      </w:r>
    </w:p>
    <w:p>
      <w:pPr>
        <w:spacing w:after="0" w:line="170"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Additionally, if Customer is purchasing Illumina professional consultingservices as relate to instruments, Customer environment or workflows (inall cases, excluding instrument warranty services) (“ProfessionalServices”), Customer agrees such Professional Services are exclusivelygoverned by the Terms and Conditions—Services (Professional Services)located here:</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http://www.illumina.com/content/dam/illumina-marketing/documents/company/terms-and-conditions-services.pdf</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the case of BaseSpace Clarity LIMS, the Terms and Conditions are https://www.illumina.com/content/dam/illumina-marketing/ documents/terms-conditions/worldwide/lims/on-premise-subscription-agreement.pdf (for subscription software), and https://www. illumina.com/content/dam/illumina-marketing/documents/terms-conditions/worldwide/lims/perpetual-license-agreement.pdf (for perpetual license software).</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Additionally, notwithstanding the Illumina entity that is listed on the cover page of this Quotation, the parties understand and agree that in the event another Illumina affiliate provides the products or services to Customer, such Illumina affiliate is the relevant quoting and contracting entity under this Quotation and the relevant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698944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9" w:lineRule="exact"/>
        <w:rPr>
          <w:sz w:val="20"/>
          <w:szCs w:val="20"/>
          <w:color w:val="auto"/>
        </w:rPr>
      </w:pPr>
    </w:p>
    <w:p>
      <w:pPr>
        <w:spacing w:after="0"/>
        <w:tabs>
          <w:tab w:leader="none" w:pos="5120" w:val="left"/>
          <w:tab w:leader="none" w:pos="1016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Proposal # [***]</w:t>
      </w:r>
      <w:r>
        <w:rPr>
          <w:sz w:val="20"/>
          <w:szCs w:val="20"/>
          <w:color w:val="auto"/>
        </w:rPr>
        <w:tab/>
      </w:r>
      <w:r>
        <w:rPr>
          <w:rFonts w:ascii="Arial" w:cs="Arial" w:eastAsia="Arial" w:hAnsi="Arial"/>
          <w:sz w:val="16"/>
          <w:szCs w:val="16"/>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57785</wp:posOffset>
            </wp:positionV>
            <wp:extent cx="1310640" cy="2997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10640" cy="299720"/>
                    </a:xfrm>
                    <a:prstGeom prst="rect">
                      <a:avLst/>
                    </a:prstGeom>
                    <a:noFill/>
                  </pic:spPr>
                </pic:pic>
              </a:graphicData>
            </a:graphic>
          </wp:anchor>
        </w:drawing>
      </w:r>
    </w:p>
    <w:p>
      <w:pPr>
        <w:sectPr>
          <w:pgSz w:w="11900" w:h="16838" w:orient="portrait"/>
          <w:cols w:equalWidth="0" w:num="1">
            <w:col w:w="11000"/>
          </w:cols>
          <w:pgMar w:left="460" w:top="959" w:right="439" w:bottom="1440" w:gutter="0" w:footer="0" w:header="0"/>
        </w:sectPr>
      </w:pPr>
    </w:p>
    <w:bookmarkStart w:id="620" w:name="page621"/>
    <w:bookmarkEnd w:id="620"/>
    <w:p>
      <w:pPr>
        <w:ind w:left="9990"/>
        <w:spacing w:after="0"/>
        <w:rPr>
          <w:sz w:val="20"/>
          <w:szCs w:val="20"/>
          <w:color w:val="auto"/>
        </w:rPr>
      </w:pPr>
      <w:r>
        <w:rPr>
          <w:rFonts w:ascii="Arial" w:cs="Arial" w:eastAsia="Arial" w:hAnsi="Arial"/>
          <w:sz w:val="17"/>
          <w:szCs w:val="17"/>
          <w:b w:val="1"/>
          <w:bCs w:val="1"/>
          <w:color w:val="auto"/>
        </w:rPr>
        <w:t>Exhibit 10.18</w:t>
      </w:r>
    </w:p>
    <w:p>
      <w:pPr>
        <w:spacing w:after="0" w:line="128" w:lineRule="exact"/>
        <w:rPr>
          <w:sz w:val="20"/>
          <w:szCs w:val="20"/>
          <w:color w:val="auto"/>
        </w:rPr>
      </w:pPr>
    </w:p>
    <w:p>
      <w:pPr>
        <w:ind w:left="10" w:right="340" w:hanging="10"/>
        <w:spacing w:after="0" w:line="281" w:lineRule="auto"/>
        <w:tabs>
          <w:tab w:leader="none" w:pos="444" w:val="left"/>
        </w:tabs>
        <w:numPr>
          <w:ilvl w:val="0"/>
          <w:numId w:val="61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rPr>
              <w:t>Personalis, Inc.</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300" w:type="dxa"/>
            <w:vAlign w:val="bottom"/>
            <w:tcBorders>
              <w:top w:val="single" w:sz="8" w:color="auto"/>
            </w:tcBorders>
            <w:gridSpan w:val="3"/>
            <w:shd w:val="clear" w:color="auto" w:fill="F5F5F5"/>
          </w:tcPr>
          <w:p>
            <w:pPr>
              <w:ind w:left="80"/>
              <w:spacing w:after="0"/>
              <w:rPr>
                <w:sz w:val="20"/>
                <w:szCs w:val="20"/>
                <w:color w:val="auto"/>
              </w:rPr>
            </w:pPr>
            <w:r>
              <w:rPr>
                <w:rFonts w:ascii="Arial" w:cs="Arial" w:eastAsia="Arial" w:hAnsi="Arial"/>
                <w:sz w:val="18"/>
                <w:szCs w:val="18"/>
                <w:color w:val="auto"/>
                <w:w w:val="94"/>
              </w:rPr>
              <w:t>Purchase Order</w:t>
            </w:r>
          </w:p>
        </w:tc>
        <w:tc>
          <w:tcPr>
            <w:tcW w:w="340" w:type="dxa"/>
            <w:vAlign w:val="bottom"/>
            <w:tcBorders>
              <w:top w:val="single" w:sz="8" w:color="auto"/>
              <w:right w:val="single" w:sz="8" w:color="auto"/>
            </w:tcBorders>
            <w:shd w:val="clear" w:color="auto" w:fill="F5F5F5"/>
          </w:tcPr>
          <w:p>
            <w:pPr>
              <w:spacing w:after="0"/>
              <w:rPr>
                <w:sz w:val="19"/>
                <w:szCs w:val="19"/>
                <w:color w:val="auto"/>
              </w:rPr>
            </w:pPr>
          </w:p>
        </w:tc>
        <w:tc>
          <w:tcPr>
            <w:tcW w:w="880" w:type="dxa"/>
            <w:vAlign w:val="bottom"/>
            <w:tcBorders>
              <w:top w:val="single" w:sz="8" w:color="auto"/>
              <w:right w:val="single" w:sz="8" w:color="auto"/>
            </w:tcBorders>
            <w:shd w:val="clear" w:color="auto" w:fill="F5F5F5"/>
          </w:tcPr>
          <w:p>
            <w:pPr>
              <w:ind w:left="100"/>
              <w:spacing w:after="0"/>
              <w:rPr>
                <w:sz w:val="20"/>
                <w:szCs w:val="20"/>
                <w:color w:val="auto"/>
              </w:rPr>
            </w:pPr>
            <w:r>
              <w:rPr>
                <w:rFonts w:ascii="Arial" w:cs="Arial" w:eastAsia="Arial" w:hAnsi="Arial"/>
                <w:sz w:val="18"/>
                <w:szCs w:val="18"/>
                <w:color w:val="auto"/>
              </w:rPr>
              <w:t>Revision</w:t>
            </w:r>
          </w:p>
        </w:tc>
        <w:tc>
          <w:tcPr>
            <w:tcW w:w="80" w:type="dxa"/>
            <w:vAlign w:val="bottom"/>
            <w:tcBorders>
              <w:top w:val="single" w:sz="8" w:color="auto"/>
            </w:tcBorders>
            <w:shd w:val="clear" w:color="auto" w:fill="F5F5F5"/>
          </w:tcPr>
          <w:p>
            <w:pPr>
              <w:spacing w:after="0"/>
              <w:rPr>
                <w:sz w:val="19"/>
                <w:szCs w:val="19"/>
                <w:color w:val="auto"/>
              </w:rPr>
            </w:pPr>
          </w:p>
        </w:tc>
        <w:tc>
          <w:tcPr>
            <w:tcW w:w="1340" w:type="dxa"/>
            <w:vAlign w:val="bottom"/>
            <w:tcBorders>
              <w:top w:val="single" w:sz="8" w:color="auto"/>
              <w:right w:val="single" w:sz="8" w:color="auto"/>
            </w:tcBorders>
            <w:gridSpan w:val="2"/>
            <w:shd w:val="clear" w:color="auto" w:fill="F5F5F5"/>
          </w:tcPr>
          <w:p>
            <w:pPr>
              <w:jc w:val="right"/>
              <w:ind w:right="439"/>
              <w:spacing w:after="0"/>
              <w:rPr>
                <w:sz w:val="20"/>
                <w:szCs w:val="20"/>
                <w:color w:val="auto"/>
              </w:rPr>
            </w:pPr>
            <w:r>
              <w:rPr>
                <w:rFonts w:ascii="Arial" w:cs="Arial" w:eastAsia="Arial" w:hAnsi="Arial"/>
                <w:sz w:val="18"/>
                <w:szCs w:val="18"/>
                <w:color w:val="auto"/>
                <w:w w:val="89"/>
              </w:rPr>
              <w:t>Order Date</w:t>
            </w:r>
          </w:p>
        </w:tc>
        <w:tc>
          <w:tcPr>
            <w:tcW w:w="20" w:type="dxa"/>
            <w:vAlign w:val="bottom"/>
            <w:tcBorders>
              <w:top w:val="single" w:sz="8" w:color="auto"/>
            </w:tcBorders>
            <w:shd w:val="clear" w:color="auto" w:fill="000000"/>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rPr>
              <w:t>1330 O’Brien Drive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bottom w:val="single" w:sz="8" w:color="auto"/>
              <w:right w:val="single" w:sz="8" w:color="F5F5F5"/>
            </w:tcBorders>
            <w:shd w:val="clear" w:color="auto" w:fill="F5F5F5"/>
          </w:tcPr>
          <w:p>
            <w:pPr>
              <w:spacing w:after="0"/>
              <w:rPr>
                <w:sz w:val="18"/>
                <w:szCs w:val="18"/>
                <w:color w:val="auto"/>
              </w:rPr>
            </w:pPr>
          </w:p>
        </w:tc>
        <w:tc>
          <w:tcPr>
            <w:tcW w:w="920" w:type="dxa"/>
            <w:vAlign w:val="bottom"/>
            <w:tcBorders>
              <w:bottom w:val="single" w:sz="8" w:color="auto"/>
              <w:right w:val="single" w:sz="8" w:color="auto"/>
            </w:tcBorders>
            <w:gridSpan w:val="3"/>
            <w:shd w:val="clear" w:color="auto" w:fill="F5F5F5"/>
          </w:tcPr>
          <w:p>
            <w:pPr>
              <w:jc w:val="right"/>
              <w:spacing w:after="0"/>
              <w:rPr>
                <w:sz w:val="20"/>
                <w:szCs w:val="20"/>
                <w:color w:val="auto"/>
              </w:rPr>
            </w:pPr>
            <w:r>
              <w:rPr>
                <w:rFonts w:ascii="Arial" w:cs="Arial" w:eastAsia="Arial" w:hAnsi="Arial"/>
                <w:sz w:val="18"/>
                <w:szCs w:val="18"/>
                <w:color w:val="auto"/>
              </w:rPr>
              <w:t>P11405</w:t>
            </w:r>
          </w:p>
        </w:tc>
        <w:tc>
          <w:tcPr>
            <w:tcW w:w="880" w:type="dxa"/>
            <w:vAlign w:val="bottom"/>
            <w:tcBorders>
              <w:bottom w:val="single" w:sz="8" w:color="auto"/>
              <w:right w:val="single" w:sz="8" w:color="auto"/>
            </w:tcBorders>
            <w:shd w:val="clear" w:color="auto" w:fill="F5F5F5"/>
          </w:tcPr>
          <w:p>
            <w:pPr>
              <w:ind w:left="44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F5F5F5"/>
          </w:tcPr>
          <w:p>
            <w:pPr>
              <w:spacing w:after="0"/>
              <w:rPr>
                <w:sz w:val="18"/>
                <w:szCs w:val="18"/>
                <w:color w:val="auto"/>
              </w:rPr>
            </w:pPr>
          </w:p>
        </w:tc>
        <w:tc>
          <w:tcPr>
            <w:tcW w:w="1340" w:type="dxa"/>
            <w:vAlign w:val="bottom"/>
            <w:tcBorders>
              <w:bottom w:val="single" w:sz="8" w:color="auto"/>
              <w:right w:val="single" w:sz="8" w:color="auto"/>
            </w:tcBorders>
            <w:gridSpan w:val="2"/>
            <w:shd w:val="clear" w:color="auto" w:fill="F5F5F5"/>
          </w:tcPr>
          <w:p>
            <w:pPr>
              <w:jc w:val="right"/>
              <w:spacing w:after="0"/>
              <w:rPr>
                <w:sz w:val="20"/>
                <w:szCs w:val="20"/>
                <w:color w:val="auto"/>
              </w:rPr>
            </w:pPr>
            <w:r>
              <w:rPr>
                <w:rFonts w:ascii="Arial" w:cs="Arial" w:eastAsia="Arial" w:hAnsi="Arial"/>
                <w:sz w:val="18"/>
                <w:szCs w:val="18"/>
                <w:color w:val="auto"/>
              </w:rPr>
              <w:t>3/20/19</w:t>
            </w: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rPr>
              <w:t>Menlo Park,</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F5F5F5"/>
            </w:tcBorders>
            <w:shd w:val="clear" w:color="auto" w:fill="F5F5F5"/>
          </w:tcPr>
          <w:p>
            <w:pPr>
              <w:ind w:left="80"/>
              <w:spacing w:after="0"/>
              <w:rPr>
                <w:sz w:val="20"/>
                <w:szCs w:val="20"/>
                <w:color w:val="auto"/>
              </w:rPr>
            </w:pPr>
            <w:r>
              <w:rPr>
                <w:rFonts w:ascii="Arial" w:cs="Arial" w:eastAsia="Arial" w:hAnsi="Arial"/>
                <w:sz w:val="18"/>
                <w:szCs w:val="18"/>
                <w:color w:val="auto"/>
                <w:w w:val="90"/>
              </w:rPr>
              <w:t>Supplier</w:t>
            </w:r>
          </w:p>
        </w:tc>
        <w:tc>
          <w:tcPr>
            <w:tcW w:w="50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340" w:type="dxa"/>
            <w:vAlign w:val="bottom"/>
            <w:tcBorders>
              <w:right w:val="single" w:sz="8" w:color="auto"/>
            </w:tcBorders>
            <w:shd w:val="clear" w:color="auto" w:fill="F5F5F5"/>
          </w:tcPr>
          <w:p>
            <w:pPr>
              <w:spacing w:after="0"/>
              <w:rPr>
                <w:sz w:val="18"/>
                <w:szCs w:val="18"/>
                <w:color w:val="auto"/>
              </w:rPr>
            </w:pPr>
          </w:p>
        </w:tc>
        <w:tc>
          <w:tcPr>
            <w:tcW w:w="88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1340" w:type="dxa"/>
            <w:vAlign w:val="bottom"/>
            <w:tcBorders>
              <w:right w:val="single" w:sz="8" w:color="auto"/>
            </w:tcBorders>
            <w:gridSpan w:val="2"/>
            <w:shd w:val="clear" w:color="auto" w:fill="F5F5F5"/>
          </w:tcPr>
          <w:p>
            <w:pPr>
              <w:jc w:val="right"/>
              <w:ind w:right="519"/>
              <w:spacing w:after="0"/>
              <w:rPr>
                <w:sz w:val="20"/>
                <w:szCs w:val="20"/>
                <w:color w:val="auto"/>
              </w:rPr>
            </w:pPr>
            <w:r>
              <w:rPr>
                <w:rFonts w:ascii="Arial" w:cs="Arial" w:eastAsia="Arial" w:hAnsi="Arial"/>
                <w:sz w:val="18"/>
                <w:szCs w:val="18"/>
                <w:color w:val="auto"/>
                <w:w w:val="89"/>
              </w:rPr>
              <w:t>Print Date</w:t>
            </w:r>
          </w:p>
        </w:tc>
        <w:tc>
          <w:tcPr>
            <w:tcW w:w="20" w:type="dxa"/>
            <w:vAlign w:val="bottom"/>
            <w:shd w:val="clear" w:color="auto" w:fill="000000"/>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rPr>
              <w:t>CA 94025</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bottom w:val="single" w:sz="8" w:color="auto"/>
              <w:right w:val="single" w:sz="8" w:color="F5F5F5"/>
            </w:tcBorders>
            <w:shd w:val="clear" w:color="auto" w:fill="F5F5F5"/>
          </w:tcPr>
          <w:p>
            <w:pPr>
              <w:spacing w:after="0"/>
              <w:rPr>
                <w:sz w:val="18"/>
                <w:szCs w:val="18"/>
                <w:color w:val="auto"/>
              </w:rPr>
            </w:pPr>
          </w:p>
        </w:tc>
        <w:tc>
          <w:tcPr>
            <w:tcW w:w="920" w:type="dxa"/>
            <w:vAlign w:val="bottom"/>
            <w:tcBorders>
              <w:bottom w:val="single" w:sz="8" w:color="auto"/>
              <w:right w:val="single" w:sz="8" w:color="auto"/>
            </w:tcBorders>
            <w:gridSpan w:val="3"/>
            <w:shd w:val="clear" w:color="auto" w:fill="F5F5F5"/>
          </w:tcPr>
          <w:p>
            <w:pPr>
              <w:jc w:val="right"/>
              <w:spacing w:after="0"/>
              <w:rPr>
                <w:sz w:val="20"/>
                <w:szCs w:val="20"/>
                <w:color w:val="auto"/>
              </w:rPr>
            </w:pPr>
            <w:r>
              <w:rPr>
                <w:rFonts w:ascii="Arial" w:cs="Arial" w:eastAsia="Arial" w:hAnsi="Arial"/>
                <w:sz w:val="18"/>
                <w:szCs w:val="18"/>
                <w:color w:val="auto"/>
              </w:rPr>
              <w:t>110138</w:t>
            </w:r>
          </w:p>
        </w:tc>
        <w:tc>
          <w:tcPr>
            <w:tcW w:w="88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1340" w:type="dxa"/>
            <w:vAlign w:val="bottom"/>
            <w:tcBorders>
              <w:bottom w:val="single" w:sz="8" w:color="auto"/>
              <w:right w:val="single" w:sz="8" w:color="auto"/>
            </w:tcBorders>
            <w:gridSpan w:val="2"/>
            <w:shd w:val="clear" w:color="auto" w:fill="F5F5F5"/>
          </w:tcPr>
          <w:p>
            <w:pPr>
              <w:jc w:val="right"/>
              <w:spacing w:after="0"/>
              <w:rPr>
                <w:sz w:val="20"/>
                <w:szCs w:val="20"/>
                <w:color w:val="auto"/>
              </w:rPr>
            </w:pPr>
            <w:r>
              <w:rPr>
                <w:rFonts w:ascii="Arial" w:cs="Arial" w:eastAsia="Arial" w:hAnsi="Arial"/>
                <w:sz w:val="18"/>
                <w:szCs w:val="18"/>
                <w:color w:val="auto"/>
              </w:rPr>
              <w:t>4/19/19</w:t>
            </w:r>
          </w:p>
        </w:tc>
        <w:tc>
          <w:tcPr>
            <w:tcW w:w="20" w:type="dxa"/>
            <w:vAlign w:val="bottom"/>
            <w:tcBorders>
              <w:bottom w:val="single" w:sz="8" w:color="auto"/>
            </w:tcBorders>
            <w:shd w:val="clear" w:color="auto" w:fill="000000"/>
          </w:tcPr>
          <w:p>
            <w:pPr>
              <w:spacing w:after="0"/>
              <w:rPr>
                <w:sz w:val="18"/>
                <w:szCs w:val="18"/>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tcPr>
          <w:p>
            <w:pPr>
              <w:ind w:left="820"/>
              <w:spacing w:after="0" w:line="195" w:lineRule="exact"/>
              <w:rPr>
                <w:sz w:val="20"/>
                <w:szCs w:val="20"/>
                <w:color w:val="auto"/>
              </w:rPr>
            </w:pPr>
            <w:r>
              <w:rPr>
                <w:rFonts w:ascii="Arial" w:cs="Arial" w:eastAsia="Arial" w:hAnsi="Arial"/>
                <w:sz w:val="18"/>
                <w:szCs w:val="18"/>
                <w:color w:val="auto"/>
              </w:rPr>
              <w:t>United States</w:t>
            </w: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w w:val="94"/>
              </w:rPr>
              <w:t>Phone: 650-752-1300</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820"/>
              <w:spacing w:after="0"/>
              <w:rPr>
                <w:sz w:val="20"/>
                <w:szCs w:val="20"/>
                <w:color w:val="auto"/>
              </w:rPr>
            </w:pPr>
            <w:r>
              <w:rPr>
                <w:rFonts w:ascii="Arial" w:cs="Arial" w:eastAsia="Arial" w:hAnsi="Arial"/>
                <w:sz w:val="18"/>
                <w:szCs w:val="18"/>
                <w:color w:val="auto"/>
              </w:rPr>
              <w:t>Fax: 650-752-1301</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80" w:type="dxa"/>
            <w:vAlign w:val="bottom"/>
            <w:gridSpan w:val="2"/>
          </w:tcPr>
          <w:p>
            <w:pPr>
              <w:ind w:left="820"/>
              <w:spacing w:after="0"/>
              <w:rPr>
                <w:sz w:val="20"/>
                <w:szCs w:val="20"/>
                <w:color w:val="auto"/>
              </w:rPr>
            </w:pPr>
            <w:r>
              <w:rPr>
                <w:rFonts w:ascii="Arial" w:cs="Arial" w:eastAsia="Arial" w:hAnsi="Arial"/>
                <w:sz w:val="18"/>
                <w:szCs w:val="18"/>
                <w:color w:val="auto"/>
              </w:rPr>
              <w:t>Send invoice to ap@personalis.com</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6394EC"/>
                <w:w w:val="96"/>
              </w:rPr>
              <w:t>Purchase Order</w:t>
            </w:r>
          </w:p>
        </w:tc>
      </w:tr>
      <w:tr>
        <w:trPr>
          <w:trHeight w:val="44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rPr>
              <w:t>Illumina, Inc.</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auto"/>
              </w:rPr>
              <w:t>Personalis, Inc.</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2"/>
          </w:tcPr>
          <w:p>
            <w:pPr>
              <w:ind w:left="720"/>
              <w:spacing w:after="0"/>
              <w:rPr>
                <w:sz w:val="20"/>
                <w:szCs w:val="20"/>
                <w:color w:val="auto"/>
              </w:rPr>
            </w:pPr>
            <w:r>
              <w:rPr>
                <w:rFonts w:ascii="Arial" w:cs="Arial" w:eastAsia="Arial" w:hAnsi="Arial"/>
                <w:sz w:val="18"/>
                <w:szCs w:val="18"/>
                <w:color w:val="auto"/>
              </w:rPr>
              <w:t>Attn: Accounts Receivable</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auto"/>
                <w:w w:val="93"/>
              </w:rPr>
              <w:t>1330 O’Brien Drive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2"/>
          </w:tcPr>
          <w:p>
            <w:pPr>
              <w:ind w:left="720"/>
              <w:spacing w:after="0"/>
              <w:rPr>
                <w:sz w:val="20"/>
                <w:szCs w:val="20"/>
                <w:color w:val="auto"/>
              </w:rPr>
            </w:pPr>
            <w:r>
              <w:rPr>
                <w:rFonts w:ascii="Arial" w:cs="Arial" w:eastAsia="Arial" w:hAnsi="Arial"/>
                <w:sz w:val="18"/>
                <w:szCs w:val="18"/>
                <w:color w:val="auto"/>
              </w:rPr>
              <w:t>12864 Collection Center Drive</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5"/>
          </w:tcPr>
          <w:p>
            <w:pPr>
              <w:ind w:left="160"/>
              <w:spacing w:after="0"/>
              <w:rPr>
                <w:sz w:val="20"/>
                <w:szCs w:val="20"/>
                <w:color w:val="auto"/>
              </w:rPr>
            </w:pPr>
            <w:r>
              <w:rPr>
                <w:rFonts w:ascii="Arial" w:cs="Arial" w:eastAsia="Arial" w:hAnsi="Arial"/>
                <w:sz w:val="18"/>
                <w:szCs w:val="18"/>
                <w:color w:val="auto"/>
                <w:w w:val="96"/>
              </w:rPr>
              <w:t>Menlo Park, CA 94025</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w w:val="90"/>
              </w:rPr>
              <w:t>Chicago, IL 60693-0128</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650-752-1300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rPr>
              <w:t>831-595-4438</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940" w:type="dxa"/>
            <w:vAlign w:val="bottom"/>
            <w:gridSpan w:val="2"/>
            <w:shd w:val="clear" w:color="auto" w:fill="F5F5F5"/>
          </w:tcPr>
          <w:p>
            <w:pPr>
              <w:ind w:left="100"/>
              <w:spacing w:after="0"/>
              <w:rPr>
                <w:sz w:val="20"/>
                <w:szCs w:val="20"/>
                <w:color w:val="auto"/>
              </w:rPr>
            </w:pPr>
            <w:r>
              <w:rPr>
                <w:rFonts w:ascii="Arial" w:cs="Arial" w:eastAsia="Arial" w:hAnsi="Arial"/>
                <w:sz w:val="18"/>
                <w:szCs w:val="18"/>
                <w:color w:val="auto"/>
              </w:rPr>
              <w:t>Contact</w:t>
            </w:r>
          </w:p>
        </w:tc>
        <w:tc>
          <w:tcPr>
            <w:tcW w:w="1700" w:type="dxa"/>
            <w:vAlign w:val="bottom"/>
            <w:tcBorders>
              <w:right w:val="single" w:sz="8" w:color="F5F5F5"/>
            </w:tcBorders>
            <w:shd w:val="clear" w:color="auto" w:fill="F5F5F5"/>
          </w:tcPr>
          <w:p>
            <w:pPr>
              <w:spacing w:after="0"/>
              <w:rPr>
                <w:sz w:val="18"/>
                <w:szCs w:val="18"/>
                <w:color w:val="auto"/>
              </w:rPr>
            </w:pPr>
          </w:p>
        </w:tc>
        <w:tc>
          <w:tcPr>
            <w:tcW w:w="500" w:type="dxa"/>
            <w:vAlign w:val="bottom"/>
            <w:tcBorders>
              <w:right w:val="single" w:sz="8" w:color="F5F5F5"/>
            </w:tcBorders>
            <w:shd w:val="clear" w:color="auto" w:fill="F5F5F5"/>
          </w:tcPr>
          <w:p>
            <w:pPr>
              <w:spacing w:after="0"/>
              <w:rPr>
                <w:sz w:val="18"/>
                <w:szCs w:val="18"/>
                <w:color w:val="auto"/>
              </w:rPr>
            </w:pPr>
          </w:p>
        </w:tc>
        <w:tc>
          <w:tcPr>
            <w:tcW w:w="680" w:type="dxa"/>
            <w:vAlign w:val="bottom"/>
            <w:tcBorders>
              <w:right w:val="single" w:sz="8" w:color="auto"/>
            </w:tcBorders>
            <w:shd w:val="clear" w:color="auto" w:fill="F5F5F5"/>
          </w:tcPr>
          <w:p>
            <w:pPr>
              <w:spacing w:after="0"/>
              <w:rPr>
                <w:sz w:val="18"/>
                <w:szCs w:val="18"/>
                <w:color w:val="auto"/>
              </w:rPr>
            </w:pPr>
          </w:p>
        </w:tc>
        <w:tc>
          <w:tcPr>
            <w:tcW w:w="920" w:type="dxa"/>
            <w:vAlign w:val="bottom"/>
            <w:gridSpan w:val="3"/>
            <w:shd w:val="clear" w:color="auto" w:fill="F5F5F5"/>
          </w:tcPr>
          <w:p>
            <w:pPr>
              <w:ind w:left="100"/>
              <w:spacing w:after="0"/>
              <w:rPr>
                <w:sz w:val="20"/>
                <w:szCs w:val="20"/>
                <w:color w:val="auto"/>
              </w:rPr>
            </w:pPr>
            <w:r>
              <w:rPr>
                <w:rFonts w:ascii="Arial" w:cs="Arial" w:eastAsia="Arial" w:hAnsi="Arial"/>
                <w:sz w:val="18"/>
                <w:szCs w:val="18"/>
                <w:color w:val="auto"/>
              </w:rPr>
              <w:t>Ship Via</w:t>
            </w:r>
          </w:p>
        </w:tc>
        <w:tc>
          <w:tcPr>
            <w:tcW w:w="300" w:type="dxa"/>
            <w:vAlign w:val="bottom"/>
            <w:tcBorders>
              <w:right w:val="single" w:sz="8" w:color="F5F5F5"/>
            </w:tcBorders>
            <w:shd w:val="clear" w:color="auto" w:fill="F5F5F5"/>
          </w:tcPr>
          <w:p>
            <w:pPr>
              <w:spacing w:after="0"/>
              <w:rPr>
                <w:sz w:val="18"/>
                <w:szCs w:val="18"/>
                <w:color w:val="auto"/>
              </w:rPr>
            </w:pPr>
          </w:p>
        </w:tc>
        <w:tc>
          <w:tcPr>
            <w:tcW w:w="720" w:type="dxa"/>
            <w:vAlign w:val="bottom"/>
            <w:tcBorders>
              <w:right w:val="single" w:sz="8" w:color="F5F5F5"/>
            </w:tcBorders>
            <w:shd w:val="clear" w:color="auto" w:fill="F5F5F5"/>
          </w:tcPr>
          <w:p>
            <w:pPr>
              <w:spacing w:after="0"/>
              <w:rPr>
                <w:sz w:val="18"/>
                <w:szCs w:val="18"/>
                <w:color w:val="auto"/>
              </w:rPr>
            </w:pPr>
          </w:p>
        </w:tc>
        <w:tc>
          <w:tcPr>
            <w:tcW w:w="50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340" w:type="dxa"/>
            <w:vAlign w:val="bottom"/>
            <w:tcBorders>
              <w:right w:val="single" w:sz="8" w:color="F5F5F5"/>
            </w:tcBorders>
            <w:shd w:val="clear" w:color="auto" w:fill="F5F5F5"/>
          </w:tcPr>
          <w:p>
            <w:pPr>
              <w:spacing w:after="0"/>
              <w:rPr>
                <w:sz w:val="18"/>
                <w:szCs w:val="18"/>
                <w:color w:val="auto"/>
              </w:rPr>
            </w:pPr>
          </w:p>
        </w:tc>
        <w:tc>
          <w:tcPr>
            <w:tcW w:w="88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240" w:type="dxa"/>
            <w:vAlign w:val="bottom"/>
            <w:tcBorders>
              <w:right w:val="single" w:sz="8" w:color="F5F5F5"/>
            </w:tcBorders>
            <w:shd w:val="clear" w:color="auto" w:fill="F5F5F5"/>
          </w:tcPr>
          <w:p>
            <w:pPr>
              <w:spacing w:after="0"/>
              <w:rPr>
                <w:sz w:val="18"/>
                <w:szCs w:val="18"/>
                <w:color w:val="auto"/>
              </w:rPr>
            </w:pPr>
          </w:p>
        </w:tc>
        <w:tc>
          <w:tcPr>
            <w:tcW w:w="1100" w:type="dxa"/>
            <w:vAlign w:val="bottom"/>
            <w:tcBorders>
              <w:right w:val="single" w:sz="8" w:color="auto"/>
            </w:tcBorders>
            <w:shd w:val="clear" w:color="auto" w:fill="F5F5F5"/>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60" w:type="dxa"/>
            <w:vAlign w:val="bottom"/>
            <w:tcBorders>
              <w:bottom w:val="single" w:sz="8" w:color="auto"/>
              <w:right w:val="single" w:sz="8" w:color="F5F5F5"/>
            </w:tcBorders>
            <w:shd w:val="clear" w:color="auto" w:fill="F5F5F5"/>
          </w:tcPr>
          <w:p>
            <w:pPr>
              <w:spacing w:after="0"/>
              <w:rPr>
                <w:sz w:val="18"/>
                <w:szCs w:val="18"/>
                <w:color w:val="auto"/>
              </w:rPr>
            </w:pPr>
          </w:p>
        </w:tc>
        <w:tc>
          <w:tcPr>
            <w:tcW w:w="2480" w:type="dxa"/>
            <w:vAlign w:val="bottom"/>
            <w:tcBorders>
              <w:bottom w:val="single" w:sz="8" w:color="auto"/>
            </w:tcBorders>
            <w:shd w:val="clear" w:color="auto" w:fill="F5F5F5"/>
          </w:tcPr>
          <w:p>
            <w:pPr>
              <w:spacing w:after="0"/>
              <w:rPr>
                <w:sz w:val="18"/>
                <w:szCs w:val="18"/>
                <w:color w:val="auto"/>
              </w:rPr>
            </w:pPr>
          </w:p>
        </w:tc>
        <w:tc>
          <w:tcPr>
            <w:tcW w:w="1700" w:type="dxa"/>
            <w:vAlign w:val="bottom"/>
            <w:tcBorders>
              <w:bottom w:val="single" w:sz="8" w:color="auto"/>
              <w:right w:val="single" w:sz="8" w:color="F5F5F5"/>
            </w:tcBorders>
            <w:shd w:val="clear" w:color="auto" w:fill="F5F5F5"/>
          </w:tcPr>
          <w:p>
            <w:pPr>
              <w:spacing w:after="0"/>
              <w:rPr>
                <w:sz w:val="18"/>
                <w:szCs w:val="18"/>
                <w:color w:val="auto"/>
              </w:rPr>
            </w:pP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680" w:type="dxa"/>
            <w:vAlign w:val="bottom"/>
            <w:tcBorders>
              <w:bottom w:val="single" w:sz="8" w:color="auto"/>
              <w:right w:val="single" w:sz="8" w:color="auto"/>
            </w:tcBorders>
            <w:shd w:val="clear" w:color="auto" w:fill="F5F5F5"/>
          </w:tcPr>
          <w:p>
            <w:pPr>
              <w:spacing w:after="0"/>
              <w:rPr>
                <w:sz w:val="18"/>
                <w:szCs w:val="18"/>
                <w:color w:val="auto"/>
              </w:rPr>
            </w:pPr>
          </w:p>
        </w:tc>
        <w:tc>
          <w:tcPr>
            <w:tcW w:w="300" w:type="dxa"/>
            <w:vAlign w:val="bottom"/>
            <w:tcBorders>
              <w:bottom w:val="single" w:sz="8" w:color="auto"/>
              <w:right w:val="single" w:sz="8" w:color="F5F5F5"/>
            </w:tcBorders>
            <w:shd w:val="clear" w:color="auto" w:fill="F5F5F5"/>
          </w:tcPr>
          <w:p>
            <w:pPr>
              <w:spacing w:after="0"/>
              <w:rPr>
                <w:sz w:val="18"/>
                <w:szCs w:val="18"/>
                <w:color w:val="auto"/>
              </w:rPr>
            </w:pPr>
          </w:p>
        </w:tc>
        <w:tc>
          <w:tcPr>
            <w:tcW w:w="620" w:type="dxa"/>
            <w:vAlign w:val="bottom"/>
            <w:tcBorders>
              <w:bottom w:val="single" w:sz="8" w:color="auto"/>
            </w:tcBorders>
            <w:gridSpan w:val="2"/>
            <w:shd w:val="clear" w:color="auto" w:fill="F5F5F5"/>
          </w:tcPr>
          <w:p>
            <w:pPr>
              <w:ind w:left="60"/>
              <w:spacing w:after="0"/>
              <w:rPr>
                <w:sz w:val="20"/>
                <w:szCs w:val="20"/>
                <w:color w:val="auto"/>
              </w:rPr>
            </w:pPr>
            <w:r>
              <w:rPr>
                <w:rFonts w:ascii="Arial" w:cs="Arial" w:eastAsia="Arial" w:hAnsi="Arial"/>
                <w:sz w:val="18"/>
                <w:szCs w:val="18"/>
                <w:color w:val="auto"/>
                <w:w w:val="89"/>
              </w:rPr>
              <w:t>Ground</w:t>
            </w:r>
          </w:p>
        </w:tc>
        <w:tc>
          <w:tcPr>
            <w:tcW w:w="300" w:type="dxa"/>
            <w:vAlign w:val="bottom"/>
            <w:tcBorders>
              <w:bottom w:val="single" w:sz="8" w:color="auto"/>
              <w:right w:val="single" w:sz="8" w:color="F5F5F5"/>
            </w:tcBorders>
            <w:shd w:val="clear" w:color="auto" w:fill="F5F5F5"/>
          </w:tcPr>
          <w:p>
            <w:pPr>
              <w:spacing w:after="0"/>
              <w:rPr>
                <w:sz w:val="18"/>
                <w:szCs w:val="18"/>
                <w:color w:val="auto"/>
              </w:rPr>
            </w:pPr>
          </w:p>
        </w:tc>
        <w:tc>
          <w:tcPr>
            <w:tcW w:w="720" w:type="dxa"/>
            <w:vAlign w:val="bottom"/>
            <w:tcBorders>
              <w:bottom w:val="single" w:sz="8" w:color="auto"/>
              <w:right w:val="single" w:sz="8" w:color="F5F5F5"/>
            </w:tcBorders>
            <w:shd w:val="clear" w:color="auto" w:fill="F5F5F5"/>
          </w:tcPr>
          <w:p>
            <w:pPr>
              <w:spacing w:after="0"/>
              <w:rPr>
                <w:sz w:val="18"/>
                <w:szCs w:val="18"/>
                <w:color w:val="auto"/>
              </w:rPr>
            </w:pP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340" w:type="dxa"/>
            <w:vAlign w:val="bottom"/>
            <w:tcBorders>
              <w:bottom w:val="single" w:sz="8" w:color="auto"/>
              <w:right w:val="single" w:sz="8" w:color="F5F5F5"/>
            </w:tcBorders>
            <w:shd w:val="clear" w:color="auto" w:fill="F5F5F5"/>
          </w:tcPr>
          <w:p>
            <w:pPr>
              <w:spacing w:after="0"/>
              <w:rPr>
                <w:sz w:val="18"/>
                <w:szCs w:val="18"/>
                <w:color w:val="auto"/>
              </w:rPr>
            </w:pPr>
          </w:p>
        </w:tc>
        <w:tc>
          <w:tcPr>
            <w:tcW w:w="88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240" w:type="dxa"/>
            <w:vAlign w:val="bottom"/>
            <w:tcBorders>
              <w:bottom w:val="single" w:sz="8" w:color="auto"/>
              <w:right w:val="single" w:sz="8" w:color="F5F5F5"/>
            </w:tcBorders>
            <w:shd w:val="clear" w:color="auto" w:fill="F5F5F5"/>
          </w:tcPr>
          <w:p>
            <w:pPr>
              <w:spacing w:after="0"/>
              <w:rPr>
                <w:sz w:val="18"/>
                <w:szCs w:val="18"/>
                <w:color w:val="auto"/>
              </w:rPr>
            </w:pPr>
          </w:p>
        </w:tc>
        <w:tc>
          <w:tcPr>
            <w:tcW w:w="1100" w:type="dxa"/>
            <w:vAlign w:val="bottom"/>
            <w:tcBorders>
              <w:bottom w:val="single" w:sz="8" w:color="auto"/>
              <w:right w:val="single" w:sz="8" w:color="auto"/>
            </w:tcBorders>
            <w:shd w:val="clear" w:color="auto" w:fill="F5F5F5"/>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940" w:type="dxa"/>
            <w:vAlign w:val="bottom"/>
            <w:gridSpan w:val="2"/>
            <w:shd w:val="clear" w:color="auto" w:fill="F5F5F5"/>
          </w:tcPr>
          <w:p>
            <w:pPr>
              <w:ind w:left="100"/>
              <w:spacing w:after="0"/>
              <w:rPr>
                <w:sz w:val="20"/>
                <w:szCs w:val="20"/>
                <w:color w:val="auto"/>
              </w:rPr>
            </w:pPr>
            <w:r>
              <w:rPr>
                <w:rFonts w:ascii="Arial" w:cs="Arial" w:eastAsia="Arial" w:hAnsi="Arial"/>
                <w:sz w:val="18"/>
                <w:szCs w:val="18"/>
                <w:color w:val="auto"/>
              </w:rPr>
              <w:t>Payment Terms</w:t>
            </w:r>
          </w:p>
        </w:tc>
        <w:tc>
          <w:tcPr>
            <w:tcW w:w="1700" w:type="dxa"/>
            <w:vAlign w:val="bottom"/>
            <w:tcBorders>
              <w:right w:val="single" w:sz="8" w:color="F5F5F5"/>
            </w:tcBorders>
            <w:shd w:val="clear" w:color="auto" w:fill="F5F5F5"/>
          </w:tcPr>
          <w:p>
            <w:pPr>
              <w:spacing w:after="0"/>
              <w:rPr>
                <w:sz w:val="18"/>
                <w:szCs w:val="18"/>
                <w:color w:val="auto"/>
              </w:rPr>
            </w:pPr>
          </w:p>
        </w:tc>
        <w:tc>
          <w:tcPr>
            <w:tcW w:w="500" w:type="dxa"/>
            <w:vAlign w:val="bottom"/>
            <w:tcBorders>
              <w:right w:val="single" w:sz="8" w:color="F5F5F5"/>
            </w:tcBorders>
            <w:shd w:val="clear" w:color="auto" w:fill="F5F5F5"/>
          </w:tcPr>
          <w:p>
            <w:pPr>
              <w:spacing w:after="0"/>
              <w:rPr>
                <w:sz w:val="18"/>
                <w:szCs w:val="18"/>
                <w:color w:val="auto"/>
              </w:rPr>
            </w:pPr>
          </w:p>
        </w:tc>
        <w:tc>
          <w:tcPr>
            <w:tcW w:w="680" w:type="dxa"/>
            <w:vAlign w:val="bottom"/>
            <w:tcBorders>
              <w:right w:val="single" w:sz="8" w:color="auto"/>
            </w:tcBorders>
            <w:shd w:val="clear" w:color="auto" w:fill="F5F5F5"/>
          </w:tcPr>
          <w:p>
            <w:pPr>
              <w:spacing w:after="0"/>
              <w:rPr>
                <w:sz w:val="18"/>
                <w:szCs w:val="18"/>
                <w:color w:val="auto"/>
              </w:rPr>
            </w:pPr>
          </w:p>
        </w:tc>
        <w:tc>
          <w:tcPr>
            <w:tcW w:w="920" w:type="dxa"/>
            <w:vAlign w:val="bottom"/>
            <w:gridSpan w:val="3"/>
            <w:shd w:val="clear" w:color="auto" w:fill="F5F5F5"/>
          </w:tcPr>
          <w:p>
            <w:pPr>
              <w:ind w:left="100"/>
              <w:spacing w:after="0"/>
              <w:rPr>
                <w:sz w:val="20"/>
                <w:szCs w:val="20"/>
                <w:color w:val="auto"/>
              </w:rPr>
            </w:pPr>
            <w:r>
              <w:rPr>
                <w:rFonts w:ascii="Arial" w:cs="Arial" w:eastAsia="Arial" w:hAnsi="Arial"/>
                <w:sz w:val="18"/>
                <w:szCs w:val="18"/>
                <w:color w:val="auto"/>
              </w:rPr>
              <w:t>Incoterms</w:t>
            </w:r>
          </w:p>
        </w:tc>
        <w:tc>
          <w:tcPr>
            <w:tcW w:w="300" w:type="dxa"/>
            <w:vAlign w:val="bottom"/>
            <w:tcBorders>
              <w:right w:val="single" w:sz="8" w:color="F5F5F5"/>
            </w:tcBorders>
            <w:shd w:val="clear" w:color="auto" w:fill="F5F5F5"/>
          </w:tcPr>
          <w:p>
            <w:pPr>
              <w:spacing w:after="0"/>
              <w:rPr>
                <w:sz w:val="18"/>
                <w:szCs w:val="18"/>
                <w:color w:val="auto"/>
              </w:rPr>
            </w:pPr>
          </w:p>
        </w:tc>
        <w:tc>
          <w:tcPr>
            <w:tcW w:w="720" w:type="dxa"/>
            <w:vAlign w:val="bottom"/>
            <w:tcBorders>
              <w:right w:val="single" w:sz="8" w:color="F5F5F5"/>
            </w:tcBorders>
            <w:shd w:val="clear" w:color="auto" w:fill="F5F5F5"/>
          </w:tcPr>
          <w:p>
            <w:pPr>
              <w:spacing w:after="0"/>
              <w:rPr>
                <w:sz w:val="18"/>
                <w:szCs w:val="18"/>
                <w:color w:val="auto"/>
              </w:rPr>
            </w:pPr>
          </w:p>
        </w:tc>
        <w:tc>
          <w:tcPr>
            <w:tcW w:w="50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340" w:type="dxa"/>
            <w:vAlign w:val="bottom"/>
            <w:tcBorders>
              <w:right w:val="single" w:sz="8" w:color="F5F5F5"/>
            </w:tcBorders>
            <w:shd w:val="clear" w:color="auto" w:fill="F5F5F5"/>
          </w:tcPr>
          <w:p>
            <w:pPr>
              <w:spacing w:after="0"/>
              <w:rPr>
                <w:sz w:val="18"/>
                <w:szCs w:val="18"/>
                <w:color w:val="auto"/>
              </w:rPr>
            </w:pPr>
          </w:p>
        </w:tc>
        <w:tc>
          <w:tcPr>
            <w:tcW w:w="880" w:type="dxa"/>
            <w:vAlign w:val="bottom"/>
            <w:tcBorders>
              <w:right w:val="single" w:sz="8" w:color="F5F5F5"/>
            </w:tcBorders>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240" w:type="dxa"/>
            <w:vAlign w:val="bottom"/>
            <w:tcBorders>
              <w:right w:val="single" w:sz="8" w:color="F5F5F5"/>
            </w:tcBorders>
            <w:shd w:val="clear" w:color="auto" w:fill="F5F5F5"/>
          </w:tcPr>
          <w:p>
            <w:pPr>
              <w:spacing w:after="0"/>
              <w:rPr>
                <w:sz w:val="18"/>
                <w:szCs w:val="18"/>
                <w:color w:val="auto"/>
              </w:rPr>
            </w:pPr>
          </w:p>
        </w:tc>
        <w:tc>
          <w:tcPr>
            <w:tcW w:w="1100" w:type="dxa"/>
            <w:vAlign w:val="bottom"/>
            <w:tcBorders>
              <w:right w:val="single" w:sz="8" w:color="auto"/>
            </w:tcBorders>
            <w:shd w:val="clear" w:color="auto" w:fill="F5F5F5"/>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60" w:type="dxa"/>
            <w:vAlign w:val="bottom"/>
            <w:tcBorders>
              <w:bottom w:val="single" w:sz="8" w:color="auto"/>
              <w:right w:val="single" w:sz="8" w:color="F5F5F5"/>
            </w:tcBorders>
            <w:shd w:val="clear" w:color="auto" w:fill="F5F5F5"/>
          </w:tcPr>
          <w:p>
            <w:pPr>
              <w:spacing w:after="0"/>
              <w:rPr>
                <w:sz w:val="18"/>
                <w:szCs w:val="18"/>
                <w:color w:val="auto"/>
              </w:rPr>
            </w:pPr>
          </w:p>
        </w:tc>
        <w:tc>
          <w:tcPr>
            <w:tcW w:w="2480" w:type="dxa"/>
            <w:vAlign w:val="bottom"/>
            <w:tcBorders>
              <w:bottom w:val="single" w:sz="8" w:color="auto"/>
            </w:tcBorders>
            <w:shd w:val="clear" w:color="auto" w:fill="F5F5F5"/>
          </w:tcPr>
          <w:p>
            <w:pPr>
              <w:spacing w:after="0"/>
              <w:rPr>
                <w:sz w:val="20"/>
                <w:szCs w:val="20"/>
                <w:color w:val="auto"/>
              </w:rPr>
            </w:pPr>
            <w:r>
              <w:rPr>
                <w:rFonts w:ascii="Arial" w:cs="Arial" w:eastAsia="Arial" w:hAnsi="Arial"/>
                <w:sz w:val="18"/>
                <w:szCs w:val="18"/>
                <w:color w:val="auto"/>
              </w:rPr>
              <w:t>Net 60 Days</w:t>
            </w:r>
          </w:p>
        </w:tc>
        <w:tc>
          <w:tcPr>
            <w:tcW w:w="1700" w:type="dxa"/>
            <w:vAlign w:val="bottom"/>
            <w:tcBorders>
              <w:bottom w:val="single" w:sz="8" w:color="auto"/>
              <w:right w:val="single" w:sz="8" w:color="F5F5F5"/>
            </w:tcBorders>
            <w:shd w:val="clear" w:color="auto" w:fill="F5F5F5"/>
          </w:tcPr>
          <w:p>
            <w:pPr>
              <w:spacing w:after="0"/>
              <w:rPr>
                <w:sz w:val="18"/>
                <w:szCs w:val="18"/>
                <w:color w:val="auto"/>
              </w:rPr>
            </w:pP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680" w:type="dxa"/>
            <w:vAlign w:val="bottom"/>
            <w:tcBorders>
              <w:bottom w:val="single" w:sz="8" w:color="auto"/>
              <w:right w:val="single" w:sz="8" w:color="auto"/>
            </w:tcBorders>
            <w:shd w:val="clear" w:color="auto" w:fill="F5F5F5"/>
          </w:tcPr>
          <w:p>
            <w:pPr>
              <w:spacing w:after="0"/>
              <w:rPr>
                <w:sz w:val="18"/>
                <w:szCs w:val="18"/>
                <w:color w:val="auto"/>
              </w:rPr>
            </w:pPr>
          </w:p>
        </w:tc>
        <w:tc>
          <w:tcPr>
            <w:tcW w:w="300" w:type="dxa"/>
            <w:vAlign w:val="bottom"/>
            <w:tcBorders>
              <w:bottom w:val="single" w:sz="8" w:color="auto"/>
              <w:right w:val="single" w:sz="8" w:color="F5F5F5"/>
            </w:tcBorders>
            <w:shd w:val="clear" w:color="auto" w:fill="F5F5F5"/>
          </w:tcPr>
          <w:p>
            <w:pPr>
              <w:spacing w:after="0"/>
              <w:rPr>
                <w:sz w:val="18"/>
                <w:szCs w:val="18"/>
                <w:color w:val="auto"/>
              </w:rPr>
            </w:pPr>
          </w:p>
        </w:tc>
        <w:tc>
          <w:tcPr>
            <w:tcW w:w="1640" w:type="dxa"/>
            <w:vAlign w:val="bottom"/>
            <w:tcBorders>
              <w:bottom w:val="single" w:sz="8" w:color="auto"/>
              <w:right w:val="single" w:sz="8" w:color="F5F5F5"/>
            </w:tcBorders>
            <w:gridSpan w:val="4"/>
            <w:shd w:val="clear" w:color="auto" w:fill="F5F5F5"/>
          </w:tcPr>
          <w:p>
            <w:pPr>
              <w:ind w:left="60"/>
              <w:spacing w:after="0"/>
              <w:rPr>
                <w:sz w:val="20"/>
                <w:szCs w:val="20"/>
                <w:color w:val="auto"/>
              </w:rPr>
            </w:pPr>
            <w:r>
              <w:rPr>
                <w:rFonts w:ascii="Arial" w:cs="Arial" w:eastAsia="Arial" w:hAnsi="Arial"/>
                <w:sz w:val="18"/>
                <w:szCs w:val="18"/>
                <w:color w:val="auto"/>
              </w:rPr>
              <w:t>FOB Origin</w:t>
            </w: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340" w:type="dxa"/>
            <w:vAlign w:val="bottom"/>
            <w:tcBorders>
              <w:bottom w:val="single" w:sz="8" w:color="auto"/>
              <w:right w:val="single" w:sz="8" w:color="F5F5F5"/>
            </w:tcBorders>
            <w:shd w:val="clear" w:color="auto" w:fill="F5F5F5"/>
          </w:tcPr>
          <w:p>
            <w:pPr>
              <w:spacing w:after="0"/>
              <w:rPr>
                <w:sz w:val="18"/>
                <w:szCs w:val="18"/>
                <w:color w:val="auto"/>
              </w:rPr>
            </w:pPr>
          </w:p>
        </w:tc>
        <w:tc>
          <w:tcPr>
            <w:tcW w:w="88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240" w:type="dxa"/>
            <w:vAlign w:val="bottom"/>
            <w:tcBorders>
              <w:bottom w:val="single" w:sz="8" w:color="auto"/>
              <w:right w:val="single" w:sz="8" w:color="F5F5F5"/>
            </w:tcBorders>
            <w:shd w:val="clear" w:color="auto" w:fill="F5F5F5"/>
          </w:tcPr>
          <w:p>
            <w:pPr>
              <w:spacing w:after="0"/>
              <w:rPr>
                <w:sz w:val="18"/>
                <w:szCs w:val="18"/>
                <w:color w:val="auto"/>
              </w:rPr>
            </w:pPr>
          </w:p>
        </w:tc>
        <w:tc>
          <w:tcPr>
            <w:tcW w:w="1100" w:type="dxa"/>
            <w:vAlign w:val="bottom"/>
            <w:tcBorders>
              <w:bottom w:val="single" w:sz="8" w:color="auto"/>
              <w:right w:val="single" w:sz="8" w:color="auto"/>
            </w:tcBorders>
            <w:shd w:val="clear" w:color="auto" w:fill="F5F5F5"/>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940" w:type="dxa"/>
            <w:vAlign w:val="bottom"/>
            <w:tcBorders>
              <w:bottom w:val="single" w:sz="8" w:color="auto"/>
            </w:tcBorders>
            <w:gridSpan w:val="2"/>
            <w:shd w:val="clear" w:color="auto" w:fill="F5F5F5"/>
          </w:tcPr>
          <w:p>
            <w:pPr>
              <w:ind w:left="100"/>
              <w:spacing w:after="0"/>
              <w:rPr>
                <w:sz w:val="20"/>
                <w:szCs w:val="20"/>
                <w:color w:val="auto"/>
              </w:rPr>
            </w:pPr>
            <w:r>
              <w:rPr>
                <w:rFonts w:ascii="Arial" w:cs="Arial" w:eastAsia="Arial" w:hAnsi="Arial"/>
                <w:sz w:val="18"/>
                <w:szCs w:val="18"/>
                <w:color w:val="auto"/>
              </w:rPr>
              <w:t>Remarks</w:t>
            </w:r>
          </w:p>
        </w:tc>
        <w:tc>
          <w:tcPr>
            <w:tcW w:w="1700" w:type="dxa"/>
            <w:vAlign w:val="bottom"/>
            <w:tcBorders>
              <w:bottom w:val="single" w:sz="8" w:color="auto"/>
              <w:right w:val="single" w:sz="8" w:color="F5F5F5"/>
            </w:tcBorders>
            <w:shd w:val="clear" w:color="auto" w:fill="F5F5F5"/>
          </w:tcPr>
          <w:p>
            <w:pPr>
              <w:spacing w:after="0"/>
              <w:rPr>
                <w:sz w:val="20"/>
                <w:szCs w:val="20"/>
                <w:color w:val="auto"/>
              </w:rPr>
            </w:pPr>
            <w:r>
              <w:rPr>
                <w:rFonts w:ascii="Arial" w:cs="Arial" w:eastAsia="Arial" w:hAnsi="Arial"/>
                <w:sz w:val="18"/>
                <w:szCs w:val="18"/>
                <w:color w:val="auto"/>
              </w:rPr>
              <w:t>Quote# [***]</w:t>
            </w: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680" w:type="dxa"/>
            <w:vAlign w:val="bottom"/>
            <w:tcBorders>
              <w:bottom w:val="single" w:sz="8" w:color="auto"/>
              <w:right w:val="single" w:sz="8" w:color="F5F5F5"/>
            </w:tcBorders>
            <w:shd w:val="clear" w:color="auto" w:fill="F5F5F5"/>
          </w:tcPr>
          <w:p>
            <w:pPr>
              <w:spacing w:after="0"/>
              <w:rPr>
                <w:sz w:val="18"/>
                <w:szCs w:val="18"/>
                <w:color w:val="auto"/>
              </w:rPr>
            </w:pPr>
          </w:p>
        </w:tc>
        <w:tc>
          <w:tcPr>
            <w:tcW w:w="300" w:type="dxa"/>
            <w:vAlign w:val="bottom"/>
            <w:tcBorders>
              <w:bottom w:val="single" w:sz="8" w:color="auto"/>
              <w:right w:val="single" w:sz="8" w:color="F5F5F5"/>
            </w:tcBorders>
            <w:shd w:val="clear" w:color="auto" w:fill="F5F5F5"/>
          </w:tcPr>
          <w:p>
            <w:pPr>
              <w:spacing w:after="0"/>
              <w:rPr>
                <w:sz w:val="18"/>
                <w:szCs w:val="18"/>
                <w:color w:val="auto"/>
              </w:rPr>
            </w:pPr>
          </w:p>
        </w:tc>
        <w:tc>
          <w:tcPr>
            <w:tcW w:w="54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300" w:type="dxa"/>
            <w:vAlign w:val="bottom"/>
            <w:tcBorders>
              <w:bottom w:val="single" w:sz="8" w:color="auto"/>
              <w:right w:val="single" w:sz="8" w:color="F5F5F5"/>
            </w:tcBorders>
            <w:shd w:val="clear" w:color="auto" w:fill="F5F5F5"/>
          </w:tcPr>
          <w:p>
            <w:pPr>
              <w:spacing w:after="0"/>
              <w:rPr>
                <w:sz w:val="18"/>
                <w:szCs w:val="18"/>
                <w:color w:val="auto"/>
              </w:rPr>
            </w:pPr>
          </w:p>
        </w:tc>
        <w:tc>
          <w:tcPr>
            <w:tcW w:w="720" w:type="dxa"/>
            <w:vAlign w:val="bottom"/>
            <w:tcBorders>
              <w:bottom w:val="single" w:sz="8" w:color="auto"/>
              <w:right w:val="single" w:sz="8" w:color="F5F5F5"/>
            </w:tcBorders>
            <w:shd w:val="clear" w:color="auto" w:fill="F5F5F5"/>
          </w:tcPr>
          <w:p>
            <w:pPr>
              <w:spacing w:after="0"/>
              <w:rPr>
                <w:sz w:val="18"/>
                <w:szCs w:val="18"/>
                <w:color w:val="auto"/>
              </w:rPr>
            </w:pPr>
          </w:p>
        </w:tc>
        <w:tc>
          <w:tcPr>
            <w:tcW w:w="50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340" w:type="dxa"/>
            <w:vAlign w:val="bottom"/>
            <w:tcBorders>
              <w:bottom w:val="single" w:sz="8" w:color="auto"/>
              <w:right w:val="single" w:sz="8" w:color="F5F5F5"/>
            </w:tcBorders>
            <w:shd w:val="clear" w:color="auto" w:fill="F5F5F5"/>
          </w:tcPr>
          <w:p>
            <w:pPr>
              <w:spacing w:after="0"/>
              <w:rPr>
                <w:sz w:val="18"/>
                <w:szCs w:val="18"/>
                <w:color w:val="auto"/>
              </w:rPr>
            </w:pPr>
          </w:p>
        </w:tc>
        <w:tc>
          <w:tcPr>
            <w:tcW w:w="880" w:type="dxa"/>
            <w:vAlign w:val="bottom"/>
            <w:tcBorders>
              <w:bottom w:val="single" w:sz="8" w:color="auto"/>
              <w:right w:val="single" w:sz="8" w:color="F5F5F5"/>
            </w:tcBorders>
            <w:shd w:val="clear" w:color="auto" w:fill="F5F5F5"/>
          </w:tcPr>
          <w:p>
            <w:pPr>
              <w:spacing w:after="0"/>
              <w:rPr>
                <w:sz w:val="18"/>
                <w:szCs w:val="18"/>
                <w:color w:val="auto"/>
              </w:rPr>
            </w:pPr>
          </w:p>
        </w:tc>
        <w:tc>
          <w:tcPr>
            <w:tcW w:w="80" w:type="dxa"/>
            <w:vAlign w:val="bottom"/>
            <w:tcBorders>
              <w:bottom w:val="single" w:sz="8" w:color="auto"/>
            </w:tcBorders>
            <w:shd w:val="clear" w:color="auto" w:fill="F5F5F5"/>
          </w:tcPr>
          <w:p>
            <w:pPr>
              <w:spacing w:after="0"/>
              <w:rPr>
                <w:sz w:val="18"/>
                <w:szCs w:val="18"/>
                <w:color w:val="auto"/>
              </w:rPr>
            </w:pPr>
          </w:p>
        </w:tc>
        <w:tc>
          <w:tcPr>
            <w:tcW w:w="240" w:type="dxa"/>
            <w:vAlign w:val="bottom"/>
            <w:tcBorders>
              <w:bottom w:val="single" w:sz="8" w:color="auto"/>
              <w:right w:val="single" w:sz="8" w:color="F5F5F5"/>
            </w:tcBorders>
            <w:shd w:val="clear" w:color="auto" w:fill="F5F5F5"/>
          </w:tcPr>
          <w:p>
            <w:pPr>
              <w:spacing w:after="0"/>
              <w:rPr>
                <w:sz w:val="18"/>
                <w:szCs w:val="18"/>
                <w:color w:val="auto"/>
              </w:rPr>
            </w:pPr>
          </w:p>
        </w:tc>
        <w:tc>
          <w:tcPr>
            <w:tcW w:w="1100" w:type="dxa"/>
            <w:vAlign w:val="bottom"/>
            <w:tcBorders>
              <w:bottom w:val="single" w:sz="8" w:color="auto"/>
              <w:right w:val="single" w:sz="8" w:color="auto"/>
            </w:tcBorders>
            <w:shd w:val="clear" w:color="auto" w:fill="F5F5F5"/>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397"/>
        </w:trPr>
        <w:tc>
          <w:tcPr>
            <w:tcW w:w="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SUBJECT TO EXHIBIT A ATTACHED</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Completed Form BOE-230-M REV 1(11-14) State of California BOE,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Partial Exemption Certificate for Mfg, R&amp;D Equipment is attached to PO</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shd w:val="clear" w:color="auto" w:fill="BED6EF"/>
          </w:tcPr>
          <w:p>
            <w:pPr>
              <w:ind w:left="100"/>
              <w:spacing w:after="0" w:line="142" w:lineRule="exact"/>
              <w:rPr>
                <w:sz w:val="20"/>
                <w:szCs w:val="20"/>
                <w:color w:val="auto"/>
              </w:rPr>
            </w:pPr>
            <w:r>
              <w:rPr>
                <w:rFonts w:ascii="Arial" w:cs="Arial" w:eastAsia="Arial" w:hAnsi="Arial"/>
                <w:sz w:val="14"/>
                <w:szCs w:val="14"/>
                <w:b w:val="1"/>
                <w:bCs w:val="1"/>
                <w:color w:val="auto"/>
              </w:rPr>
              <w:t>Line</w:t>
            </w:r>
          </w:p>
        </w:tc>
        <w:tc>
          <w:tcPr>
            <w:tcW w:w="4180" w:type="dxa"/>
            <w:vAlign w:val="bottom"/>
            <w:tcBorders>
              <w:bottom w:val="single" w:sz="8" w:color="auto"/>
              <w:right w:val="single" w:sz="8" w:color="auto"/>
            </w:tcBorders>
            <w:gridSpan w:val="2"/>
            <w:shd w:val="clear" w:color="auto" w:fill="BED6EF"/>
          </w:tcPr>
          <w:p>
            <w:pPr>
              <w:ind w:left="1700"/>
              <w:spacing w:after="0" w:line="142" w:lineRule="exact"/>
              <w:rPr>
                <w:sz w:val="20"/>
                <w:szCs w:val="20"/>
                <w:color w:val="auto"/>
              </w:rPr>
            </w:pPr>
            <w:r>
              <w:rPr>
                <w:rFonts w:ascii="Arial" w:cs="Arial" w:eastAsia="Arial" w:hAnsi="Arial"/>
                <w:sz w:val="14"/>
                <w:szCs w:val="14"/>
                <w:b w:val="1"/>
                <w:bCs w:val="1"/>
                <w:color w:val="auto"/>
              </w:rPr>
              <w:t>Item Number</w:t>
            </w:r>
          </w:p>
        </w:tc>
        <w:tc>
          <w:tcPr>
            <w:tcW w:w="500" w:type="dxa"/>
            <w:vAlign w:val="bottom"/>
            <w:tcBorders>
              <w:bottom w:val="single" w:sz="8" w:color="auto"/>
              <w:right w:val="single" w:sz="8" w:color="auto"/>
            </w:tcBorders>
            <w:shd w:val="clear" w:color="auto" w:fill="BED6EF"/>
          </w:tcPr>
          <w:p>
            <w:pPr>
              <w:ind w:left="80"/>
              <w:spacing w:after="0" w:line="142" w:lineRule="exact"/>
              <w:rPr>
                <w:sz w:val="20"/>
                <w:szCs w:val="20"/>
                <w:color w:val="auto"/>
              </w:rPr>
            </w:pPr>
            <w:r>
              <w:rPr>
                <w:rFonts w:ascii="Arial" w:cs="Arial" w:eastAsia="Arial" w:hAnsi="Arial"/>
                <w:sz w:val="14"/>
                <w:szCs w:val="14"/>
                <w:b w:val="1"/>
                <w:bCs w:val="1"/>
                <w:color w:val="auto"/>
              </w:rPr>
              <w:t>Rev</w:t>
            </w:r>
          </w:p>
        </w:tc>
        <w:tc>
          <w:tcPr>
            <w:tcW w:w="980" w:type="dxa"/>
            <w:vAlign w:val="bottom"/>
            <w:tcBorders>
              <w:bottom w:val="single" w:sz="8" w:color="auto"/>
              <w:right w:val="single" w:sz="8" w:color="auto"/>
            </w:tcBorders>
            <w:gridSpan w:val="2"/>
            <w:shd w:val="clear" w:color="auto" w:fill="BED6EF"/>
          </w:tcPr>
          <w:p>
            <w:pPr>
              <w:jc w:val="center"/>
              <w:spacing w:after="0" w:line="142" w:lineRule="exact"/>
              <w:rPr>
                <w:sz w:val="20"/>
                <w:szCs w:val="20"/>
                <w:color w:val="auto"/>
              </w:rPr>
            </w:pPr>
            <w:r>
              <w:rPr>
                <w:rFonts w:ascii="Arial" w:cs="Arial" w:eastAsia="Arial" w:hAnsi="Arial"/>
                <w:sz w:val="14"/>
                <w:szCs w:val="14"/>
                <w:b w:val="1"/>
                <w:bCs w:val="1"/>
                <w:color w:val="auto"/>
                <w:w w:val="92"/>
              </w:rPr>
              <w:t>Due Date</w:t>
            </w:r>
          </w:p>
        </w:tc>
        <w:tc>
          <w:tcPr>
            <w:tcW w:w="540" w:type="dxa"/>
            <w:vAlign w:val="bottom"/>
            <w:tcBorders>
              <w:bottom w:val="single" w:sz="8" w:color="auto"/>
              <w:right w:val="single" w:sz="8" w:color="auto"/>
            </w:tcBorders>
            <w:shd w:val="clear" w:color="auto" w:fill="BED6EF"/>
          </w:tcPr>
          <w:p>
            <w:pPr>
              <w:ind w:left="120"/>
              <w:spacing w:after="0" w:line="142" w:lineRule="exact"/>
              <w:rPr>
                <w:sz w:val="20"/>
                <w:szCs w:val="20"/>
                <w:color w:val="auto"/>
              </w:rPr>
            </w:pPr>
            <w:r>
              <w:rPr>
                <w:rFonts w:ascii="Arial" w:cs="Arial" w:eastAsia="Arial" w:hAnsi="Arial"/>
                <w:sz w:val="14"/>
                <w:szCs w:val="14"/>
                <w:b w:val="1"/>
                <w:bCs w:val="1"/>
                <w:color w:val="auto"/>
              </w:rPr>
              <w:t>Qty</w:t>
            </w:r>
          </w:p>
        </w:tc>
        <w:tc>
          <w:tcPr>
            <w:tcW w:w="80" w:type="dxa"/>
            <w:vAlign w:val="bottom"/>
            <w:tcBorders>
              <w:bottom w:val="single" w:sz="8" w:color="auto"/>
            </w:tcBorders>
            <w:shd w:val="clear" w:color="auto" w:fill="BED6EF"/>
          </w:tcPr>
          <w:p>
            <w:pPr>
              <w:spacing w:after="0"/>
              <w:rPr>
                <w:sz w:val="12"/>
                <w:szCs w:val="12"/>
                <w:color w:val="auto"/>
              </w:rPr>
            </w:pPr>
          </w:p>
        </w:tc>
        <w:tc>
          <w:tcPr>
            <w:tcW w:w="1020" w:type="dxa"/>
            <w:vAlign w:val="bottom"/>
            <w:tcBorders>
              <w:bottom w:val="single" w:sz="8" w:color="auto"/>
              <w:right w:val="single" w:sz="8" w:color="auto"/>
            </w:tcBorders>
            <w:gridSpan w:val="2"/>
            <w:shd w:val="clear" w:color="auto" w:fill="BED6EF"/>
          </w:tcPr>
          <w:p>
            <w:pPr>
              <w:ind w:left="200"/>
              <w:spacing w:after="0" w:line="142" w:lineRule="exact"/>
              <w:rPr>
                <w:sz w:val="20"/>
                <w:szCs w:val="20"/>
                <w:color w:val="auto"/>
              </w:rPr>
            </w:pPr>
            <w:r>
              <w:rPr>
                <w:rFonts w:ascii="Arial" w:cs="Arial" w:eastAsia="Arial" w:hAnsi="Arial"/>
                <w:sz w:val="14"/>
                <w:szCs w:val="14"/>
                <w:b w:val="1"/>
                <w:bCs w:val="1"/>
                <w:color w:val="auto"/>
              </w:rPr>
              <w:t>Qty Open</w:t>
            </w:r>
          </w:p>
        </w:tc>
        <w:tc>
          <w:tcPr>
            <w:tcW w:w="500" w:type="dxa"/>
            <w:vAlign w:val="bottom"/>
            <w:tcBorders>
              <w:bottom w:val="single" w:sz="8" w:color="auto"/>
              <w:right w:val="single" w:sz="8" w:color="auto"/>
            </w:tcBorders>
            <w:shd w:val="clear" w:color="auto" w:fill="BED6EF"/>
          </w:tcPr>
          <w:p>
            <w:pPr>
              <w:ind w:left="80"/>
              <w:spacing w:after="0" w:line="142" w:lineRule="exact"/>
              <w:rPr>
                <w:sz w:val="20"/>
                <w:szCs w:val="20"/>
                <w:color w:val="auto"/>
              </w:rPr>
            </w:pPr>
            <w:r>
              <w:rPr>
                <w:rFonts w:ascii="Arial" w:cs="Arial" w:eastAsia="Arial" w:hAnsi="Arial"/>
                <w:sz w:val="14"/>
                <w:szCs w:val="14"/>
                <w:b w:val="1"/>
                <w:bCs w:val="1"/>
                <w:color w:val="auto"/>
              </w:rPr>
              <w:t>UM</w:t>
            </w:r>
          </w:p>
        </w:tc>
        <w:tc>
          <w:tcPr>
            <w:tcW w:w="80" w:type="dxa"/>
            <w:vAlign w:val="bottom"/>
            <w:tcBorders>
              <w:bottom w:val="single" w:sz="8" w:color="auto"/>
            </w:tcBorders>
            <w:shd w:val="clear" w:color="auto" w:fill="BED6EF"/>
          </w:tcPr>
          <w:p>
            <w:pPr>
              <w:spacing w:after="0"/>
              <w:rPr>
                <w:sz w:val="12"/>
                <w:szCs w:val="12"/>
                <w:color w:val="auto"/>
              </w:rPr>
            </w:pPr>
          </w:p>
        </w:tc>
        <w:tc>
          <w:tcPr>
            <w:tcW w:w="340" w:type="dxa"/>
            <w:vAlign w:val="bottom"/>
            <w:tcBorders>
              <w:bottom w:val="single" w:sz="8" w:color="auto"/>
              <w:right w:val="single" w:sz="8" w:color="auto"/>
            </w:tcBorders>
            <w:shd w:val="clear" w:color="auto" w:fill="BED6EF"/>
          </w:tcPr>
          <w:p>
            <w:pPr>
              <w:jc w:val="right"/>
              <w:ind w:right="115"/>
              <w:spacing w:after="0" w:line="142" w:lineRule="exact"/>
              <w:rPr>
                <w:sz w:val="20"/>
                <w:szCs w:val="20"/>
                <w:color w:val="auto"/>
              </w:rPr>
            </w:pPr>
            <w:r>
              <w:rPr>
                <w:rFonts w:ascii="Arial" w:cs="Arial" w:eastAsia="Arial" w:hAnsi="Arial"/>
                <w:sz w:val="14"/>
                <w:szCs w:val="14"/>
                <w:b w:val="1"/>
                <w:bCs w:val="1"/>
                <w:color w:val="auto"/>
              </w:rPr>
              <w:t>T</w:t>
            </w:r>
          </w:p>
        </w:tc>
        <w:tc>
          <w:tcPr>
            <w:tcW w:w="960" w:type="dxa"/>
            <w:vAlign w:val="bottom"/>
            <w:tcBorders>
              <w:bottom w:val="single" w:sz="8" w:color="auto"/>
            </w:tcBorders>
            <w:gridSpan w:val="2"/>
            <w:shd w:val="clear" w:color="auto" w:fill="BED6EF"/>
          </w:tcPr>
          <w:p>
            <w:pPr>
              <w:ind w:left="340"/>
              <w:spacing w:after="0" w:line="142" w:lineRule="exact"/>
              <w:rPr>
                <w:sz w:val="20"/>
                <w:szCs w:val="20"/>
                <w:color w:val="auto"/>
              </w:rPr>
            </w:pPr>
            <w:r>
              <w:rPr>
                <w:rFonts w:ascii="Arial" w:cs="Arial" w:eastAsia="Arial" w:hAnsi="Arial"/>
                <w:sz w:val="14"/>
                <w:szCs w:val="14"/>
                <w:b w:val="1"/>
                <w:bCs w:val="1"/>
                <w:color w:val="auto"/>
                <w:w w:val="96"/>
              </w:rPr>
              <w:t>Unit Cost</w:t>
            </w:r>
          </w:p>
        </w:tc>
        <w:tc>
          <w:tcPr>
            <w:tcW w:w="240" w:type="dxa"/>
            <w:vAlign w:val="bottom"/>
            <w:tcBorders>
              <w:bottom w:val="single" w:sz="8" w:color="auto"/>
              <w:right w:val="single" w:sz="8" w:color="auto"/>
            </w:tcBorders>
            <w:shd w:val="clear" w:color="auto" w:fill="BED6EF"/>
          </w:tcPr>
          <w:p>
            <w:pPr>
              <w:spacing w:after="0"/>
              <w:rPr>
                <w:sz w:val="12"/>
                <w:szCs w:val="12"/>
                <w:color w:val="auto"/>
              </w:rPr>
            </w:pPr>
          </w:p>
        </w:tc>
        <w:tc>
          <w:tcPr>
            <w:tcW w:w="1100" w:type="dxa"/>
            <w:vAlign w:val="bottom"/>
            <w:tcBorders>
              <w:bottom w:val="single" w:sz="8" w:color="auto"/>
              <w:right w:val="single" w:sz="8" w:color="auto"/>
            </w:tcBorders>
            <w:shd w:val="clear" w:color="auto" w:fill="BED6EF"/>
          </w:tcPr>
          <w:p>
            <w:pPr>
              <w:jc w:val="center"/>
              <w:spacing w:after="0" w:line="142" w:lineRule="exact"/>
              <w:rPr>
                <w:sz w:val="20"/>
                <w:szCs w:val="20"/>
                <w:color w:val="auto"/>
              </w:rPr>
            </w:pPr>
            <w:r>
              <w:rPr>
                <w:rFonts w:ascii="Arial" w:cs="Arial" w:eastAsia="Arial" w:hAnsi="Arial"/>
                <w:sz w:val="14"/>
                <w:szCs w:val="14"/>
                <w:b w:val="1"/>
                <w:bCs w:val="1"/>
                <w:color w:val="auto"/>
                <w:w w:val="91"/>
              </w:rPr>
              <w:t>Extended Cost</w:t>
            </w:r>
          </w:p>
        </w:tc>
        <w:tc>
          <w:tcPr>
            <w:tcW w:w="20" w:type="dxa"/>
            <w:vAlign w:val="bottom"/>
          </w:tcPr>
          <w:p>
            <w:pPr>
              <w:spacing w:after="0"/>
              <w:rPr>
                <w:sz w:val="12"/>
                <w:szCs w:val="12"/>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2480" w:type="dxa"/>
            <w:vAlign w:val="bottom"/>
          </w:tcPr>
          <w:p>
            <w:pPr>
              <w:ind w:left="80"/>
              <w:spacing w:after="0" w:line="195" w:lineRule="exact"/>
              <w:rPr>
                <w:sz w:val="20"/>
                <w:szCs w:val="20"/>
                <w:color w:val="auto"/>
              </w:rPr>
            </w:pPr>
            <w:r>
              <w:rPr>
                <w:rFonts w:ascii="Arial" w:cs="Arial" w:eastAsia="Arial" w:hAnsi="Arial"/>
                <w:sz w:val="18"/>
                <w:szCs w:val="18"/>
                <w:color w:val="auto"/>
              </w:rPr>
              <w:t>NovaSeq 6000</w:t>
            </w: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ind w:left="100"/>
              <w:spacing w:after="0" w:line="195"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6"/>
                <w:szCs w:val="16"/>
                <w:color w:val="auto"/>
              </w:rPr>
            </w:pPr>
          </w:p>
        </w:tc>
        <w:tc>
          <w:tcPr>
            <w:tcW w:w="1020" w:type="dxa"/>
            <w:vAlign w:val="bottom"/>
            <w:gridSpan w:val="2"/>
          </w:tcPr>
          <w:p>
            <w:pPr>
              <w:ind w:left="300"/>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15"/>
              <w:spacing w:after="0" w:line="195" w:lineRule="exact"/>
              <w:rPr>
                <w:sz w:val="20"/>
                <w:szCs w:val="20"/>
                <w:color w:val="auto"/>
              </w:rPr>
            </w:pPr>
            <w:r>
              <w:rPr>
                <w:rFonts w:ascii="Arial" w:cs="Arial" w:eastAsia="Arial" w:hAnsi="Arial"/>
                <w:sz w:val="18"/>
                <w:szCs w:val="18"/>
                <w:color w:val="auto"/>
                <w:w w:val="99"/>
              </w:rPr>
              <w:t>Y</w:t>
            </w:r>
          </w:p>
        </w:tc>
        <w:tc>
          <w:tcPr>
            <w:tcW w:w="880" w:type="dxa"/>
            <w:vAlign w:val="bottom"/>
          </w:tcPr>
          <w:p>
            <w:pPr>
              <w:ind w:left="44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340" w:type="dxa"/>
            <w:vAlign w:val="bottom"/>
            <w:gridSpan w:val="2"/>
          </w:tcPr>
          <w:p>
            <w:pPr>
              <w:jc w:val="center"/>
              <w:ind w:left="23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260"/>
              <w:spacing w:after="0"/>
              <w:rPr>
                <w:sz w:val="20"/>
                <w:szCs w:val="20"/>
                <w:color w:val="auto"/>
              </w:rPr>
            </w:pPr>
            <w:r>
              <w:rPr>
                <w:rFonts w:ascii="Arial" w:cs="Arial" w:eastAsia="Arial" w:hAnsi="Arial"/>
                <w:sz w:val="18"/>
                <w:szCs w:val="18"/>
                <w:color w:val="auto"/>
              </w:rPr>
              <w:t>Sequencing Systems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Supplier Item: 20012850</w:t>
            </w:r>
          </w:p>
        </w:tc>
        <w:tc>
          <w:tcPr>
            <w:tcW w:w="1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2</w:t>
            </w:r>
          </w:p>
        </w:tc>
        <w:tc>
          <w:tcPr>
            <w:tcW w:w="2480" w:type="dxa"/>
            <w:vAlign w:val="bottom"/>
          </w:tcPr>
          <w:p>
            <w:pPr>
              <w:ind w:left="80"/>
              <w:spacing w:after="0" w:line="195" w:lineRule="exact"/>
              <w:rPr>
                <w:sz w:val="20"/>
                <w:szCs w:val="20"/>
                <w:color w:val="auto"/>
              </w:rPr>
            </w:pPr>
            <w:r>
              <w:rPr>
                <w:rFonts w:ascii="Arial" w:cs="Arial" w:eastAsia="Arial" w:hAnsi="Arial"/>
                <w:sz w:val="18"/>
                <w:szCs w:val="18"/>
                <w:color w:val="auto"/>
              </w:rPr>
              <w:t>NovaSeq 6000</w:t>
            </w: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ind w:left="100"/>
              <w:spacing w:after="0" w:line="195"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6"/>
                <w:szCs w:val="16"/>
                <w:color w:val="auto"/>
              </w:rPr>
            </w:pPr>
          </w:p>
        </w:tc>
        <w:tc>
          <w:tcPr>
            <w:tcW w:w="1020" w:type="dxa"/>
            <w:vAlign w:val="bottom"/>
            <w:gridSpan w:val="2"/>
          </w:tcPr>
          <w:p>
            <w:pPr>
              <w:ind w:left="300"/>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15"/>
              <w:spacing w:after="0" w:line="195" w:lineRule="exact"/>
              <w:rPr>
                <w:sz w:val="20"/>
                <w:szCs w:val="20"/>
                <w:color w:val="auto"/>
              </w:rPr>
            </w:pPr>
            <w:r>
              <w:rPr>
                <w:rFonts w:ascii="Arial" w:cs="Arial" w:eastAsia="Arial" w:hAnsi="Arial"/>
                <w:sz w:val="18"/>
                <w:szCs w:val="18"/>
                <w:color w:val="auto"/>
                <w:w w:val="99"/>
              </w:rPr>
              <w:t>Y</w:t>
            </w:r>
          </w:p>
        </w:tc>
        <w:tc>
          <w:tcPr>
            <w:tcW w:w="880" w:type="dxa"/>
            <w:vAlign w:val="bottom"/>
          </w:tcPr>
          <w:p>
            <w:pPr>
              <w:ind w:left="44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340" w:type="dxa"/>
            <w:vAlign w:val="bottom"/>
            <w:gridSpan w:val="2"/>
          </w:tcPr>
          <w:p>
            <w:pPr>
              <w:jc w:val="center"/>
              <w:ind w:left="23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260"/>
              <w:spacing w:after="0"/>
              <w:rPr>
                <w:sz w:val="20"/>
                <w:szCs w:val="20"/>
                <w:color w:val="auto"/>
              </w:rPr>
            </w:pPr>
            <w:r>
              <w:rPr>
                <w:rFonts w:ascii="Arial" w:cs="Arial" w:eastAsia="Arial" w:hAnsi="Arial"/>
                <w:sz w:val="18"/>
                <w:szCs w:val="18"/>
                <w:color w:val="auto"/>
              </w:rPr>
              <w:t>Sequencing Systems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Supplier Item: 20012850</w:t>
            </w:r>
          </w:p>
        </w:tc>
        <w:tc>
          <w:tcPr>
            <w:tcW w:w="1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3</w:t>
            </w:r>
          </w:p>
        </w:tc>
        <w:tc>
          <w:tcPr>
            <w:tcW w:w="2480" w:type="dxa"/>
            <w:vAlign w:val="bottom"/>
          </w:tcPr>
          <w:p>
            <w:pPr>
              <w:ind w:left="80"/>
              <w:spacing w:after="0" w:line="195" w:lineRule="exact"/>
              <w:rPr>
                <w:sz w:val="20"/>
                <w:szCs w:val="20"/>
                <w:color w:val="auto"/>
              </w:rPr>
            </w:pPr>
            <w:r>
              <w:rPr>
                <w:rFonts w:ascii="Arial" w:cs="Arial" w:eastAsia="Arial" w:hAnsi="Arial"/>
                <w:sz w:val="18"/>
                <w:szCs w:val="18"/>
                <w:color w:val="auto"/>
              </w:rPr>
              <w:t>NovaSeq 6000</w:t>
            </w: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ind w:left="100"/>
              <w:spacing w:after="0" w:line="195"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6"/>
                <w:szCs w:val="16"/>
                <w:color w:val="auto"/>
              </w:rPr>
            </w:pPr>
          </w:p>
        </w:tc>
        <w:tc>
          <w:tcPr>
            <w:tcW w:w="1020" w:type="dxa"/>
            <w:vAlign w:val="bottom"/>
            <w:gridSpan w:val="2"/>
          </w:tcPr>
          <w:p>
            <w:pPr>
              <w:ind w:left="300"/>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15"/>
              <w:spacing w:after="0" w:line="195" w:lineRule="exact"/>
              <w:rPr>
                <w:sz w:val="20"/>
                <w:szCs w:val="20"/>
                <w:color w:val="auto"/>
              </w:rPr>
            </w:pPr>
            <w:r>
              <w:rPr>
                <w:rFonts w:ascii="Arial" w:cs="Arial" w:eastAsia="Arial" w:hAnsi="Arial"/>
                <w:sz w:val="18"/>
                <w:szCs w:val="18"/>
                <w:color w:val="auto"/>
                <w:w w:val="99"/>
              </w:rPr>
              <w:t>Y</w:t>
            </w:r>
          </w:p>
        </w:tc>
        <w:tc>
          <w:tcPr>
            <w:tcW w:w="880" w:type="dxa"/>
            <w:vAlign w:val="bottom"/>
          </w:tcPr>
          <w:p>
            <w:pPr>
              <w:ind w:left="44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340" w:type="dxa"/>
            <w:vAlign w:val="bottom"/>
            <w:gridSpan w:val="2"/>
          </w:tcPr>
          <w:p>
            <w:pPr>
              <w:jc w:val="center"/>
              <w:ind w:left="23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ind w:left="260"/>
              <w:spacing w:after="0"/>
              <w:rPr>
                <w:sz w:val="20"/>
                <w:szCs w:val="20"/>
                <w:color w:val="auto"/>
              </w:rPr>
            </w:pPr>
            <w:r>
              <w:rPr>
                <w:rFonts w:ascii="Arial" w:cs="Arial" w:eastAsia="Arial" w:hAnsi="Arial"/>
                <w:sz w:val="18"/>
                <w:szCs w:val="18"/>
                <w:color w:val="auto"/>
              </w:rPr>
              <w:t>Sequencing Systems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Supplier Item: 20012850</w:t>
            </w:r>
          </w:p>
        </w:tc>
        <w:tc>
          <w:tcPr>
            <w:tcW w:w="1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line="195" w:lineRule="exact"/>
              <w:rPr>
                <w:sz w:val="20"/>
                <w:szCs w:val="20"/>
                <w:color w:val="auto"/>
              </w:rPr>
            </w:pPr>
            <w:r>
              <w:rPr>
                <w:rFonts w:ascii="Arial" w:cs="Arial" w:eastAsia="Arial" w:hAnsi="Arial"/>
                <w:sz w:val="18"/>
                <w:szCs w:val="18"/>
                <w:color w:val="auto"/>
              </w:rPr>
              <w:t>USD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Line Total</w:t>
            </w:r>
          </w:p>
        </w:tc>
        <w:tc>
          <w:tcPr>
            <w:tcW w:w="1340" w:type="dxa"/>
            <w:vAlign w:val="bottom"/>
            <w:tcBorders>
              <w:right w:val="single" w:sz="8" w:color="auto"/>
            </w:tcBorders>
            <w:gridSpan w:val="2"/>
          </w:tcPr>
          <w:p>
            <w:pPr>
              <w:jc w:val="right"/>
              <w:ind w:right="539"/>
              <w:spacing w:after="0" w:line="195"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6"/>
                <w:szCs w:val="16"/>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 Tax</w:t>
            </w:r>
          </w:p>
        </w:tc>
        <w:tc>
          <w:tcPr>
            <w:tcW w:w="1340" w:type="dxa"/>
            <w:vAlign w:val="bottom"/>
            <w:tcBorders>
              <w:bottom w:val="single" w:sz="8" w:color="auto"/>
              <w:right w:val="single" w:sz="8" w:color="auto"/>
            </w:tcBorders>
            <w:gridSpan w:val="2"/>
          </w:tcPr>
          <w:p>
            <w:pPr>
              <w:jc w:val="right"/>
              <w:ind w:right="539"/>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Total Amount   [***]</w:t>
            </w:r>
          </w:p>
        </w:tc>
        <w:tc>
          <w:tcPr>
            <w:tcW w:w="20" w:type="dxa"/>
            <w:vAlign w:val="bottom"/>
            <w:shd w:val="clear" w:color="auto" w:fill="000000"/>
          </w:tcPr>
          <w:p>
            <w:pPr>
              <w:spacing w:after="0"/>
              <w:rPr>
                <w:sz w:val="19"/>
                <w:szCs w:val="19"/>
                <w:color w:val="auto"/>
              </w:rPr>
            </w:pPr>
          </w:p>
        </w:tc>
      </w:tr>
      <w:tr>
        <w:trPr>
          <w:trHeight w:val="201"/>
        </w:trPr>
        <w:tc>
          <w:tcPr>
            <w:tcW w:w="40" w:type="dxa"/>
            <w:vAlign w:val="bottom"/>
            <w:tcBorders>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452"/>
        </w:trPr>
        <w:tc>
          <w:tcPr>
            <w:tcW w:w="2980" w:type="dxa"/>
            <w:vAlign w:val="bottom"/>
            <w:gridSpan w:val="3"/>
          </w:tcPr>
          <w:p>
            <w:pPr>
              <w:spacing w:after="0"/>
              <w:rPr>
                <w:sz w:val="20"/>
                <w:szCs w:val="20"/>
                <w:color w:val="auto"/>
              </w:rPr>
            </w:pPr>
            <w:r>
              <w:rPr>
                <w:rFonts w:ascii="Arial" w:cs="Arial" w:eastAsia="Arial" w:hAnsi="Arial"/>
                <w:sz w:val="18"/>
                <w:szCs w:val="18"/>
                <w:color w:val="auto"/>
              </w:rPr>
              <w:t>4/19/19</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2:54:18 PM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-6192520</wp:posOffset>
            </wp:positionV>
            <wp:extent cx="719455" cy="24003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9455" cy="24003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-4641850</wp:posOffset>
            </wp:positionV>
            <wp:extent cx="137160" cy="56515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7160" cy="56515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-4641850</wp:posOffset>
            </wp:positionV>
            <wp:extent cx="137160" cy="513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7160" cy="513715"/>
                    </a:xfrm>
                    <a:prstGeom prst="rect">
                      <a:avLst/>
                    </a:prstGeom>
                    <a:noFill/>
                  </pic:spPr>
                </pic:pic>
              </a:graphicData>
            </a:graphic>
          </wp:anchor>
        </w:drawing>
      </w:r>
    </w:p>
    <w:p>
      <w:pPr>
        <w:sectPr>
          <w:pgSz w:w="11900" w:h="16838" w:orient="portrait"/>
          <w:cols w:equalWidth="0" w:num="1">
            <w:col w:w="11030"/>
          </w:cols>
          <w:pgMar w:left="450" w:top="122" w:right="419" w:bottom="1440" w:gutter="0" w:footer="0" w:header="0"/>
        </w:sectPr>
      </w:pPr>
    </w:p>
    <w:bookmarkStart w:id="621" w:name="page622"/>
    <w:bookmarkEnd w:id="621"/>
    <w:p>
      <w:pPr>
        <w:ind w:left="10" w:right="100" w:hanging="10"/>
        <w:spacing w:after="0" w:line="281" w:lineRule="auto"/>
        <w:tabs>
          <w:tab w:leader="none" w:pos="444"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not material and would be competively harmful if publicly disclosed.</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PRICING AGREEMENT</w:t>
      </w:r>
    </w:p>
    <w:p>
      <w:pPr>
        <w:spacing w:after="0" w:line="229" w:lineRule="exact"/>
        <w:rPr>
          <w:sz w:val="20"/>
          <w:szCs w:val="20"/>
          <w:color w:val="auto"/>
        </w:rPr>
      </w:pPr>
    </w:p>
    <w:p>
      <w:pPr>
        <w:ind w:left="10" w:right="360"/>
        <w:spacing w:after="0" w:line="279" w:lineRule="auto"/>
        <w:rPr>
          <w:sz w:val="20"/>
          <w:szCs w:val="20"/>
          <w:color w:val="auto"/>
        </w:rPr>
      </w:pPr>
      <w:r>
        <w:rPr>
          <w:rFonts w:ascii="Arial" w:cs="Arial" w:eastAsia="Arial" w:hAnsi="Arial"/>
          <w:sz w:val="17"/>
          <w:szCs w:val="17"/>
          <w:color w:val="auto"/>
        </w:rPr>
        <w:t>This Pricing Agreement (“Agreement”) replaces Pricing Agreement dated November 22, 2017 in its entirety and is entered into as of the date of last signature (“Effective Date”)by and between Personalis, Inc. (hereinafter “Personalis”), a California corporation, having a place of business at 1330 O’Brien Dr., Menlo Park CA 94025-1436, and Illumina, Inc., a Delaware corporation, having a place of business at 5200 Illumina Way, San Diego, CA 92122 (hereinafter “Seller”) referred to individually as “Party” and collectively as “Parties.”</w:t>
      </w:r>
    </w:p>
    <w:p>
      <w:pPr>
        <w:spacing w:after="0" w:line="166" w:lineRule="exact"/>
        <w:rPr>
          <w:sz w:val="20"/>
          <w:szCs w:val="20"/>
          <w:color w:val="auto"/>
        </w:rPr>
      </w:pPr>
    </w:p>
    <w:p>
      <w:pPr>
        <w:ind w:left="10" w:right="480"/>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Personalis has requested from Seller certain product pricing, with such pricing to become effective if and when the products become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and</w:t>
      </w:r>
    </w:p>
    <w:p>
      <w:pPr>
        <w:spacing w:after="0" w:line="163" w:lineRule="exact"/>
        <w:rPr>
          <w:sz w:val="20"/>
          <w:szCs w:val="20"/>
          <w:color w:val="auto"/>
        </w:rPr>
      </w:pPr>
    </w:p>
    <w:p>
      <w:pPr>
        <w:ind w:left="10" w:right="900"/>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has provided such product pricing to Personalis, with such pricing to become effective if and when the products become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w:t>
      </w:r>
    </w:p>
    <w:p>
      <w:pPr>
        <w:spacing w:after="0" w:line="163"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the Parties herby agree to the terms and conditions of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311" w:lineRule="exact"/>
        <w:rPr>
          <w:sz w:val="20"/>
          <w:szCs w:val="20"/>
          <w:color w:val="auto"/>
        </w:rPr>
      </w:pPr>
    </w:p>
    <w:p>
      <w:pPr>
        <w:ind w:left="870" w:hanging="438"/>
        <w:spacing w:after="0"/>
        <w:tabs>
          <w:tab w:leader="none" w:pos="870"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Products and Pricing</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Products shall be made available to Personalis for purchase pursuant to the pricing listed in Table 1.0.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“Product” or “Kit” means NovaSeq</w:t>
      </w:r>
      <w:r>
        <w:rPr>
          <w:rFonts w:ascii="Arial" w:cs="Arial" w:eastAsia="Arial" w:hAnsi="Arial"/>
          <w:sz w:val="15"/>
          <w:szCs w:val="15"/>
          <w:color w:val="auto"/>
        </w:rPr>
        <w:t>™</w:t>
      </w:r>
      <w:r>
        <w:rPr>
          <w:rFonts w:ascii="Arial" w:cs="Arial" w:eastAsia="Arial" w:hAnsi="Arial"/>
          <w:sz w:val="18"/>
          <w:szCs w:val="18"/>
          <w:color w:val="auto"/>
        </w:rPr>
        <w:t xml:space="preserve"> 5000/6000 S4 Reagent Kit.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“‘Specified Time Period’ means the applicable stated time period per Table 1.0.”</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Table 1.0</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S4 Kit Pricing per Specified Time Period:</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10/11/17 -</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5"/>
              </w:rPr>
              <w:t>07/01/19 -</w:t>
            </w: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01/01/21-</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5"/>
              </w:rPr>
              <w:t>01/01/22 -</w:t>
            </w:r>
          </w:p>
        </w:tc>
      </w:tr>
      <w:tr>
        <w:trPr>
          <w:trHeight w:val="181"/>
        </w:trPr>
        <w:tc>
          <w:tcPr>
            <w:tcW w:w="18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 Genomes</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 of S4 Kits</w:t>
            </w: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06/30/19</w:t>
            </w:r>
          </w:p>
        </w:tc>
        <w:tc>
          <w:tcPr>
            <w:tcW w:w="1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12/31/20</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5"/>
              </w:rPr>
              <w:t>12/31/21</w:t>
            </w: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5"/>
              </w:rPr>
              <w:t>12/31/22</w:t>
            </w:r>
          </w:p>
        </w:tc>
      </w:tr>
      <w:tr>
        <w:trPr>
          <w:trHeight w:val="209"/>
        </w:trPr>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10"/>
          </w:cols>
          <w:pgMar w:left="450" w:top="122" w:right="439" w:bottom="1440" w:gutter="0" w:footer="0" w:header="0"/>
        </w:sectPr>
      </w:pPr>
    </w:p>
    <w:bookmarkStart w:id="622" w:name="page623"/>
    <w:bookmarkEnd w:id="6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18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annual basis, Seller will issue Personalis a standing quote that will represent pricing for the Products made available to Personalis, consistent with Table 1.0 for the applicable Specified Time Period (“Standing Quote’”).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Standing Quotes will be valid during the Specified Time Period. With respect to such Standing Quote, for Products shipped during each Specified Time Period referenced in Table 1.0, Illumina shall make available to Customer the price corresponding to the number of Kits for which Customer has committed to use good faith efforts to purchase and take delivery of during such Specified Time Period. Purchase orders for Products shall be issued against the appropriate standing quote provided by Seller to Personalis.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offered in Table 1.0 is conditioned upon the following:</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60" w:top="288" w:right="439" w:bottom="1440" w:gutter="0" w:footer="0" w:header="0"/>
        </w:sectPr>
      </w:pPr>
    </w:p>
    <w:bookmarkStart w:id="623" w:name="page624"/>
    <w:bookmarkEnd w:id="623"/>
    <w:p>
      <w:pPr>
        <w:ind w:left="860" w:hanging="438"/>
        <w:spacing w:after="0"/>
        <w:tabs>
          <w:tab w:leader="none" w:pos="860"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and when the Product is made commercially available, the Product shall be made available to Personalis for purchase exclusively pursuant to Seller’s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then-current terms and conditions located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https://www.illumina.com/content/dam/illumina-marketing/documents/terms-conditions/united-states/usa-terms-and-conditions-of-sale-general.pdf</w:t>
      </w:r>
      <w:r>
        <w:rPr>
          <w:rFonts w:ascii="Arial" w:cs="Arial" w:eastAsia="Arial" w:hAnsi="Arial"/>
          <w:sz w:val="16"/>
          <w:szCs w:val="16"/>
          <w:color w:val="auto"/>
        </w:rPr>
        <w:t xml:space="preserve"> .</w:t>
      </w:r>
    </w:p>
    <w:p>
      <w:pPr>
        <w:spacing w:after="0" w:line="378" w:lineRule="exact"/>
        <w:rPr>
          <w:sz w:val="20"/>
          <w:szCs w:val="20"/>
          <w:color w:val="auto"/>
        </w:rPr>
      </w:pPr>
    </w:p>
    <w:p>
      <w:pPr>
        <w:ind w:left="860" w:hanging="438"/>
        <w:spacing w:after="0"/>
        <w:tabs>
          <w:tab w:leader="none" w:pos="860"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Seller will invoice upon shipment. For purchases against the Agreement only, all payments are due within [***] days of the date of the invoice. All amounts due shall be paid in the currency found on the invoice. If payment is made by wire or other electronic funds transfer, Personalis is solely responsible for any bank or other fees charged and will reimburse Seller for any such fees. If any payment is not made by the due date Seller may exercise all right and remedies available by law. Personalis shall pay for all costs (including reasonable attorneys’ fees) incurred by Seller in connection with the collection of late payments. Each purchase order is a separate, independent transaction, and Personalis has no right of set-off against other purchase orders or other transactions with Seller. Seller will determine payment terms on a per-order basis and may modify credit terms in its discretion. Any amounts not paid when due will accrue interest at the rate of [***], or the maximum amount allowed by law, if lower.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Parties indicate their agreement by their signatures of their respective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PERSONALIS</w:t>
            </w:r>
          </w:p>
        </w:tc>
        <w:tc>
          <w:tcPr>
            <w:tcW w:w="20" w:type="dxa"/>
            <w:vAlign w:val="bottom"/>
          </w:tcPr>
          <w:p>
            <w:pPr>
              <w:spacing w:after="0"/>
              <w:rPr>
                <w:sz w:val="20"/>
                <w:szCs w:val="20"/>
                <w:color w:val="auto"/>
              </w:rPr>
            </w:pPr>
          </w:p>
        </w:tc>
        <w:tc>
          <w:tcPr>
            <w:tcW w:w="6140" w:type="dxa"/>
            <w:vAlign w:val="bottom"/>
            <w:gridSpan w:val="5"/>
          </w:tcPr>
          <w:p>
            <w:pPr>
              <w:ind w:left="1600"/>
              <w:spacing w:after="0"/>
              <w:rPr>
                <w:sz w:val="20"/>
                <w:szCs w:val="20"/>
                <w:color w:val="auto"/>
              </w:rPr>
            </w:pPr>
            <w:r>
              <w:rPr>
                <w:rFonts w:ascii="Arial" w:cs="Arial" w:eastAsia="Arial" w:hAnsi="Arial"/>
                <w:sz w:val="18"/>
                <w:szCs w:val="18"/>
                <w:color w:val="auto"/>
              </w:rPr>
              <w:t>ILLUMINA, INC.</w:t>
            </w:r>
          </w:p>
        </w:tc>
      </w:tr>
      <w:tr>
        <w:trPr>
          <w:trHeight w:val="432"/>
        </w:trPr>
        <w:tc>
          <w:tcPr>
            <w:tcW w:w="4840" w:type="dxa"/>
            <w:vAlign w:val="bottom"/>
            <w:gridSpan w:val="4"/>
          </w:tcPr>
          <w:p>
            <w:pPr>
              <w:spacing w:after="0"/>
              <w:rPr>
                <w:sz w:val="20"/>
                <w:szCs w:val="20"/>
                <w:color w:val="auto"/>
              </w:rPr>
            </w:pPr>
            <w:r>
              <w:rPr>
                <w:rFonts w:ascii="Arial" w:cs="Arial" w:eastAsia="Arial" w:hAnsi="Arial"/>
                <w:sz w:val="18"/>
                <w:szCs w:val="18"/>
                <w:color w:val="auto"/>
              </w:rPr>
              <w:t>By: /s/ Carol J. Tillis</w:t>
            </w:r>
          </w:p>
        </w:tc>
        <w:tc>
          <w:tcPr>
            <w:tcW w:w="20" w:type="dxa"/>
            <w:vAlign w:val="bottom"/>
          </w:tcPr>
          <w:p>
            <w:pPr>
              <w:spacing w:after="0"/>
              <w:rPr>
                <w:sz w:val="24"/>
                <w:szCs w:val="24"/>
                <w:color w:val="auto"/>
              </w:rPr>
            </w:pPr>
          </w:p>
        </w:tc>
        <w:tc>
          <w:tcPr>
            <w:tcW w:w="6140" w:type="dxa"/>
            <w:vAlign w:val="bottom"/>
            <w:gridSpan w:val="5"/>
          </w:tcPr>
          <w:p>
            <w:pPr>
              <w:ind w:left="1600"/>
              <w:spacing w:after="0"/>
              <w:rPr>
                <w:sz w:val="20"/>
                <w:szCs w:val="20"/>
                <w:color w:val="auto"/>
              </w:rPr>
            </w:pPr>
            <w:r>
              <w:rPr>
                <w:rFonts w:ascii="Arial" w:cs="Arial" w:eastAsia="Arial" w:hAnsi="Arial"/>
                <w:sz w:val="18"/>
                <w:szCs w:val="18"/>
                <w:color w:val="auto"/>
              </w:rPr>
              <w:t>By:  /s/ David Daly</w:t>
            </w:r>
          </w:p>
        </w:tc>
      </w:tr>
      <w:tr>
        <w:trPr>
          <w:trHeight w:val="223"/>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220" w:type="dxa"/>
            <w:vAlign w:val="bottom"/>
            <w:tcBorders>
              <w:top w:val="single" w:sz="8" w:color="auto"/>
            </w:tcBorders>
            <w:gridSpan w:val="2"/>
          </w:tcPr>
          <w:p>
            <w:pPr>
              <w:spacing w:after="0"/>
              <w:rPr>
                <w:sz w:val="19"/>
                <w:szCs w:val="19"/>
                <w:color w:val="auto"/>
              </w:rPr>
            </w:pPr>
          </w:p>
        </w:tc>
        <w:tc>
          <w:tcPr>
            <w:tcW w:w="4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Carol J. Tillis</w:t>
            </w:r>
          </w:p>
        </w:tc>
        <w:tc>
          <w:tcPr>
            <w:tcW w:w="20" w:type="dxa"/>
            <w:vAlign w:val="bottom"/>
          </w:tcPr>
          <w:p>
            <w:pPr>
              <w:spacing w:after="0"/>
              <w:rPr>
                <w:sz w:val="19"/>
                <w:szCs w:val="19"/>
                <w:color w:val="auto"/>
              </w:rPr>
            </w:pPr>
          </w:p>
        </w:tc>
        <w:tc>
          <w:tcPr>
            <w:tcW w:w="1980" w:type="dxa"/>
            <w:vAlign w:val="bottom"/>
          </w:tcPr>
          <w:p>
            <w:pPr>
              <w:ind w:left="1600"/>
              <w:spacing w:after="0"/>
              <w:rPr>
                <w:sz w:val="20"/>
                <w:szCs w:val="20"/>
                <w:color w:val="auto"/>
              </w:rPr>
            </w:pPr>
            <w:r>
              <w:rPr>
                <w:rFonts w:ascii="Arial" w:cs="Arial" w:eastAsia="Arial" w:hAnsi="Arial"/>
                <w:sz w:val="17"/>
                <w:szCs w:val="17"/>
                <w:color w:val="auto"/>
                <w:w w:val="71"/>
              </w:rPr>
              <w:t>Name:</w:t>
            </w:r>
          </w:p>
        </w:tc>
        <w:tc>
          <w:tcPr>
            <w:tcW w:w="20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David Daly</w:t>
            </w: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rPr>
              <w:t>VP Finance and Administration</w:t>
            </w:r>
          </w:p>
        </w:tc>
        <w:tc>
          <w:tcPr>
            <w:tcW w:w="20" w:type="dxa"/>
            <w:vAlign w:val="bottom"/>
          </w:tcPr>
          <w:p>
            <w:pPr>
              <w:spacing w:after="0"/>
              <w:rPr>
                <w:sz w:val="24"/>
                <w:szCs w:val="24"/>
                <w:color w:val="auto"/>
              </w:rPr>
            </w:pPr>
          </w:p>
        </w:tc>
        <w:tc>
          <w:tcPr>
            <w:tcW w:w="2120" w:type="dxa"/>
            <w:vAlign w:val="bottom"/>
            <w:gridSpan w:val="2"/>
          </w:tcPr>
          <w:p>
            <w:pPr>
              <w:ind w:left="1640"/>
              <w:spacing w:after="0"/>
              <w:rPr>
                <w:sz w:val="20"/>
                <w:szCs w:val="20"/>
                <w:color w:val="auto"/>
              </w:rPr>
            </w:pPr>
            <w:r>
              <w:rPr>
                <w:rFonts w:ascii="Arial" w:cs="Arial" w:eastAsia="Arial" w:hAnsi="Arial"/>
                <w:sz w:val="18"/>
                <w:szCs w:val="18"/>
                <w:color w:val="auto"/>
              </w:rPr>
              <w:t>Title:</w:t>
            </w:r>
          </w:p>
        </w:tc>
        <w:tc>
          <w:tcPr>
            <w:tcW w:w="4020" w:type="dxa"/>
            <w:vAlign w:val="bottom"/>
            <w:gridSpan w:val="3"/>
          </w:tcPr>
          <w:p>
            <w:pPr>
              <w:ind w:left="60"/>
              <w:spacing w:after="0"/>
              <w:rPr>
                <w:sz w:val="20"/>
                <w:szCs w:val="20"/>
                <w:color w:val="auto"/>
              </w:rPr>
            </w:pPr>
            <w:r>
              <w:rPr>
                <w:rFonts w:ascii="Arial" w:cs="Arial" w:eastAsia="Arial" w:hAnsi="Arial"/>
                <w:sz w:val="18"/>
                <w:szCs w:val="18"/>
                <w:color w:val="auto"/>
              </w:rPr>
              <w:t>Sr. Vice President &amp; General Manager</w:t>
            </w:r>
          </w:p>
        </w:tc>
      </w:t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3/26/2019</w:t>
            </w:r>
          </w:p>
        </w:tc>
        <w:tc>
          <w:tcPr>
            <w:tcW w:w="20" w:type="dxa"/>
            <w:vAlign w:val="bottom"/>
            <w:tcBorders>
              <w:top w:val="single" w:sz="8" w:color="auto"/>
              <w:bottom w:val="single" w:sz="8" w:color="auto"/>
            </w:tcBorders>
          </w:tcPr>
          <w:p>
            <w:pPr>
              <w:spacing w:after="0"/>
              <w:rPr>
                <w:sz w:val="19"/>
                <w:szCs w:val="19"/>
                <w:color w:val="auto"/>
              </w:rPr>
            </w:pPr>
          </w:p>
        </w:tc>
        <w:tc>
          <w:tcPr>
            <w:tcW w:w="2120" w:type="dxa"/>
            <w:vAlign w:val="bottom"/>
            <w:gridSpan w:val="2"/>
          </w:tcPr>
          <w:p>
            <w:pPr>
              <w:ind w:left="1640"/>
              <w:spacing w:after="0"/>
              <w:rPr>
                <w:sz w:val="20"/>
                <w:szCs w:val="20"/>
                <w:color w:val="auto"/>
              </w:rPr>
            </w:pPr>
            <w:r>
              <w:rPr>
                <w:rFonts w:ascii="Arial" w:cs="Arial" w:eastAsia="Arial" w:hAnsi="Arial"/>
                <w:sz w:val="18"/>
                <w:szCs w:val="18"/>
                <w:color w:val="auto"/>
              </w:rPr>
              <w:t>Date:</w:t>
            </w:r>
          </w:p>
        </w:tc>
        <w:tc>
          <w:tcPr>
            <w:tcW w:w="60" w:type="dxa"/>
            <w:vAlign w:val="bottom"/>
          </w:tcPr>
          <w:p>
            <w:pPr>
              <w:spacing w:after="0"/>
              <w:rPr>
                <w:sz w:val="19"/>
                <w:szCs w:val="19"/>
                <w:color w:val="auto"/>
              </w:rPr>
            </w:pPr>
          </w:p>
        </w:tc>
        <w:tc>
          <w:tcPr>
            <w:tcW w:w="3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3/26/2019</w:t>
            </w:r>
          </w:p>
        </w:tc>
      </w:tr>
    </w:tbl>
    <w:p>
      <w:pPr>
        <w:sectPr>
          <w:pgSz w:w="11900" w:h="16838" w:orient="portrait"/>
          <w:cols w:equalWidth="0" w:num="1">
            <w:col w:w="11000"/>
          </w:cols>
          <w:pgMar w:left="460" w:top="270" w:right="43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172085</wp:posOffset>
            </wp:positionV>
            <wp:extent cx="1738630" cy="4451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738630"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LAIN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NGLISH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This is a </w:t>
      </w:r>
      <w:r>
        <w:rPr>
          <w:rFonts w:ascii="Arial" w:cs="Arial" w:eastAsia="Arial" w:hAnsi="Arial"/>
          <w:sz w:val="18"/>
          <w:szCs w:val="18"/>
          <w:b w:val="1"/>
          <w:bCs w:val="1"/>
          <w:color w:val="auto"/>
        </w:rPr>
        <w:t>PLAIN ENGLISH REVOLVING CAPITAL LOAN AND SECURITY AGREEMENT</w:t>
      </w:r>
      <w:r>
        <w:rPr>
          <w:rFonts w:ascii="Arial" w:cs="Arial" w:eastAsia="Arial" w:hAnsi="Arial"/>
          <w:sz w:val="18"/>
          <w:szCs w:val="18"/>
          <w:color w:val="auto"/>
        </w:rPr>
        <w:t xml:space="preserve"> dated as of June 28, 2017 by and between PERSONALIS, INC., a Delaware corporation, as a borrower, and any other Person that executes a Joinder Agreement to become a borrower under this Agreement, and TRIPLEPOINT CAPITAL LLC, a Delaware limited liability company, as lender.</w:t>
      </w:r>
    </w:p>
    <w:p>
      <w:pPr>
        <w:spacing w:after="0" w:line="1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words “We”, “Us”, and “Our” refer to TRIPLEPOINT CAPITAL LLC. Unless otherwise specified, the words “You” and “Your” refer to each of and all of PERSONALIS, INC. and any other Person that executes a Joinder Agreement to become a borrower under this Agreement, and, not to any individual, and PERSONALIS, INC. and any other Person that executes a Joinder Agreement to become a borrower under this Agreement, shall be jointly and severally liable for any and all of Your agreements and obligations under this Agreement. The words “the Parties” refers to each of and all of TRIPLEPOINT CAPITAL LLC, PERSONALIS, INC. and any other Person that executes a Joinder Agreement to become a borrower under this Agreement. This Plain English Revolving Loan and Security Agreement may be referred to as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the following mutual agreements and conditions listed below:</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REVOLVING LOAN FACILITY INFORMATION</w:t>
            </w:r>
          </w:p>
        </w:tc>
        <w:tc>
          <w:tcPr>
            <w:tcW w:w="7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Facility Number</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Commitment Amount</w:t>
            </w:r>
          </w:p>
        </w:tc>
        <w:tc>
          <w:tcPr>
            <w:tcW w:w="1000" w:type="dxa"/>
            <w:vAlign w:val="bottom"/>
          </w:tcPr>
          <w:p>
            <w:pPr>
              <w:spacing w:after="0"/>
              <w:rPr>
                <w:sz w:val="24"/>
                <w:szCs w:val="24"/>
                <w:color w:val="auto"/>
              </w:rPr>
            </w:pPr>
          </w:p>
        </w:tc>
        <w:tc>
          <w:tcPr>
            <w:tcW w:w="28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3"/>
              </w:rPr>
              <w:t>Minimum Advance Amount</w:t>
            </w:r>
          </w:p>
        </w:tc>
      </w:tr>
      <w:tr>
        <w:trPr>
          <w:trHeight w:val="20"/>
        </w:trPr>
        <w:tc>
          <w:tcPr>
            <w:tcW w:w="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343"/>
        </w:trPr>
        <w:tc>
          <w:tcPr>
            <w:tcW w:w="2360" w:type="dxa"/>
            <w:vAlign w:val="bottom"/>
            <w:gridSpan w:val="3"/>
          </w:tcPr>
          <w:p>
            <w:pPr>
              <w:jc w:val="center"/>
              <w:ind w:right="960"/>
              <w:spacing w:after="0"/>
              <w:rPr>
                <w:sz w:val="20"/>
                <w:szCs w:val="20"/>
                <w:color w:val="auto"/>
              </w:rPr>
            </w:pPr>
            <w:r>
              <w:rPr>
                <w:rFonts w:ascii="Arial" w:cs="Arial" w:eastAsia="Arial" w:hAnsi="Arial"/>
                <w:sz w:val="18"/>
                <w:szCs w:val="18"/>
                <w:color w:val="auto"/>
                <w:w w:val="90"/>
              </w:rPr>
              <w:t>Part 1: 1115-RV-01</w:t>
            </w:r>
          </w:p>
        </w:tc>
        <w:tc>
          <w:tcPr>
            <w:tcW w:w="394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Part 1: $10,000,000 upon</w:t>
            </w:r>
          </w:p>
        </w:tc>
        <w:tc>
          <w:tcPr>
            <w:tcW w:w="7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4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satisfaction of the Part 1 Milestone,</w:t>
            </w:r>
          </w:p>
        </w:tc>
        <w:tc>
          <w:tcPr>
            <w:tcW w:w="7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4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as further set forth in Section 3.</w:t>
            </w:r>
          </w:p>
        </w:tc>
        <w:tc>
          <w:tcPr>
            <w:tcW w:w="7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Availability Period</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Revolving Loan</w:t>
            </w:r>
          </w:p>
        </w:tc>
        <w:tc>
          <w:tcPr>
            <w:tcW w:w="620" w:type="dxa"/>
            <w:vAlign w:val="bottom"/>
          </w:tcPr>
          <w:p>
            <w:pPr>
              <w:spacing w:after="0"/>
              <w:rPr>
                <w:sz w:val="17"/>
                <w:szCs w:val="17"/>
                <w:color w:val="auto"/>
              </w:rPr>
            </w:pPr>
          </w:p>
        </w:tc>
        <w:tc>
          <w:tcPr>
            <w:tcW w:w="28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1"/>
              </w:rPr>
              <w:t>Loan Term</w:t>
            </w:r>
          </w:p>
        </w:tc>
        <w:tc>
          <w:tcPr>
            <w:tcW w:w="720" w:type="dxa"/>
            <w:vAlign w:val="bottom"/>
          </w:tcPr>
          <w:p>
            <w:pPr>
              <w:spacing w:after="0"/>
              <w:rPr>
                <w:sz w:val="17"/>
                <w:szCs w:val="17"/>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gridSpan w:val="3"/>
            <w:vMerge w:val="restart"/>
          </w:tcPr>
          <w:p>
            <w:pPr>
              <w:jc w:val="center"/>
              <w:ind w:right="500"/>
              <w:spacing w:after="0"/>
              <w:rPr>
                <w:sz w:val="20"/>
                <w:szCs w:val="20"/>
                <w:color w:val="auto"/>
              </w:rPr>
            </w:pPr>
            <w:r>
              <w:rPr>
                <w:rFonts w:ascii="Arial" w:cs="Arial" w:eastAsia="Arial" w:hAnsi="Arial"/>
                <w:sz w:val="18"/>
                <w:szCs w:val="18"/>
                <w:color w:val="auto"/>
                <w:w w:val="90"/>
              </w:rPr>
              <w:t>Part 1: Closing Date through</w:t>
            </w:r>
          </w:p>
        </w:tc>
        <w:tc>
          <w:tcPr>
            <w:tcW w:w="920" w:type="dxa"/>
            <w:vAlign w:val="bottom"/>
          </w:tcPr>
          <w:p>
            <w:pPr>
              <w:spacing w:after="0"/>
              <w:rPr>
                <w:sz w:val="17"/>
                <w:szCs w:val="17"/>
                <w:color w:val="auto"/>
              </w:rPr>
            </w:pPr>
          </w:p>
        </w:tc>
        <w:tc>
          <w:tcPr>
            <w:tcW w:w="1780" w:type="dxa"/>
            <w:vAlign w:val="bottom"/>
            <w:gridSpan w:val="2"/>
          </w:tcPr>
          <w:p>
            <w:pPr>
              <w:jc w:val="center"/>
              <w:ind w:right="680"/>
              <w:spacing w:after="0" w:line="196" w:lineRule="exact"/>
              <w:rPr>
                <w:sz w:val="20"/>
                <w:szCs w:val="20"/>
                <w:color w:val="auto"/>
              </w:rPr>
            </w:pPr>
            <w:r>
              <w:rPr>
                <w:rFonts w:ascii="Arial" w:cs="Arial" w:eastAsia="Arial" w:hAnsi="Arial"/>
                <w:sz w:val="18"/>
                <w:szCs w:val="18"/>
                <w:b w:val="1"/>
                <w:bCs w:val="1"/>
                <w:color w:val="auto"/>
                <w:w w:val="96"/>
              </w:rPr>
              <w:t>Maturity Date</w:t>
            </w:r>
          </w:p>
        </w:tc>
        <w:tc>
          <w:tcPr>
            <w:tcW w:w="288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1"/>
              </w:rPr>
              <w:t>Part 1: The number of months from</w:t>
            </w:r>
          </w:p>
        </w:tc>
        <w:tc>
          <w:tcPr>
            <w:tcW w:w="2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Part 1: Prime Rate plus 6.75%,</w:t>
            </w:r>
          </w:p>
        </w:tc>
        <w:tc>
          <w:tcPr>
            <w:tcW w:w="0" w:type="dxa"/>
            <w:vAlign w:val="bottom"/>
          </w:tcPr>
          <w:p>
            <w:pPr>
              <w:spacing w:after="0"/>
              <w:rPr>
                <w:sz w:val="1"/>
                <w:szCs w:val="1"/>
                <w:color w:val="auto"/>
              </w:rPr>
            </w:pPr>
          </w:p>
        </w:tc>
      </w:tr>
      <w:tr>
        <w:trPr>
          <w:trHeight w:val="128"/>
        </w:trPr>
        <w:tc>
          <w:tcPr>
            <w:tcW w:w="25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December 31, 2018</w:t>
            </w:r>
          </w:p>
        </w:tc>
        <w:tc>
          <w:tcPr>
            <w:tcW w:w="270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Part 1: December 31, 2018</w:t>
            </w:r>
          </w:p>
        </w:tc>
        <w:tc>
          <w:tcPr>
            <w:tcW w:w="288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the Closing Date through</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7"/>
              </w:rPr>
              <w:t>subject to adjustment as set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December 31, 2018</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2"/>
              </w:rPr>
              <w:t>forth in Section 9.</w:t>
            </w:r>
          </w:p>
        </w:tc>
        <w:tc>
          <w:tcPr>
            <w:tcW w:w="0" w:type="dxa"/>
            <w:vAlign w:val="bottom"/>
          </w:tcPr>
          <w:p>
            <w:pPr>
              <w:spacing w:after="0"/>
              <w:rPr>
                <w:sz w:val="1"/>
                <w:szCs w:val="1"/>
                <w:color w:val="auto"/>
              </w:rPr>
            </w:pPr>
          </w:p>
        </w:tc>
      </w:tr>
      <w:tr>
        <w:trPr>
          <w:trHeight w:val="323"/>
        </w:trPr>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9"/>
              </w:rPr>
              <w:t>(Prime Rate as published in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0"/>
              </w:rPr>
              <w:t>Wall Street Journal, however, in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8"/>
              </w:rPr>
              <w:t>no event shall the Prime Rate be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8"/>
              </w:rPr>
              <w:t>less than 4.0%)</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Interest</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End Of Term Payment</w:t>
            </w:r>
          </w:p>
        </w:tc>
        <w:tc>
          <w:tcPr>
            <w:tcW w:w="2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Facility Fee</w:t>
            </w:r>
          </w:p>
        </w:tc>
        <w:tc>
          <w:tcPr>
            <w:tcW w:w="640" w:type="dxa"/>
            <w:vAlign w:val="bottom"/>
          </w:tcPr>
          <w:p>
            <w:pPr>
              <w:spacing w:after="0"/>
              <w:rPr>
                <w:sz w:val="18"/>
                <w:szCs w:val="18"/>
                <w:color w:val="auto"/>
              </w:rPr>
            </w:pPr>
          </w:p>
        </w:tc>
        <w:tc>
          <w:tcPr>
            <w:tcW w:w="17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Right To Invest</w:t>
            </w:r>
          </w:p>
        </w:tc>
      </w:tr>
      <w:tr>
        <w:trPr>
          <w:trHeight w:val="20"/>
        </w:trPr>
        <w:tc>
          <w:tcPr>
            <w:tcW w:w="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3"/>
        </w:trPr>
        <w:tc>
          <w:tcPr>
            <w:tcW w:w="286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First priority security interest in all</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Part 1: 5.5% of the highest</w:t>
            </w:r>
          </w:p>
        </w:tc>
        <w:tc>
          <w:tcPr>
            <w:tcW w:w="282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Part 1: $62,500 due on Closing</w:t>
            </w: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You grant Us the right to invest</w:t>
            </w:r>
          </w:p>
        </w:tc>
      </w:tr>
      <w:tr>
        <w:trPr>
          <w:trHeight w:val="216"/>
        </w:trPr>
        <w:tc>
          <w:tcPr>
            <w:tcW w:w="28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Collateral; negative pledge on</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outstanding principal amount</w:t>
            </w:r>
          </w:p>
        </w:tc>
        <w:tc>
          <w:tcPr>
            <w:tcW w:w="282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Date; additional $62,500 due upon</w:t>
            </w: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up to $250,000 in Your next</w:t>
            </w:r>
          </w:p>
        </w:tc>
      </w:tr>
      <w:tr>
        <w:trPr>
          <w:trHeight w:val="216"/>
        </w:trPr>
        <w:tc>
          <w:tcPr>
            <w:tcW w:w="28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Intellectual Property</w:t>
            </w:r>
          </w:p>
        </w:tc>
        <w:tc>
          <w:tcPr>
            <w:tcW w:w="520" w:type="dxa"/>
            <w:vAlign w:val="bottom"/>
          </w:tcPr>
          <w:p>
            <w:pPr>
              <w:spacing w:after="0"/>
              <w:rPr>
                <w:sz w:val="18"/>
                <w:szCs w:val="18"/>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during the Loan Term.</w:t>
            </w:r>
          </w:p>
        </w:tc>
        <w:tc>
          <w:tcPr>
            <w:tcW w:w="282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availability of Tranche B, as</w:t>
            </w: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round of equity financing per</w:t>
            </w:r>
          </w:p>
        </w:tc>
      </w:tr>
      <w:tr>
        <w:trPr>
          <w:trHeight w:val="230"/>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2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further set forth in Section 3.</w:t>
            </w:r>
          </w:p>
        </w:tc>
        <w:tc>
          <w:tcPr>
            <w:tcW w:w="640" w:type="dxa"/>
            <w:vAlign w:val="bottom"/>
          </w:tcPr>
          <w:p>
            <w:pPr>
              <w:spacing w:after="0"/>
              <w:rPr>
                <w:sz w:val="20"/>
                <w:szCs w:val="20"/>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Section 19</w:t>
            </w:r>
          </w:p>
        </w:tc>
      </w:tr>
    </w:tbl>
    <w:p>
      <w:pPr>
        <w:sectPr>
          <w:pgSz w:w="11900" w:h="16838" w:orient="portrait"/>
          <w:cols w:equalWidth="0" w:num="1">
            <w:col w:w="11000"/>
          </w:cols>
          <w:pgMar w:left="460" w:top="122" w:right="439" w:bottom="1440" w:gutter="0" w:footer="0" w:header="0"/>
        </w:sectPr>
      </w:pPr>
    </w:p>
    <w:bookmarkStart w:id="625" w:name="page626"/>
    <w:bookmarkEnd w:id="6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5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80" w:type="dxa"/>
            <w:vAlign w:val="bottom"/>
            <w:gridSpan w:val="4"/>
          </w:tcPr>
          <w:p>
            <w:pPr>
              <w:ind w:left="660"/>
              <w:spacing w:after="0"/>
              <w:rPr>
                <w:sz w:val="20"/>
                <w:szCs w:val="20"/>
                <w:color w:val="auto"/>
              </w:rPr>
            </w:pPr>
            <w:r>
              <w:rPr>
                <w:rFonts w:ascii="Arial" w:cs="Arial" w:eastAsia="Arial" w:hAnsi="Arial"/>
                <w:sz w:val="18"/>
                <w:szCs w:val="18"/>
                <w:b w:val="1"/>
                <w:bCs w:val="1"/>
                <w:color w:val="auto"/>
              </w:rPr>
              <w:t>OUR CONTACT INFORMATION</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7"/>
        </w:trPr>
        <w:tc>
          <w:tcPr>
            <w:tcW w:w="660" w:type="dxa"/>
            <w:vAlign w:val="bottom"/>
          </w:tcPr>
          <w:p>
            <w:pPr>
              <w:spacing w:after="0"/>
              <w:rPr>
                <w:sz w:val="24"/>
                <w:szCs w:val="24"/>
                <w:color w:val="auto"/>
              </w:rPr>
            </w:pPr>
          </w:p>
        </w:tc>
        <w:tc>
          <w:tcPr>
            <w:tcW w:w="178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9"/>
              </w:rPr>
              <w:t>Name</w:t>
            </w:r>
          </w:p>
        </w:tc>
        <w:tc>
          <w:tcPr>
            <w:tcW w:w="6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Address For Notices</w:t>
            </w:r>
          </w:p>
        </w:tc>
        <w:tc>
          <w:tcPr>
            <w:tcW w:w="1140" w:type="dxa"/>
            <w:vAlign w:val="bottom"/>
          </w:tcPr>
          <w:p>
            <w:pPr>
              <w:spacing w:after="0"/>
              <w:rPr>
                <w:sz w:val="24"/>
                <w:szCs w:val="24"/>
                <w:color w:val="auto"/>
              </w:rPr>
            </w:pPr>
          </w:p>
        </w:tc>
        <w:tc>
          <w:tcPr>
            <w:tcW w:w="2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Contact Person</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3"/>
        </w:trPr>
        <w:tc>
          <w:tcPr>
            <w:tcW w:w="2440" w:type="dxa"/>
            <w:vAlign w:val="bottom"/>
            <w:gridSpan w:val="3"/>
          </w:tcPr>
          <w:p>
            <w:pPr>
              <w:jc w:val="center"/>
              <w:ind w:right="680"/>
              <w:spacing w:after="0"/>
              <w:rPr>
                <w:sz w:val="20"/>
                <w:szCs w:val="20"/>
                <w:color w:val="auto"/>
              </w:rPr>
            </w:pPr>
            <w:r>
              <w:rPr>
                <w:rFonts w:ascii="Arial" w:cs="Arial" w:eastAsia="Arial" w:hAnsi="Arial"/>
                <w:sz w:val="18"/>
                <w:szCs w:val="18"/>
                <w:color w:val="auto"/>
                <w:w w:val="95"/>
              </w:rPr>
              <w:t>TriplePoint Capital LLC</w:t>
            </w:r>
          </w:p>
        </w:tc>
        <w:tc>
          <w:tcPr>
            <w:tcW w:w="660" w:type="dxa"/>
            <w:vAlign w:val="bottom"/>
          </w:tcPr>
          <w:p>
            <w:pPr>
              <w:spacing w:after="0"/>
              <w:rPr>
                <w:sz w:val="24"/>
                <w:szCs w:val="24"/>
                <w:color w:val="auto"/>
              </w:rPr>
            </w:pPr>
          </w:p>
        </w:tc>
        <w:tc>
          <w:tcPr>
            <w:tcW w:w="272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2755 Sand Hill Rd., Ste. 150</w:t>
            </w:r>
          </w:p>
        </w:tc>
        <w:tc>
          <w:tcPr>
            <w:tcW w:w="114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color w:val="auto"/>
                <w:w w:val="89"/>
              </w:rPr>
              <w:t>Sajal Srivastava, President</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2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Menlo Park, CA 94025</w:t>
            </w:r>
          </w:p>
        </w:tc>
        <w:tc>
          <w:tcPr>
            <w:tcW w:w="114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Tel: (650) 233-2102</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Tel: (650) 854-2090</w:t>
            </w:r>
          </w:p>
        </w:tc>
        <w:tc>
          <w:tcPr>
            <w:tcW w:w="114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Fax: (650) 854-1850</w:t>
            </w:r>
          </w:p>
        </w:tc>
      </w:tr>
      <w:tr>
        <w:trPr>
          <w:trHeight w:val="190"/>
        </w:trPr>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00" w:type="dxa"/>
            <w:vAlign w:val="bottom"/>
            <w:gridSpan w:val="2"/>
          </w:tcPr>
          <w:p>
            <w:pPr>
              <w:jc w:val="center"/>
              <w:ind w:right="360"/>
              <w:spacing w:after="0" w:line="189" w:lineRule="exact"/>
              <w:rPr>
                <w:sz w:val="20"/>
                <w:szCs w:val="20"/>
                <w:color w:val="auto"/>
              </w:rPr>
            </w:pPr>
            <w:r>
              <w:rPr>
                <w:rFonts w:ascii="Arial" w:cs="Arial" w:eastAsia="Arial" w:hAnsi="Arial"/>
                <w:sz w:val="18"/>
                <w:szCs w:val="18"/>
                <w:color w:val="auto"/>
                <w:w w:val="91"/>
              </w:rPr>
              <w:t>Fax: (650) 854-1850</w:t>
            </w:r>
          </w:p>
        </w:tc>
        <w:tc>
          <w:tcPr>
            <w:tcW w:w="1140" w:type="dxa"/>
            <w:vAlign w:val="bottom"/>
          </w:tcPr>
          <w:p>
            <w:pPr>
              <w:spacing w:after="0"/>
              <w:rPr>
                <w:sz w:val="16"/>
                <w:szCs w:val="16"/>
                <w:color w:val="auto"/>
              </w:rPr>
            </w:pPr>
          </w:p>
        </w:tc>
        <w:tc>
          <w:tcPr>
            <w:tcW w:w="260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email: legal@triplepointcapital.com</w:t>
            </w:r>
          </w:p>
        </w:tc>
      </w:tr>
    </w:tbl>
    <w:p>
      <w:pPr>
        <w:spacing w:after="0" w:line="238" w:lineRule="exact"/>
        <w:rPr>
          <w:sz w:val="20"/>
          <w:szCs w:val="20"/>
          <w:color w:val="auto"/>
        </w:rPr>
      </w:pPr>
    </w:p>
    <w:tbl>
      <w:tblPr>
        <w:tblLayout w:type="fixed"/>
        <w:tblInd w:w="131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YOUR CONTACT INFORMATION</w:t>
            </w:r>
          </w:p>
        </w:tc>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7"/>
        </w:trPr>
        <w:tc>
          <w:tcPr>
            <w:tcW w:w="27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Customer Name</w:t>
            </w:r>
          </w:p>
        </w:tc>
        <w:tc>
          <w:tcPr>
            <w:tcW w:w="880" w:type="dxa"/>
            <w:vAlign w:val="bottom"/>
          </w:tcPr>
          <w:p>
            <w:pPr>
              <w:spacing w:after="0"/>
              <w:rPr>
                <w:sz w:val="24"/>
                <w:szCs w:val="2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Address For Notices</w:t>
            </w:r>
          </w:p>
        </w:tc>
        <w:tc>
          <w:tcPr>
            <w:tcW w:w="39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Contact Person</w:t>
            </w:r>
          </w:p>
        </w:tc>
      </w:tr>
      <w:tr>
        <w:trPr>
          <w:trHeight w:val="20"/>
        </w:trPr>
        <w:tc>
          <w:tcPr>
            <w:tcW w:w="12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3"/>
        </w:trPr>
        <w:tc>
          <w:tcPr>
            <w:tcW w:w="1240" w:type="dxa"/>
            <w:vAlign w:val="bottom"/>
          </w:tcPr>
          <w:p>
            <w:pPr>
              <w:jc w:val="center"/>
              <w:spacing w:after="0"/>
              <w:rPr>
                <w:sz w:val="20"/>
                <w:szCs w:val="20"/>
                <w:color w:val="auto"/>
              </w:rPr>
            </w:pPr>
            <w:r>
              <w:rPr>
                <w:rFonts w:ascii="Arial" w:cs="Arial" w:eastAsia="Arial" w:hAnsi="Arial"/>
                <w:sz w:val="18"/>
                <w:szCs w:val="18"/>
                <w:color w:val="auto"/>
                <w:w w:val="90"/>
              </w:rPr>
              <w:t>Personalis, Inc.</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1330 O’Brien Drive</w:t>
            </w:r>
          </w:p>
        </w:tc>
        <w:tc>
          <w:tcPr>
            <w:tcW w:w="420" w:type="dxa"/>
            <w:vAlign w:val="bottom"/>
          </w:tcPr>
          <w:p>
            <w:pPr>
              <w:spacing w:after="0"/>
              <w:rPr>
                <w:sz w:val="24"/>
                <w:szCs w:val="24"/>
                <w:color w:val="auto"/>
              </w:rPr>
            </w:pPr>
          </w:p>
        </w:tc>
        <w:tc>
          <w:tcPr>
            <w:tcW w:w="3920" w:type="dxa"/>
            <w:vAlign w:val="bottom"/>
            <w:gridSpan w:val="3"/>
          </w:tcPr>
          <w:p>
            <w:pPr>
              <w:jc w:val="center"/>
              <w:ind w:left="750"/>
              <w:spacing w:after="0"/>
              <w:rPr>
                <w:sz w:val="20"/>
                <w:szCs w:val="20"/>
                <w:color w:val="auto"/>
              </w:rPr>
            </w:pPr>
            <w:r>
              <w:rPr>
                <w:rFonts w:ascii="Arial" w:cs="Arial" w:eastAsia="Arial" w:hAnsi="Arial"/>
                <w:sz w:val="18"/>
                <w:szCs w:val="18"/>
                <w:color w:val="auto"/>
                <w:w w:val="95"/>
              </w:rPr>
              <w:t>Carol Tillis, VP Finance &amp; Administration</w:t>
            </w:r>
          </w:p>
        </w:tc>
      </w:tr>
      <w:tr>
        <w:trPr>
          <w:trHeight w:val="216"/>
        </w:trPr>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4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Menlo Park, CA 94025</w:t>
            </w:r>
          </w:p>
        </w:tc>
        <w:tc>
          <w:tcPr>
            <w:tcW w:w="392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Tel: (650) 752-1330</w:t>
            </w:r>
          </w:p>
        </w:tc>
      </w:tr>
      <w:tr>
        <w:trPr>
          <w:trHeight w:val="216"/>
        </w:trPr>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Fax: (650) 752-1301</w:t>
            </w:r>
          </w:p>
        </w:tc>
      </w:tr>
      <w:tr>
        <w:trPr>
          <w:trHeight w:val="230"/>
        </w:trPr>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email: carol.tillis@personalis.com</w:t>
            </w:r>
          </w:p>
        </w:tc>
      </w:tr>
    </w:tbl>
    <w:p>
      <w:pPr>
        <w:spacing w:after="0" w:line="215" w:lineRule="exact"/>
        <w:rPr>
          <w:sz w:val="20"/>
          <w:szCs w:val="20"/>
          <w:color w:val="auto"/>
        </w:rPr>
      </w:pPr>
    </w:p>
    <w:p>
      <w:pPr>
        <w:ind w:left="10" w:right="140"/>
        <w:spacing w:after="0" w:line="259" w:lineRule="auto"/>
        <w:rPr>
          <w:sz w:val="20"/>
          <w:szCs w:val="20"/>
          <w:color w:val="auto"/>
        </w:rPr>
      </w:pPr>
      <w:r>
        <w:rPr>
          <w:rFonts w:ascii="Arial" w:cs="Arial" w:eastAsia="Arial" w:hAnsi="Arial"/>
          <w:sz w:val="18"/>
          <w:szCs w:val="18"/>
          <w:color w:val="auto"/>
        </w:rPr>
        <w:t>Capitalized terms defined in the Table of Terms shall have the meanings given to those terms in such table, and other capitalized terms not otherwise defined in the body of this Agreement are defined in Section 21. Any accounting term not specifically defined herein shall be construed in accordance with GAAP, and all calculations shall be made in accordance with GAAP. The term “financial statements” shall include the accompanying notes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989445"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83" w:lineRule="exact"/>
        <w:rPr>
          <w:sz w:val="20"/>
          <w:szCs w:val="20"/>
          <w:color w:val="auto"/>
        </w:rPr>
      </w:pPr>
    </w:p>
    <w:p>
      <w:pPr>
        <w:ind w:left="430" w:hanging="430"/>
        <w:spacing w:after="0"/>
        <w:tabs>
          <w:tab w:leader="none" w:pos="430"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WHAT THE PARTIES AGREE TO FINANCE; DESIGNATION OF LEAD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line="275" w:lineRule="auto"/>
        <w:rPr>
          <w:sz w:val="20"/>
          <w:szCs w:val="20"/>
          <w:color w:val="auto"/>
        </w:rPr>
      </w:pPr>
      <w:r>
        <w:rPr>
          <w:rFonts w:ascii="Arial" w:cs="Arial" w:eastAsia="Arial" w:hAnsi="Arial"/>
          <w:sz w:val="17"/>
          <w:szCs w:val="17"/>
          <w:color w:val="auto"/>
        </w:rPr>
        <w:t>Provided that the conditions in Sections 4 and 5 and elsewhere in this Agreement are met, We will lend to You the Parts of the Commitment Amount as reflected in the Table of Terms and You agree to use such proceeds to finance any of Your general corporate needs. We will make one monthly Advance under the Revolving Loan (each an “</w:t>
      </w:r>
      <w:r>
        <w:rPr>
          <w:rFonts w:ascii="Arial" w:cs="Arial" w:eastAsia="Arial" w:hAnsi="Arial"/>
          <w:sz w:val="17"/>
          <w:szCs w:val="17"/>
          <w:b w:val="1"/>
          <w:bCs w:val="1"/>
          <w:color w:val="auto"/>
        </w:rPr>
        <w:t>Advance</w:t>
      </w:r>
      <w:r>
        <w:rPr>
          <w:rFonts w:ascii="Arial" w:cs="Arial" w:eastAsia="Arial" w:hAnsi="Arial"/>
          <w:sz w:val="17"/>
          <w:szCs w:val="17"/>
          <w:color w:val="auto"/>
        </w:rPr>
        <w:t>”) in minimum amounts as set forth in the Table of Terms up to a maximum of the Commitment Amount as provided in the Table of Terms. Our obligation to fund Advances under each Part of the Commitment Amount under this Agreement will end on the last day of the Availability Period noted in the Table of Terms for such Part.</w:t>
      </w:r>
    </w:p>
    <w:p>
      <w:pPr>
        <w:spacing w:after="0" w:line="171" w:lineRule="exact"/>
        <w:rPr>
          <w:sz w:val="20"/>
          <w:szCs w:val="20"/>
          <w:color w:val="auto"/>
        </w:rPr>
      </w:pPr>
    </w:p>
    <w:p>
      <w:pPr>
        <w:ind w:left="10"/>
        <w:spacing w:after="0" w:line="253" w:lineRule="auto"/>
        <w:rPr>
          <w:sz w:val="20"/>
          <w:szCs w:val="20"/>
          <w:color w:val="auto"/>
        </w:rPr>
      </w:pPr>
      <w:r>
        <w:rPr>
          <w:rFonts w:ascii="Arial" w:cs="Arial" w:eastAsia="Arial" w:hAnsi="Arial"/>
          <w:sz w:val="18"/>
          <w:szCs w:val="18"/>
          <w:color w:val="auto"/>
        </w:rPr>
        <w:t xml:space="preserve">Any Person that executes a Joinder Agreement to become a borrower under this Agreement hereby designates </w:t>
      </w:r>
      <w:r>
        <w:rPr>
          <w:rFonts w:ascii="Arial" w:cs="Arial" w:eastAsia="Arial" w:hAnsi="Arial"/>
          <w:sz w:val="18"/>
          <w:szCs w:val="18"/>
          <w:b w:val="1"/>
          <w:bCs w:val="1"/>
          <w:color w:val="auto"/>
        </w:rPr>
        <w:t>PERSONALIS, INC.</w:t>
      </w:r>
      <w:r>
        <w:rPr>
          <w:rFonts w:ascii="Arial" w:cs="Arial" w:eastAsia="Arial" w:hAnsi="Arial"/>
          <w:sz w:val="18"/>
          <w:szCs w:val="18"/>
          <w:color w:val="auto"/>
        </w:rPr>
        <w:t xml:space="preserve"> as its representative and agent on its behalf for the purposes of giving and receiving all Advance Requests and all other notices and consents under this Agreement or under any of the other Loan Documents and taking all other actions (including in respect of compliance with covenants) on behalf of any Person that executes a Joinder Agreement to become a borrower under this Agreement, under this Agreement and the other Loan Documents. </w:t>
      </w:r>
      <w:r>
        <w:rPr>
          <w:rFonts w:ascii="Arial" w:cs="Arial" w:eastAsia="Arial" w:hAnsi="Arial"/>
          <w:sz w:val="18"/>
          <w:szCs w:val="18"/>
          <w:b w:val="1"/>
          <w:bCs w:val="1"/>
          <w:color w:val="auto"/>
        </w:rPr>
        <w:t xml:space="preserve">PERSONALIS, INC. </w:t>
      </w:r>
      <w:r>
        <w:rPr>
          <w:rFonts w:ascii="Arial" w:cs="Arial" w:eastAsia="Arial" w:hAnsi="Arial"/>
          <w:sz w:val="18"/>
          <w:szCs w:val="18"/>
          <w:color w:val="auto"/>
        </w:rPr>
        <w:t>hereby accepts such appointment. We may regard any notice or other communication pursuant to this Agreement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 Document from </w:t>
      </w:r>
      <w:r>
        <w:rPr>
          <w:rFonts w:ascii="Arial" w:cs="Arial" w:eastAsia="Arial" w:hAnsi="Arial"/>
          <w:sz w:val="18"/>
          <w:szCs w:val="18"/>
          <w:b w:val="1"/>
          <w:bCs w:val="1"/>
          <w:color w:val="auto"/>
        </w:rPr>
        <w:t>PERSONALIS, INC.</w:t>
      </w:r>
      <w:r>
        <w:rPr>
          <w:rFonts w:ascii="Arial" w:cs="Arial" w:eastAsia="Arial" w:hAnsi="Arial"/>
          <w:sz w:val="18"/>
          <w:szCs w:val="18"/>
          <w:color w:val="auto"/>
        </w:rPr>
        <w:t xml:space="preserve"> as a notice or communication from all of You, and may give any notice or communication required or permitted to be given to any of You hereunder to </w:t>
      </w:r>
      <w:r>
        <w:rPr>
          <w:rFonts w:ascii="Arial" w:cs="Arial" w:eastAsia="Arial" w:hAnsi="Arial"/>
          <w:sz w:val="18"/>
          <w:szCs w:val="18"/>
          <w:b w:val="1"/>
          <w:bCs w:val="1"/>
          <w:color w:val="auto"/>
        </w:rPr>
        <w:t>PERSONALIS, INC.</w:t>
      </w:r>
      <w:r>
        <w:rPr>
          <w:rFonts w:ascii="Arial" w:cs="Arial" w:eastAsia="Arial" w:hAnsi="Arial"/>
          <w:sz w:val="18"/>
          <w:szCs w:val="18"/>
          <w:color w:val="auto"/>
        </w:rPr>
        <w:t xml:space="preserve"> on behalf of each of You. Each of You agrees that each notice, election, representation and warranty, covenant, agreement and undertaking made on Your behalf by </w:t>
      </w:r>
      <w:r>
        <w:rPr>
          <w:rFonts w:ascii="Arial" w:cs="Arial" w:eastAsia="Arial" w:hAnsi="Arial"/>
          <w:sz w:val="18"/>
          <w:szCs w:val="18"/>
          <w:b w:val="1"/>
          <w:bCs w:val="1"/>
          <w:color w:val="auto"/>
        </w:rPr>
        <w:t>PERSONALIS, INC.</w:t>
      </w:r>
      <w:r>
        <w:rPr>
          <w:rFonts w:ascii="Arial" w:cs="Arial" w:eastAsia="Arial" w:hAnsi="Arial"/>
          <w:sz w:val="18"/>
          <w:szCs w:val="18"/>
          <w:color w:val="auto"/>
        </w:rPr>
        <w:t xml:space="preserve"> shall be deemed for all purposes to have been made by each of You and shall be binding upon and enforceable against each of You to the same extent as if the same had been made directly by each of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6989445"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80" w:lineRule="exact"/>
        <w:rPr>
          <w:sz w:val="20"/>
          <w:szCs w:val="20"/>
          <w:color w:val="auto"/>
        </w:rPr>
      </w:pPr>
    </w:p>
    <w:p>
      <w:pPr>
        <w:ind w:left="430" w:hanging="430"/>
        <w:spacing w:after="0"/>
        <w:tabs>
          <w:tab w:leader="none" w:pos="430"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color w:val="auto"/>
        </w:rPr>
        <w:t>YOU WILL ENTER INTO A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jc w:val="both"/>
        <w:ind w:left="10" w:right="40"/>
        <w:spacing w:after="0" w:line="260" w:lineRule="auto"/>
        <w:rPr>
          <w:sz w:val="20"/>
          <w:szCs w:val="20"/>
          <w:color w:val="auto"/>
        </w:rPr>
      </w:pPr>
      <w:r>
        <w:rPr>
          <w:rFonts w:ascii="Arial" w:cs="Arial" w:eastAsia="Arial" w:hAnsi="Arial"/>
          <w:sz w:val="18"/>
          <w:szCs w:val="18"/>
          <w:color w:val="auto"/>
        </w:rPr>
        <w:t xml:space="preserve">The Plain English Revolving Loan Promissory Note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Promissory Note</w:t>
      </w:r>
      <w:r>
        <w:rPr>
          <w:rFonts w:ascii="Arial" w:cs="Arial" w:eastAsia="Arial" w:hAnsi="Arial"/>
          <w:sz w:val="18"/>
          <w:szCs w:val="18"/>
          <w:color w:val="auto"/>
        </w:rPr>
        <w:t>”) is the form of document the Parties will enter into upon the availability of each Tranche/Commitment Amount. The Promissory Note evidences the Revolving Loan and all of the terms and conditions of this Agreement are incorporated in and made a part of the Promissory Note. For any Part that is not available on the Closing Date, the Parties will enter into a Promissory Note when such Part becomes available.</w:t>
      </w:r>
    </w:p>
    <w:p>
      <w:pPr>
        <w:spacing w:after="0" w:line="119"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30"/>
          </w:cols>
          <w:pgMar w:left="450" w:top="270" w:right="519" w:bottom="1440" w:gutter="0" w:footer="0" w:header="0"/>
        </w:sectPr>
      </w:pPr>
    </w:p>
    <w:bookmarkStart w:id="626" w:name="page627"/>
    <w:bookmarkEnd w:id="626"/>
    <w:p>
      <w:pPr>
        <w:ind w:left="430" w:hanging="430"/>
        <w:spacing w:after="0"/>
        <w:tabs>
          <w:tab w:leader="none" w:pos="430"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192405</wp:posOffset>
            </wp:positionV>
            <wp:extent cx="698944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989445" cy="8255"/>
                    </a:xfrm>
                    <a:prstGeom prst="rect">
                      <a:avLst/>
                    </a:prstGeom>
                    <a:noFill/>
                  </pic:spPr>
                </pic:pic>
              </a:graphicData>
            </a:graphic>
          </wp:anchor>
        </w:drawing>
        <w:t>YOUR LOAN FACILITY COMMITMENT AMOUNT MAY BE DIVIDED INTO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right="120"/>
        <w:spacing w:after="0" w:line="271" w:lineRule="auto"/>
        <w:rPr>
          <w:sz w:val="20"/>
          <w:szCs w:val="20"/>
          <w:color w:val="auto"/>
        </w:rPr>
      </w:pPr>
      <w:r>
        <w:rPr>
          <w:rFonts w:ascii="Arial" w:cs="Arial" w:eastAsia="Arial" w:hAnsi="Arial"/>
          <w:sz w:val="17"/>
          <w:szCs w:val="17"/>
          <w:color w:val="auto"/>
        </w:rPr>
        <w:t>The Commitment Amount and/or its corresponding parts (if any) will be noted in the Table of Terms (“</w:t>
      </w:r>
      <w:r>
        <w:rPr>
          <w:rFonts w:ascii="Arial" w:cs="Arial" w:eastAsia="Arial" w:hAnsi="Arial"/>
          <w:sz w:val="17"/>
          <w:szCs w:val="17"/>
          <w:b w:val="1"/>
          <w:bCs w:val="1"/>
          <w:color w:val="auto"/>
        </w:rPr>
        <w:t>Parts</w:t>
      </w:r>
      <w:r>
        <w:rPr>
          <w:rFonts w:ascii="Arial" w:cs="Arial" w:eastAsia="Arial" w:hAnsi="Arial"/>
          <w:sz w:val="17"/>
          <w:szCs w:val="17"/>
          <w:color w:val="auto"/>
        </w:rPr>
        <w:t>”). For purposes of this Agreement, references to the Commitment Amount shall mean the Part or Parts which are available and in effect. Certain terms or conditions associated with the availability of such Part are listed in the Table of Terms. As to any Part that is available “</w:t>
      </w:r>
      <w:r>
        <w:rPr>
          <w:rFonts w:ascii="Arial" w:cs="Arial" w:eastAsia="Arial" w:hAnsi="Arial"/>
          <w:sz w:val="17"/>
          <w:szCs w:val="17"/>
          <w:b w:val="1"/>
          <w:bCs w:val="1"/>
          <w:color w:val="auto"/>
        </w:rPr>
        <w:t>Upon Request and Additional Approval</w:t>
      </w:r>
      <w:r>
        <w:rPr>
          <w:rFonts w:ascii="Arial" w:cs="Arial" w:eastAsia="Arial" w:hAnsi="Arial"/>
          <w:sz w:val="17"/>
          <w:szCs w:val="17"/>
          <w:color w:val="auto"/>
        </w:rPr>
        <w:t>”, You are required to make a request to utilize that additional Part in writing to Us (the “</w:t>
      </w:r>
      <w:r>
        <w:rPr>
          <w:rFonts w:ascii="Arial" w:cs="Arial" w:eastAsia="Arial" w:hAnsi="Arial"/>
          <w:sz w:val="17"/>
          <w:szCs w:val="17"/>
          <w:b w:val="1"/>
          <w:bCs w:val="1"/>
          <w:color w:val="auto"/>
        </w:rPr>
        <w:t>Commitment Increase Request Notice</w:t>
      </w:r>
      <w:r>
        <w:rPr>
          <w:rFonts w:ascii="Arial" w:cs="Arial" w:eastAsia="Arial" w:hAnsi="Arial"/>
          <w:sz w:val="17"/>
          <w:szCs w:val="17"/>
          <w:color w:val="auto"/>
        </w:rPr>
        <w:t>”), prior to Your submission of a corresponding Advance Request. After Our receipt of the Commitment Increase Request Notice, We will review the information available to Us and conduct any legal and business due diligence deemed necessary by Us in connection with Our attempt to obtain Our requisite credit approvals and such approval shall be in Our sole discretion. Our agreement to consider providing the additional Part is not, and is not to be construed as, a commitment, offer, or agreement to provide such additional Part.</w:t>
      </w:r>
    </w:p>
    <w:p>
      <w:pPr>
        <w:spacing w:after="0" w:line="177" w:lineRule="exact"/>
        <w:rPr>
          <w:sz w:val="20"/>
          <w:szCs w:val="20"/>
          <w:color w:val="auto"/>
        </w:rPr>
      </w:pPr>
    </w:p>
    <w:p>
      <w:pPr>
        <w:ind w:left="10" w:right="20"/>
        <w:spacing w:after="0" w:line="276" w:lineRule="auto"/>
        <w:rPr>
          <w:sz w:val="20"/>
          <w:szCs w:val="20"/>
          <w:color w:val="auto"/>
        </w:rPr>
      </w:pPr>
      <w:r>
        <w:rPr>
          <w:rFonts w:ascii="Arial" w:cs="Arial" w:eastAsia="Arial" w:hAnsi="Arial"/>
          <w:sz w:val="17"/>
          <w:szCs w:val="17"/>
          <w:b w:val="1"/>
          <w:bCs w:val="1"/>
          <w:color w:val="auto"/>
        </w:rPr>
        <w:t xml:space="preserve">Part 1 Milestone: </w:t>
      </w:r>
      <w:r>
        <w:rPr>
          <w:rFonts w:ascii="Arial" w:cs="Arial" w:eastAsia="Arial" w:hAnsi="Arial"/>
          <w:sz w:val="17"/>
          <w:szCs w:val="17"/>
          <w:color w:val="auto"/>
        </w:rPr>
        <w:t>The availability of the Part 1 Commitment Amount is as follows: (a) an initial $5,000,000 of the Part 1 Commitment Amount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subject to confirmation satisfactory to Us that You have completed the Part 1 Milestone, as determined in Our sole discretion (“Tranche A”) and (b) the remaining $5,000,000 of the Part 1 Commitment Amount shall be available upon confirmation in writing that subsequent to the Closing Date the Department of Veteran Affairs has awarded to You the the contract related to the Million Veteran Program (the “VA Contract”) or Upon Request and Additional Approval in the event You are not awarded the VA Contract (“Tranche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98944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430" w:hanging="430"/>
        <w:spacing w:after="0"/>
        <w:tabs>
          <w:tab w:leader="none" w:pos="430" w:val="left"/>
        </w:tabs>
        <w:numPr>
          <w:ilvl w:val="0"/>
          <w:numId w:val="62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YOU REQUEST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6"/>
          <w:szCs w:val="16"/>
          <w:color w:val="auto"/>
        </w:rPr>
        <w:t>In addition to the requirements of Section 5 set forth below, You agree to follow the procedures listed below to have Us extend an Advance to You:</w:t>
      </w:r>
    </w:p>
    <w:p>
      <w:pPr>
        <w:spacing w:after="0" w:line="149" w:lineRule="exact"/>
        <w:rPr>
          <w:sz w:val="20"/>
          <w:szCs w:val="20"/>
          <w:color w:val="auto"/>
        </w:rPr>
      </w:pPr>
    </w:p>
    <w:p>
      <w:pPr>
        <w:ind w:left="430" w:right="400" w:hanging="322"/>
        <w:spacing w:after="0" w:line="281" w:lineRule="auto"/>
        <w:tabs>
          <w:tab w:leader="none" w:pos="43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You will submit to Us (by facsimile, mail or electronic mail) a completed Advance Request in the form attached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signed by Your Chief Executive Officer, President or Vice President-Finance. The Advance Request shall be irrevocable.</w:t>
      </w:r>
    </w:p>
    <w:p>
      <w:pPr>
        <w:spacing w:after="0" w:line="68" w:lineRule="exact"/>
        <w:rPr>
          <w:rFonts w:ascii="Arial" w:cs="Arial" w:eastAsia="Arial" w:hAnsi="Arial"/>
          <w:sz w:val="18"/>
          <w:szCs w:val="18"/>
          <w:color w:val="auto"/>
        </w:rPr>
      </w:pPr>
    </w:p>
    <w:p>
      <w:pPr>
        <w:ind w:left="430" w:right="460" w:hanging="322"/>
        <w:spacing w:after="0" w:line="347" w:lineRule="auto"/>
        <w:tabs>
          <w:tab w:leader="none" w:pos="43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 xml:space="preserve">Such Advance Request must be submitted and received by Us no later than 5:00 p.m. PT </w:t>
      </w:r>
      <w:r>
        <w:rPr>
          <w:rFonts w:ascii="Arial" w:cs="Arial" w:eastAsia="Arial" w:hAnsi="Arial"/>
          <w:sz w:val="16"/>
          <w:szCs w:val="16"/>
          <w:b w:val="1"/>
          <w:bCs w:val="1"/>
          <w:color w:val="auto"/>
        </w:rPr>
        <w:t>five (5)</w:t>
      </w:r>
      <w:r>
        <w:rPr>
          <w:rFonts w:ascii="Arial" w:cs="Arial" w:eastAsia="Arial" w:hAnsi="Arial"/>
          <w:sz w:val="16"/>
          <w:szCs w:val="16"/>
          <w:color w:val="auto"/>
        </w:rPr>
        <w:t xml:space="preserve"> Business Days prior to the last day of the applicable Availability Period. Any Advance Request submitted after 5:00 p.m. PT shall be considered received the following Business Day.</w:t>
      </w:r>
    </w:p>
    <w:p>
      <w:pPr>
        <w:spacing w:after="0" w:line="21" w:lineRule="exact"/>
        <w:rPr>
          <w:rFonts w:ascii="Arial" w:cs="Arial" w:eastAsia="Arial" w:hAnsi="Arial"/>
          <w:sz w:val="16"/>
          <w:szCs w:val="16"/>
          <w:color w:val="auto"/>
        </w:rPr>
      </w:pPr>
    </w:p>
    <w:p>
      <w:pPr>
        <w:ind w:left="430" w:right="120" w:hanging="322"/>
        <w:spacing w:after="0" w:line="281" w:lineRule="auto"/>
        <w:tabs>
          <w:tab w:leader="none" w:pos="43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Each Advance Request will state a requested funding date that is at least </w:t>
      </w:r>
      <w:r>
        <w:rPr>
          <w:rFonts w:ascii="Arial" w:cs="Arial" w:eastAsia="Arial" w:hAnsi="Arial"/>
          <w:sz w:val="18"/>
          <w:szCs w:val="18"/>
          <w:b w:val="1"/>
          <w:bCs w:val="1"/>
          <w:color w:val="auto"/>
        </w:rPr>
        <w:t>five (5)</w:t>
      </w:r>
      <w:r>
        <w:rPr>
          <w:rFonts w:ascii="Arial" w:cs="Arial" w:eastAsia="Arial" w:hAnsi="Arial"/>
          <w:sz w:val="18"/>
          <w:szCs w:val="18"/>
          <w:color w:val="auto"/>
        </w:rPr>
        <w:t xml:space="preserve"> Business Days after the date such Advance Request is submitted to Us.</w:t>
      </w:r>
    </w:p>
    <w:p>
      <w:pPr>
        <w:spacing w:after="0" w:line="167" w:lineRule="exact"/>
        <w:rPr>
          <w:sz w:val="20"/>
          <w:szCs w:val="20"/>
          <w:color w:val="auto"/>
        </w:rPr>
      </w:pPr>
    </w:p>
    <w:p>
      <w:pPr>
        <w:ind w:left="10" w:right="180"/>
        <w:spacing w:after="0" w:line="263" w:lineRule="auto"/>
        <w:rPr>
          <w:sz w:val="20"/>
          <w:szCs w:val="20"/>
          <w:color w:val="auto"/>
        </w:rPr>
      </w:pPr>
      <w:r>
        <w:rPr>
          <w:rFonts w:ascii="Arial" w:cs="Arial" w:eastAsia="Arial" w:hAnsi="Arial"/>
          <w:sz w:val="18"/>
          <w:szCs w:val="18"/>
          <w:color w:val="auto"/>
        </w:rPr>
        <w:t>After We check and approve the information You provide in the Advance Request, upon Your initial Advance Request, We will prepare and provide to You a Promissory Note for Your signature. Upon receipt of the Promissory Note signed by Your authorized officer and confirmation by Us that all conditions to funding an Advance have been met, We will then advance the requested funds to You.</w:t>
      </w:r>
    </w:p>
    <w:p>
      <w:pPr>
        <w:spacing w:after="0" w:line="183" w:lineRule="exact"/>
        <w:rPr>
          <w:sz w:val="20"/>
          <w:szCs w:val="20"/>
          <w:color w:val="auto"/>
        </w:rPr>
      </w:pPr>
    </w:p>
    <w:p>
      <w:pPr>
        <w:ind w:left="10" w:right="40"/>
        <w:spacing w:after="0" w:line="259" w:lineRule="auto"/>
        <w:rPr>
          <w:sz w:val="20"/>
          <w:szCs w:val="20"/>
          <w:color w:val="auto"/>
        </w:rPr>
      </w:pPr>
      <w:r>
        <w:rPr>
          <w:rFonts w:ascii="Arial" w:cs="Arial" w:eastAsia="Arial" w:hAnsi="Arial"/>
          <w:sz w:val="18"/>
          <w:szCs w:val="18"/>
          <w:color w:val="auto"/>
        </w:rPr>
        <w:t>All the terms, conditions, and covenants of this Agreement shall apply to all Advances whether or not each Advance is evidenced by a Promissory Note. You agree that We may rely on, and shall be fully protected in relying upon, any notice or Advance Request given by any person We reasonably believe to be Your authorized representative without the necessity of Our conducting an independent investigation, including Your contact person listed in the Table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98944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6" w:lineRule="exact"/>
        <w:rPr>
          <w:sz w:val="20"/>
          <w:szCs w:val="20"/>
          <w:color w:val="auto"/>
        </w:rPr>
      </w:pPr>
    </w:p>
    <w:p>
      <w:pPr>
        <w:ind w:left="430" w:hanging="430"/>
        <w:spacing w:after="0"/>
        <w:tabs>
          <w:tab w:leader="none" w:pos="430" w:val="left"/>
        </w:tabs>
        <w:numPr>
          <w:ilvl w:val="0"/>
          <w:numId w:val="62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FOR US TO MAKE LOANS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right="80"/>
        <w:spacing w:after="0" w:line="277" w:lineRule="auto"/>
        <w:rPr>
          <w:sz w:val="20"/>
          <w:szCs w:val="20"/>
          <w:color w:val="auto"/>
        </w:rPr>
      </w:pPr>
      <w:r>
        <w:rPr>
          <w:rFonts w:ascii="Arial" w:cs="Arial" w:eastAsia="Arial" w:hAnsi="Arial"/>
          <w:sz w:val="18"/>
          <w:szCs w:val="18"/>
          <w:color w:val="auto"/>
        </w:rPr>
        <w:t>Our obligation to fund any Advance that You request under this Agreement is subject to satisfaction of each of the conditions set forth in Sections 4 and 18 and each of the following conditions:</w:t>
      </w:r>
    </w:p>
    <w:p>
      <w:pPr>
        <w:spacing w:after="0" w:line="75" w:lineRule="exact"/>
        <w:rPr>
          <w:sz w:val="20"/>
          <w:szCs w:val="20"/>
          <w:color w:val="auto"/>
        </w:rPr>
      </w:pPr>
    </w:p>
    <w:p>
      <w:pPr>
        <w:ind w:left="870" w:hanging="330"/>
        <w:spacing w:after="0" w:line="254" w:lineRule="auto"/>
        <w:tabs>
          <w:tab w:leader="none" w:pos="87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and in the Warrant Agreement shall be true, complete and correct in all material respects on and as of the date(s) We fund each Advance with the same effect as though they were made on and as of such date, except to the extent such representations and warranties expressly relate to an earlier date, in which case they shall remain true, complete and correct in all material respects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materiality qualifiers shall not be applicable to any representations and warranties that already are qualified or modified by materiality in the text thereof. Each Advance Request will constitute Your representation and warranty on the relevant Advance Date as to the matters provided in Sections 11 and 12 and as to the matters set forth in the Advance Request.</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339" w:right="439" w:bottom="1440" w:gutter="0" w:footer="0" w:header="0"/>
        </w:sectPr>
      </w:pPr>
    </w:p>
    <w:bookmarkStart w:id="627" w:name="page628"/>
    <w:bookmarkEnd w:id="627"/>
    <w:p>
      <w:pPr>
        <w:ind w:left="870" w:hanging="330"/>
        <w:spacing w:after="0" w:line="259" w:lineRule="auto"/>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shall be in compliance with all the terms and provisions set forth in this Agreement, each Promissory Note and each other Loan Document, and at the time of and immediately after such Advance: (a) no Default or Event of Default shall have occurred and be continuing, and (b) no fact or conditions shall exist that would (or would with the passage of time, the giving of notice, or both) constitute a Default or an Event of Default under this Agreement or any other Loan Document.</w:t>
      </w:r>
    </w:p>
    <w:p>
      <w:pPr>
        <w:spacing w:after="0" w:line="91" w:lineRule="exact"/>
        <w:rPr>
          <w:rFonts w:ascii="Arial" w:cs="Arial" w:eastAsia="Arial" w:hAnsi="Arial"/>
          <w:sz w:val="18"/>
          <w:szCs w:val="18"/>
          <w:color w:val="auto"/>
        </w:rPr>
      </w:pPr>
    </w:p>
    <w:p>
      <w:pPr>
        <w:ind w:left="870" w:right="120" w:hanging="330"/>
        <w:spacing w:after="0" w:line="277" w:lineRule="auto"/>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You shall provide Us with all appropriate assignments, notices and control agreements that are necessary or desirable to perfect or maintain Our first priority Lien in all of the Collateral.</w:t>
      </w:r>
    </w:p>
    <w:p>
      <w:pPr>
        <w:spacing w:after="0" w:line="75" w:lineRule="exact"/>
        <w:rPr>
          <w:rFonts w:ascii="Arial" w:cs="Arial" w:eastAsia="Arial" w:hAnsi="Arial"/>
          <w:sz w:val="18"/>
          <w:szCs w:val="18"/>
          <w:color w:val="auto"/>
        </w:rPr>
      </w:pPr>
    </w:p>
    <w:p>
      <w:pPr>
        <w:ind w:left="870" w:right="220" w:hanging="330"/>
        <w:spacing w:after="0" w:line="277" w:lineRule="auto"/>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You shall have paid to Us the entire amount of the Facility Fee then due and payable as indicated in the Table of Terms relating to the Part under which such Advance is funded.</w:t>
      </w:r>
    </w:p>
    <w:p>
      <w:pPr>
        <w:spacing w:after="0" w:line="75" w:lineRule="exact"/>
        <w:rPr>
          <w:rFonts w:ascii="Arial" w:cs="Arial" w:eastAsia="Arial" w:hAnsi="Arial"/>
          <w:sz w:val="18"/>
          <w:szCs w:val="18"/>
          <w:color w:val="auto"/>
        </w:rPr>
      </w:pPr>
    </w:p>
    <w:p>
      <w:pPr>
        <w:ind w:left="870" w:hanging="330"/>
        <w:spacing w:after="0"/>
        <w:tabs>
          <w:tab w:leader="none" w:pos="870" w:val="left"/>
        </w:tabs>
        <w:numPr>
          <w:ilvl w:val="1"/>
          <w:numId w:val="629"/>
        </w:numPr>
        <w:rPr>
          <w:rFonts w:ascii="Arial" w:cs="Arial" w:eastAsia="Arial" w:hAnsi="Arial"/>
          <w:sz w:val="17"/>
          <w:szCs w:val="17"/>
          <w:color w:val="auto"/>
        </w:rPr>
      </w:pPr>
      <w:r>
        <w:rPr>
          <w:rFonts w:ascii="Arial" w:cs="Arial" w:eastAsia="Arial" w:hAnsi="Arial"/>
          <w:sz w:val="17"/>
          <w:szCs w:val="17"/>
          <w:color w:val="auto"/>
        </w:rPr>
        <w:t>No event or circumstance shall exist or have occurred that has had or could reasonably be expected to have a Material Adverse Effect.</w:t>
      </w:r>
    </w:p>
    <w:p>
      <w:pPr>
        <w:spacing w:after="0" w:line="141" w:lineRule="exact"/>
        <w:rPr>
          <w:rFonts w:ascii="Arial" w:cs="Arial" w:eastAsia="Arial" w:hAnsi="Arial"/>
          <w:sz w:val="17"/>
          <w:szCs w:val="17"/>
          <w:color w:val="auto"/>
        </w:rPr>
      </w:pPr>
    </w:p>
    <w:p>
      <w:pPr>
        <w:ind w:left="870" w:hanging="330"/>
        <w:spacing w:after="0"/>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You shall have delivered to Us the Warrant Agreement.</w:t>
      </w:r>
    </w:p>
    <w:p>
      <w:pPr>
        <w:spacing w:after="0" w:line="130" w:lineRule="exact"/>
        <w:rPr>
          <w:rFonts w:ascii="Arial" w:cs="Arial" w:eastAsia="Arial" w:hAnsi="Arial"/>
          <w:sz w:val="18"/>
          <w:szCs w:val="18"/>
          <w:color w:val="auto"/>
        </w:rPr>
      </w:pPr>
    </w:p>
    <w:p>
      <w:pPr>
        <w:ind w:left="870" w:right="500" w:hanging="330"/>
        <w:spacing w:after="0" w:line="277" w:lineRule="auto"/>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 xml:space="preserve">We shall have received all of the agreements, documents, instruments and other items set forth in the Schedule of Documents attached hereto as </w:t>
      </w:r>
      <w:r>
        <w:rPr>
          <w:rFonts w:ascii="Arial" w:cs="Arial" w:eastAsia="Arial" w:hAnsi="Arial"/>
          <w:sz w:val="18"/>
          <w:szCs w:val="18"/>
          <w:b w:val="1"/>
          <w:bCs w:val="1"/>
          <w:color w:val="auto"/>
        </w:rPr>
        <w:t>Schedule 2</w:t>
      </w:r>
      <w:r>
        <w:rPr>
          <w:rFonts w:ascii="Arial" w:cs="Arial" w:eastAsia="Arial" w:hAnsi="Arial"/>
          <w:sz w:val="18"/>
          <w:szCs w:val="18"/>
          <w:color w:val="auto"/>
        </w:rPr>
        <w:t>, each in form and substance reasonably satisfactory to Us.</w:t>
      </w:r>
    </w:p>
    <w:p>
      <w:pPr>
        <w:spacing w:after="0" w:line="75" w:lineRule="exact"/>
        <w:rPr>
          <w:rFonts w:ascii="Arial" w:cs="Arial" w:eastAsia="Arial" w:hAnsi="Arial"/>
          <w:sz w:val="18"/>
          <w:szCs w:val="18"/>
          <w:color w:val="auto"/>
        </w:rPr>
      </w:pPr>
    </w:p>
    <w:p>
      <w:pPr>
        <w:ind w:left="870" w:right="240" w:hanging="330"/>
        <w:spacing w:after="0" w:line="277" w:lineRule="auto"/>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We shall have received certificates of insurance, endorsements and other documents evidencing Your compliance with Section 10 in form and substance reasonably acceptable to Us.</w:t>
      </w:r>
    </w:p>
    <w:p>
      <w:pPr>
        <w:spacing w:after="0" w:line="75" w:lineRule="exact"/>
        <w:rPr>
          <w:rFonts w:ascii="Arial" w:cs="Arial" w:eastAsia="Arial" w:hAnsi="Arial"/>
          <w:sz w:val="18"/>
          <w:szCs w:val="18"/>
          <w:color w:val="auto"/>
        </w:rPr>
      </w:pPr>
    </w:p>
    <w:p>
      <w:pPr>
        <w:ind w:left="870" w:hanging="330"/>
        <w:spacing w:after="0"/>
        <w:tabs>
          <w:tab w:leader="none" w:pos="87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You shall submit to Us any other documents and other information that We may request.</w:t>
      </w:r>
    </w:p>
    <w:p>
      <w:pPr>
        <w:spacing w:after="0" w:line="342" w:lineRule="exact"/>
        <w:rPr>
          <w:rFonts w:ascii="Arial" w:cs="Arial" w:eastAsia="Arial" w:hAnsi="Arial"/>
          <w:sz w:val="18"/>
          <w:szCs w:val="18"/>
          <w:color w:val="auto"/>
        </w:rPr>
      </w:pPr>
    </w:p>
    <w:p>
      <w:pPr>
        <w:ind w:left="430" w:hanging="430"/>
        <w:spacing w:after="0"/>
        <w:tabs>
          <w:tab w:leader="none" w:pos="430"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YOU MAY PREPAY YOUR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989445"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9894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right="40"/>
        <w:spacing w:after="0" w:line="301" w:lineRule="auto"/>
        <w:rPr>
          <w:sz w:val="20"/>
          <w:szCs w:val="20"/>
          <w:color w:val="auto"/>
        </w:rPr>
      </w:pPr>
      <w:r>
        <w:rPr>
          <w:rFonts w:ascii="Arial" w:cs="Arial" w:eastAsia="Arial" w:hAnsi="Arial"/>
          <w:sz w:val="16"/>
          <w:szCs w:val="16"/>
          <w:color w:val="auto"/>
        </w:rPr>
        <w:t>You may at any time prepay any amounts outstanding under all of the Promissory Notes in part or in full, without premium or penalty, by paying: (a) the principal amount being prepaid and all accrued interest calculated as if the date of such prepayment occurred on the next scheduled monthly payment date per the respective Promissory Notes, (b) the End of Term Payment, prorated for any partial payment, and (c) all other Secured Obligations, if any, that shall have become due and payable, including interest at the Default Rate with respect to any past due amounts as of the date of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89445"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40" w:lineRule="exact"/>
        <w:rPr>
          <w:sz w:val="20"/>
          <w:szCs w:val="20"/>
          <w:color w:val="auto"/>
        </w:rPr>
      </w:pPr>
    </w:p>
    <w:p>
      <w:pPr>
        <w:ind w:left="430" w:hanging="430"/>
        <w:spacing w:after="0"/>
        <w:tabs>
          <w:tab w:leader="none" w:pos="43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THE MAXIMUM RATE OF INTEREST; 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right="20"/>
        <w:spacing w:after="0" w:line="276" w:lineRule="auto"/>
        <w:rPr>
          <w:sz w:val="20"/>
          <w:szCs w:val="20"/>
          <w:color w:val="auto"/>
        </w:rPr>
      </w:pPr>
      <w:r>
        <w:rPr>
          <w:rFonts w:ascii="Arial" w:cs="Arial" w:eastAsia="Arial" w:hAnsi="Arial"/>
          <w:sz w:val="17"/>
          <w:szCs w:val="17"/>
          <w:b w:val="1"/>
          <w:bCs w:val="1"/>
          <w:color w:val="auto"/>
        </w:rPr>
        <w:t xml:space="preserve">Maximum Rate of Interest. </w:t>
      </w:r>
      <w:r>
        <w:rPr>
          <w:rFonts w:ascii="Arial" w:cs="Arial" w:eastAsia="Arial" w:hAnsi="Arial"/>
          <w:sz w:val="17"/>
          <w:szCs w:val="17"/>
          <w:color w:val="auto"/>
        </w:rPr>
        <w:t>It is not Our intent to receive interest at a rate greater than the maximum rate permissible by law, which We shall call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“maximum rate”. If a court determines You have actually paid Us interest based on a rate that exceeds the maximum rate, then We shall apply the excess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the outstanding principal amount of the Secured Obligations;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after all principal is repaid, to the payment of Our accrued interest and any other principal, interest, fees, costs or other amounts owed by You to Us in respect of the Secured Obligations; and </w:t>
      </w:r>
      <w:r>
        <w:rPr>
          <w:rFonts w:ascii="Arial" w:cs="Arial" w:eastAsia="Arial" w:hAnsi="Arial"/>
          <w:sz w:val="17"/>
          <w:szCs w:val="17"/>
          <w:u w:val="single" w:color="auto"/>
          <w:color w:val="auto"/>
        </w:rPr>
        <w:t>third</w:t>
      </w:r>
      <w:r>
        <w:rPr>
          <w:rFonts w:ascii="Arial" w:cs="Arial" w:eastAsia="Arial" w:hAnsi="Arial"/>
          <w:sz w:val="17"/>
          <w:szCs w:val="17"/>
          <w:color w:val="auto"/>
        </w:rPr>
        <w:t>, after all amounts owed by You to Us are repaid, the excess (if any) shall be refunded to You.</w:t>
      </w:r>
    </w:p>
    <w:p>
      <w:pPr>
        <w:spacing w:after="0" w:line="171" w:lineRule="exact"/>
        <w:rPr>
          <w:sz w:val="20"/>
          <w:szCs w:val="20"/>
          <w:color w:val="auto"/>
        </w:rPr>
      </w:pPr>
    </w:p>
    <w:p>
      <w:pPr>
        <w:ind w:left="10" w:right="80"/>
        <w:spacing w:after="0" w:line="314" w:lineRule="auto"/>
        <w:rPr>
          <w:sz w:val="20"/>
          <w:szCs w:val="20"/>
          <w:color w:val="auto"/>
        </w:rPr>
      </w:pPr>
      <w:r>
        <w:rPr>
          <w:rFonts w:ascii="Arial" w:cs="Arial" w:eastAsia="Arial" w:hAnsi="Arial"/>
          <w:sz w:val="16"/>
          <w:szCs w:val="16"/>
          <w:b w:val="1"/>
          <w:bCs w:val="1"/>
          <w:color w:val="auto"/>
        </w:rPr>
        <w:t xml:space="preserve">Default Interest. </w:t>
      </w:r>
      <w:r>
        <w:rPr>
          <w:rFonts w:ascii="Arial" w:cs="Arial" w:eastAsia="Arial" w:hAnsi="Arial"/>
          <w:sz w:val="16"/>
          <w:szCs w:val="16"/>
          <w:color w:val="auto"/>
        </w:rPr>
        <w:t>In the event that You do not pay any interest when due, delinquent interest shall be added to principal and shall bear interest on</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compounded at the rate set forth in the Table of Terms. Upon and during an Event of Default, all principal, interest or other amounts owed by You to Us shall bear interest at a rate per annum equal to the rate set forth in the Table of Terms plus five percent (5%) per annum (the “</w:t>
      </w:r>
      <w:r>
        <w:rPr>
          <w:rFonts w:ascii="Arial" w:cs="Arial" w:eastAsia="Arial" w:hAnsi="Arial"/>
          <w:sz w:val="16"/>
          <w:szCs w:val="16"/>
          <w:b w:val="1"/>
          <w:bCs w:val="1"/>
          <w:color w:val="auto"/>
        </w:rPr>
        <w:t>Default Rate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698944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6" w:lineRule="exact"/>
        <w:rPr>
          <w:sz w:val="20"/>
          <w:szCs w:val="20"/>
          <w:color w:val="auto"/>
        </w:rPr>
      </w:pPr>
    </w:p>
    <w:p>
      <w:pPr>
        <w:ind w:left="430" w:hanging="430"/>
        <w:spacing w:after="0"/>
        <w:tabs>
          <w:tab w:leader="none" w:pos="430"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YOU GRANT US A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right="20"/>
        <w:spacing w:after="0" w:line="277" w:lineRule="auto"/>
        <w:rPr>
          <w:sz w:val="20"/>
          <w:szCs w:val="20"/>
          <w:color w:val="auto"/>
        </w:rPr>
      </w:pPr>
      <w:r>
        <w:rPr>
          <w:rFonts w:ascii="Arial" w:cs="Arial" w:eastAsia="Arial" w:hAnsi="Arial"/>
          <w:sz w:val="18"/>
          <w:szCs w:val="18"/>
          <w:color w:val="auto"/>
        </w:rPr>
        <w:t>Each of You grants to Us a first priority, continuing security interest in and Lien upon all of Your right, title and interest in each of the following whether now owned or hereinafter acquired and wherever located:</w:t>
      </w:r>
    </w:p>
    <w:p>
      <w:pPr>
        <w:spacing w:after="0" w:line="75" w:lineRule="exact"/>
        <w:rPr>
          <w:sz w:val="20"/>
          <w:szCs w:val="20"/>
          <w:color w:val="auto"/>
        </w:rPr>
      </w:pPr>
    </w:p>
    <w:p>
      <w:pPr>
        <w:ind w:left="430" w:hanging="322"/>
        <w:spacing w:after="0"/>
        <w:tabs>
          <w:tab w:leader="none" w:pos="43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Receivables;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4" w:right="439" w:bottom="1440" w:gutter="0" w:footer="0" w:header="0"/>
        </w:sectPr>
      </w:pPr>
    </w:p>
    <w:bookmarkStart w:id="628" w:name="page629"/>
    <w:bookmarkEnd w:id="628"/>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General Intangibles;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Cash;</w:t>
      </w:r>
    </w:p>
    <w:p>
      <w:pPr>
        <w:spacing w:after="0" w:line="126" w:lineRule="exact"/>
        <w:rPr>
          <w:rFonts w:ascii="Arial" w:cs="Arial" w:eastAsia="Arial" w:hAnsi="Arial"/>
          <w:sz w:val="18"/>
          <w:szCs w:val="18"/>
          <w:color w:val="auto"/>
        </w:rPr>
      </w:pPr>
    </w:p>
    <w:p>
      <w:pPr>
        <w:ind w:left="430" w:hanging="322"/>
        <w:spacing w:after="0"/>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 xml:space="preserve">All commercial tort claims, if any, as listed on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30" w:right="160" w:hanging="322"/>
        <w:spacing w:after="0" w:line="277" w:lineRule="auto"/>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Goods and personal property, whether tangible or intangible and whether now or hereinafter owned or existing, leased, consigned by or to or acquired and wherever located; and</w:t>
      </w:r>
    </w:p>
    <w:p>
      <w:pPr>
        <w:spacing w:after="0" w:line="75" w:lineRule="exact"/>
        <w:rPr>
          <w:rFonts w:ascii="Arial" w:cs="Arial" w:eastAsia="Arial" w:hAnsi="Arial"/>
          <w:sz w:val="18"/>
          <w:szCs w:val="18"/>
          <w:color w:val="auto"/>
        </w:rPr>
      </w:pPr>
    </w:p>
    <w:p>
      <w:pPr>
        <w:ind w:left="430" w:right="100" w:hanging="322"/>
        <w:spacing w:after="0" w:line="277" w:lineRule="auto"/>
        <w:tabs>
          <w:tab w:leader="none" w:pos="4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of each of the foregoing and all accessions to, substitutions and replacements for, rents, profits, and products of each of the foregoing.</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All the above listed items will be collectively called the “Collateral”.</w:t>
      </w:r>
    </w:p>
    <w:p>
      <w:pPr>
        <w:spacing w:after="0" w:line="225" w:lineRule="exact"/>
        <w:rPr>
          <w:sz w:val="20"/>
          <w:szCs w:val="20"/>
          <w:color w:val="auto"/>
        </w:rPr>
      </w:pPr>
    </w:p>
    <w:p>
      <w:pPr>
        <w:ind w:left="10" w:right="20"/>
        <w:spacing w:after="0" w:line="254" w:lineRule="auto"/>
        <w:rPr>
          <w:sz w:val="20"/>
          <w:szCs w:val="20"/>
          <w:color w:val="auto"/>
        </w:rPr>
      </w:pPr>
      <w:r>
        <w:rPr>
          <w:rFonts w:ascii="Arial" w:cs="Arial" w:eastAsia="Arial" w:hAnsi="Arial"/>
          <w:sz w:val="18"/>
          <w:szCs w:val="18"/>
          <w:color w:val="auto"/>
        </w:rPr>
        <w:t xml:space="preserve">Notwithstanding the above, Collateral excludes Intellectual Property currently held or hereafter obtained, but includes Proceeds of Intellectual Property (including but not limited to all Receivables, rights to payment and General Intangibles arising from the sale, licensing or disposition of all or any part of, or rights in,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other than non-exclusive licenses or non-perpetual exclusive licenses with respect to geographic area, fields of use and customized products for specific customers that would not result in a transfer of title of the licensed property under applicable law, all given in the ordinary course of Your business, in the event any of You transfer, sell, assign, grant a security interest in, hypothecate, permit or suffer to exist any Lien, or otherwise transfer any interest in or encumber any portion of the Intellectual Property, either voluntarily or involuntarily, without Our prior written consent, Our security interest shall include (and shall be deemed to have a Lien in such assets included from the Closing Date) all Intellectual Property.</w:t>
      </w:r>
    </w:p>
    <w:p>
      <w:pPr>
        <w:spacing w:after="0" w:line="190" w:lineRule="exact"/>
        <w:rPr>
          <w:sz w:val="20"/>
          <w:szCs w:val="20"/>
          <w:color w:val="auto"/>
        </w:rPr>
      </w:pPr>
    </w:p>
    <w:p>
      <w:pPr>
        <w:ind w:left="10"/>
        <w:spacing w:after="0" w:line="271" w:lineRule="auto"/>
        <w:rPr>
          <w:sz w:val="20"/>
          <w:szCs w:val="20"/>
          <w:color w:val="auto"/>
        </w:rPr>
      </w:pPr>
      <w:r>
        <w:rPr>
          <w:rFonts w:ascii="Arial" w:cs="Arial" w:eastAsia="Arial" w:hAnsi="Arial"/>
          <w:sz w:val="17"/>
          <w:szCs w:val="17"/>
          <w:color w:val="auto"/>
        </w:rPr>
        <w:t>As of September 1, 2017, You may enter into a Working Capital Loan Facility (defined below) so long as the aggregate outstanding obligations and liabilities thereunder (including advances, bank services, letters of credit, contingent obligations and the like) at no time exceed $5,000,000 upon receipt and review by Us of the final documentation relating to such Working Capital Loan Facility and execution of an intercreditor agreement between Us and the lender under the Working Capital Loan Facility, with terms acceptable to Us. As used in this Agreement “</w:t>
      </w:r>
      <w:r>
        <w:rPr>
          <w:rFonts w:ascii="Arial" w:cs="Arial" w:eastAsia="Arial" w:hAnsi="Arial"/>
          <w:sz w:val="17"/>
          <w:szCs w:val="17"/>
          <w:b w:val="1"/>
          <w:bCs w:val="1"/>
          <w:color w:val="auto"/>
        </w:rPr>
        <w:t>Working Capital Loan Facility</w:t>
      </w:r>
      <w:r>
        <w:rPr>
          <w:rFonts w:ascii="Arial" w:cs="Arial" w:eastAsia="Arial" w:hAnsi="Arial"/>
          <w:sz w:val="17"/>
          <w:szCs w:val="17"/>
          <w:color w:val="auto"/>
        </w:rPr>
        <w:t>” means a revolving line of credit provided by a bank, commercial lender, or other financial institution regularly engaged in the business of lending money (excluding venture capital, investment banking or similar institutions which sometimes engage in lending activities but which are primarily engaged in investments in equity securities) (each, a “</w:t>
      </w:r>
      <w:r>
        <w:rPr>
          <w:rFonts w:ascii="Arial" w:cs="Arial" w:eastAsia="Arial" w:hAnsi="Arial"/>
          <w:sz w:val="17"/>
          <w:szCs w:val="17"/>
          <w:b w:val="1"/>
          <w:bCs w:val="1"/>
          <w:color w:val="auto"/>
        </w:rPr>
        <w:t>Working Capital Lender</w:t>
      </w:r>
      <w:r>
        <w:rPr>
          <w:rFonts w:ascii="Arial" w:cs="Arial" w:eastAsia="Arial" w:hAnsi="Arial"/>
          <w:sz w:val="17"/>
          <w:szCs w:val="17"/>
          <w:color w:val="auto"/>
        </w:rPr>
        <w:t>”), pursuant to which such Working Capital Lender makes advances based on the value of any of Your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6989445"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74" w:lineRule="exact"/>
        <w:rPr>
          <w:sz w:val="20"/>
          <w:szCs w:val="20"/>
          <w:color w:val="auto"/>
        </w:rPr>
      </w:pPr>
    </w:p>
    <w:p>
      <w:pPr>
        <w:ind w:left="430" w:hanging="430"/>
        <w:spacing w:after="0"/>
        <w:tabs>
          <w:tab w:leader="none" w:pos="430"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HOW AND WHAT WILL YOU PAY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spacing w:after="0" w:line="270" w:lineRule="auto"/>
        <w:rPr>
          <w:sz w:val="20"/>
          <w:szCs w:val="20"/>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Except as set forth in Section 7 with respect to interest that accrues at the Default Rate, the principal balance of each Promissory Note shall</w:t>
      </w:r>
      <w:r>
        <w:rPr>
          <w:rFonts w:ascii="Arial" w:cs="Arial" w:eastAsia="Arial" w:hAnsi="Arial"/>
          <w:sz w:val="17"/>
          <w:szCs w:val="17"/>
          <w:b w:val="1"/>
          <w:bCs w:val="1"/>
          <w:color w:val="auto"/>
        </w:rPr>
        <w:t xml:space="preserve"> </w:t>
      </w:r>
      <w:r>
        <w:rPr>
          <w:rFonts w:ascii="Arial" w:cs="Arial" w:eastAsia="Arial" w:hAnsi="Arial"/>
          <w:sz w:val="17"/>
          <w:szCs w:val="17"/>
          <w:color w:val="auto"/>
        </w:rPr>
        <w:t>accrue interest at the percentage per year as indicated in the Table of Terms, and shall be computed daily on the basis of a year consisting of 360 days for the actual number of days occurring in the period for which such interest is payable, and interest shall accrue from the date on which the Advance funded to any of You. Monthly installments of interest shall be payable on the last day of each month through the Revolving Loan Maturity Date (unless that date falls on a weekend or national holiday in which event such payment shall be due on the previous Business Day). In the event that the Prime Rate is changed from time to time during the term of this Agreement, the applicable rate of interest for the outstanding principal balance of the Advances shall be increased or decreased, effective as of the day the Prime Rate is changed, by an amount equal to such change in the Prime Rate. The first payment date for each Advance will be the last day of the month in which the Advance was funded. All outstanding principal and accrued interest shall be due on the Revolving Loan Maturity Date, if not sooner paid in full.</w:t>
      </w:r>
    </w:p>
    <w:p>
      <w:pPr>
        <w:spacing w:after="0" w:line="179" w:lineRule="exact"/>
        <w:rPr>
          <w:sz w:val="20"/>
          <w:szCs w:val="20"/>
          <w:color w:val="auto"/>
        </w:rPr>
      </w:pPr>
    </w:p>
    <w:p>
      <w:pPr>
        <w:ind w:left="10" w:right="40"/>
        <w:spacing w:after="0" w:line="281" w:lineRule="auto"/>
        <w:rPr>
          <w:sz w:val="20"/>
          <w:szCs w:val="20"/>
          <w:color w:val="auto"/>
        </w:rPr>
      </w:pPr>
      <w:r>
        <w:rPr>
          <w:rFonts w:ascii="Arial" w:cs="Arial" w:eastAsia="Arial" w:hAnsi="Arial"/>
          <w:sz w:val="18"/>
          <w:szCs w:val="18"/>
          <w:b w:val="1"/>
          <w:bCs w:val="1"/>
          <w:color w:val="auto"/>
        </w:rPr>
        <w:t xml:space="preserve">Interest Rate Adjustment. </w:t>
      </w:r>
      <w:r>
        <w:rPr>
          <w:rFonts w:ascii="Arial" w:cs="Arial" w:eastAsia="Arial" w:hAnsi="Arial"/>
          <w:sz w:val="18"/>
          <w:szCs w:val="18"/>
          <w:color w:val="auto"/>
        </w:rPr>
        <w:t>Immediately upon execution of a Working Capital Loan Facility the Interest Rate for all outstanding Advances and any new</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shall increase by one percent (1%).</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You shall pay to Us the following fees and expenses:</w:t>
      </w:r>
    </w:p>
    <w:p>
      <w:pPr>
        <w:spacing w:after="0" w:line="130" w:lineRule="exact"/>
        <w:rPr>
          <w:sz w:val="20"/>
          <w:szCs w:val="20"/>
          <w:color w:val="auto"/>
        </w:rPr>
      </w:pPr>
    </w:p>
    <w:p>
      <w:pPr>
        <w:ind w:left="870" w:right="240" w:hanging="330"/>
        <w:spacing w:after="0" w:line="281" w:lineRule="auto"/>
        <w:tabs>
          <w:tab w:leader="none" w:pos="870"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 xml:space="preserve">Facility Fees. </w:t>
      </w:r>
      <w:r>
        <w:rPr>
          <w:rFonts w:ascii="Arial" w:cs="Arial" w:eastAsia="Arial" w:hAnsi="Arial"/>
          <w:sz w:val="18"/>
          <w:szCs w:val="18"/>
          <w:color w:val="auto"/>
        </w:rPr>
        <w:t>On or before the Closing Date, or upon availability of additional Commitment Amounts, as the case may be,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Fee as indicated in the Table of Terms.</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3" w:right="459" w:bottom="1440" w:gutter="0" w:footer="0" w:header="0"/>
        </w:sectPr>
      </w:pPr>
    </w:p>
    <w:bookmarkStart w:id="629" w:name="page630"/>
    <w:bookmarkEnd w:id="629"/>
    <w:p>
      <w:pPr>
        <w:ind w:left="870" w:right="80" w:hanging="330"/>
        <w:spacing w:after="0" w:line="281" w:lineRule="auto"/>
        <w:tabs>
          <w:tab w:leader="none" w:pos="870" w:val="left"/>
        </w:tabs>
        <w:numPr>
          <w:ilvl w:val="0"/>
          <w:numId w:val="6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End of Term Payment. </w:t>
      </w:r>
      <w:r>
        <w:rPr>
          <w:rFonts w:ascii="Arial" w:cs="Arial" w:eastAsia="Arial" w:hAnsi="Arial"/>
          <w:sz w:val="18"/>
          <w:szCs w:val="18"/>
          <w:color w:val="auto"/>
        </w:rPr>
        <w:t>Upon the earlier of the expiration of the Loan Term or last payment date for any Promissory Note, the End of Term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indicated in the Table of Terms.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Re-borrowing. </w:t>
      </w:r>
      <w:r>
        <w:rPr>
          <w:rFonts w:ascii="Arial" w:cs="Arial" w:eastAsia="Arial" w:hAnsi="Arial"/>
          <w:sz w:val="18"/>
          <w:szCs w:val="18"/>
          <w:color w:val="auto"/>
        </w:rPr>
        <w:t>Any amounts that You repay on the Advances may be re-borrowed during the applicable Availability Period.</w:t>
      </w:r>
    </w:p>
    <w:p>
      <w:pPr>
        <w:spacing w:after="0" w:line="225" w:lineRule="exact"/>
        <w:rPr>
          <w:sz w:val="20"/>
          <w:szCs w:val="20"/>
          <w:color w:val="auto"/>
        </w:rPr>
      </w:pPr>
    </w:p>
    <w:p>
      <w:pPr>
        <w:ind w:left="10" w:right="40"/>
        <w:spacing w:after="0" w:line="292" w:lineRule="auto"/>
        <w:rPr>
          <w:sz w:val="20"/>
          <w:szCs w:val="20"/>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Payments are due electronically by automatic debit through Automated Clearing House (ACH) payment on or before the last day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month. You agree to fill out and execute the electronic funds transfer/automatic debit Authorization form that We provide. If We do not receive any payments from You within two (2) Business Days after they are due, You will pay a late charge on the overdue amount. The late charge will be equal to five percent (5%) of the amount due for each month not paid when due and until such time as payment is received. All payments shall be free and clear of any taxes, withholdings, duties, impositions or other charges, to the end that We will receive the entire amount of any Secured Obligations payable under this Agreement, regardless of the source of payment. Any interest not paid when due shall be compounded by becoming a part of the Secured Obligations, and such interest shall then accrue interest at the rate then applicable under this Agreement and the applicable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989445"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61" w:lineRule="exact"/>
        <w:rPr>
          <w:sz w:val="20"/>
          <w:szCs w:val="20"/>
          <w:color w:val="auto"/>
        </w:rPr>
      </w:pPr>
    </w:p>
    <w:p>
      <w:pPr>
        <w:ind w:left="430" w:hanging="430"/>
        <w:spacing w:after="0"/>
        <w:tabs>
          <w:tab w:leader="none" w:pos="430"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line="273" w:lineRule="auto"/>
        <w:rPr>
          <w:sz w:val="20"/>
          <w:szCs w:val="20"/>
          <w:color w:val="auto"/>
        </w:rPr>
      </w:pPr>
      <w:r>
        <w:rPr>
          <w:rFonts w:ascii="Arial" w:cs="Arial" w:eastAsia="Arial" w:hAnsi="Arial"/>
          <w:sz w:val="17"/>
          <w:szCs w:val="17"/>
          <w:color w:val="auto"/>
        </w:rPr>
        <w:t>So long as there are any Secured Obligations outstanding, You shall carry and maintain commercial general liability insurance, against risks customarily insured against in Your line of business. All such insurance shall be in form, with companies, and in amounts reasonably acceptable to Us. Such risks shall include the risks of bodily injury, including death, property damage, personal injury, advertising injury, and contractual liability. You must maintain a minimum of One Million Dollars ($1,000,000) of commercial general liability insurance for each occurrence. So long as there are any Secured Obligations outstanding, You shall also carry and maintain insurance upon the Collateral, insuring against all risks of physical loss or damage howsoever caused, including the perils of fire, windstorm, in an amount not less than the full replacement cost of the Collateral. .</w:t>
      </w:r>
    </w:p>
    <w:p>
      <w:pPr>
        <w:spacing w:after="0" w:line="177" w:lineRule="exact"/>
        <w:rPr>
          <w:sz w:val="20"/>
          <w:szCs w:val="20"/>
          <w:color w:val="auto"/>
        </w:rPr>
      </w:pPr>
    </w:p>
    <w:p>
      <w:pPr>
        <w:ind w:left="10" w:right="700"/>
        <w:spacing w:after="0" w:line="279" w:lineRule="auto"/>
        <w:rPr>
          <w:sz w:val="20"/>
          <w:szCs w:val="20"/>
          <w:color w:val="auto"/>
        </w:rPr>
      </w:pPr>
      <w:r>
        <w:rPr>
          <w:rFonts w:ascii="Arial" w:cs="Arial" w:eastAsia="Arial" w:hAnsi="Arial"/>
          <w:sz w:val="17"/>
          <w:szCs w:val="17"/>
          <w:color w:val="auto"/>
        </w:rPr>
        <w:t>You shall submit to Us certificates of insurance, which reflect Your compliance with Your insurance obligations in the above paragraph and the obligations contained in this Section. Your insurance certificate shall state that We are an additional insured for commercial general liability, an additional insured and a loss payee for all risk property damage insurance. . Attached to the certificates of insurance will be additional insured endorsements for liability and lender’s loss payable endorsements for all risk property damage insurance</w:t>
      </w:r>
    </w:p>
    <w:p>
      <w:pPr>
        <w:spacing w:after="0" w:line="170" w:lineRule="exact"/>
        <w:rPr>
          <w:sz w:val="20"/>
          <w:szCs w:val="20"/>
          <w:color w:val="auto"/>
        </w:rPr>
      </w:pPr>
    </w:p>
    <w:p>
      <w:pPr>
        <w:ind w:left="10" w:right="60"/>
        <w:spacing w:after="0" w:line="279" w:lineRule="auto"/>
        <w:rPr>
          <w:sz w:val="20"/>
          <w:szCs w:val="20"/>
          <w:color w:val="auto"/>
        </w:rPr>
      </w:pPr>
      <w:r>
        <w:rPr>
          <w:rFonts w:ascii="Arial" w:cs="Arial" w:eastAsia="Arial" w:hAnsi="Arial"/>
          <w:sz w:val="17"/>
          <w:szCs w:val="17"/>
          <w:color w:val="auto"/>
        </w:rPr>
        <w:t>The certificates of insurance will state that the commercial general liability coverage evidenced is primary and non-contributory to any insurance or Our self-insurance, and will further state that a waiver of subrogation in favor of Us has been agreed to. The commercial general liability and property insurance will provide for a minimum of thirty (30) days advance written notice to Us of cancellation, ten (10) days for nonpayment. Any failure by Us to scrutinize such insurance certificates for compliance is not a waiver of any of Our rights, all of which are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89445"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54" w:lineRule="exact"/>
        <w:rPr>
          <w:sz w:val="20"/>
          <w:szCs w:val="20"/>
          <w:color w:val="auto"/>
        </w:rPr>
      </w:pPr>
    </w:p>
    <w:p>
      <w:pPr>
        <w:ind w:left="430" w:hanging="430"/>
        <w:spacing w:after="0"/>
        <w:tabs>
          <w:tab w:leader="none" w:pos="430" w:val="left"/>
        </w:tabs>
        <w:numPr>
          <w:ilvl w:val="0"/>
          <w:numId w:val="63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FROM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03"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You</w:t>
      </w:r>
      <w:r>
        <w:rPr>
          <w:sz w:val="20"/>
          <w:szCs w:val="20"/>
          <w:color w:val="auto"/>
        </w:rPr>
        <w:tab/>
      </w:r>
      <w:r>
        <w:rPr>
          <w:rFonts w:ascii="Arial" w:cs="Arial" w:eastAsia="Arial" w:hAnsi="Arial"/>
          <w:sz w:val="15"/>
          <w:szCs w:val="15"/>
          <w:color w:val="auto"/>
        </w:rPr>
        <w:t>represent and warrant that:</w:t>
      </w:r>
    </w:p>
    <w:p>
      <w:pPr>
        <w:spacing w:after="0" w:line="126" w:lineRule="exact"/>
        <w:rPr>
          <w:sz w:val="20"/>
          <w:szCs w:val="20"/>
          <w:color w:val="auto"/>
        </w:rPr>
      </w:pPr>
    </w:p>
    <w:p>
      <w:pPr>
        <w:ind w:left="430" w:hanging="322"/>
        <w:spacing w:after="0"/>
        <w:tabs>
          <w:tab w:leader="none" w:pos="430"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 xml:space="preserve">Collateral Title. </w:t>
      </w:r>
      <w:r>
        <w:rPr>
          <w:rFonts w:ascii="Arial" w:cs="Arial" w:eastAsia="Arial" w:hAnsi="Arial"/>
          <w:sz w:val="18"/>
          <w:szCs w:val="18"/>
          <w:color w:val="auto"/>
        </w:rPr>
        <w:t>You own all right, title and interest in and to the Collateral, free of all Liens whatsoever, except for Permitted Liens.</w:t>
      </w:r>
    </w:p>
    <w:p>
      <w:pPr>
        <w:spacing w:after="0" w:line="130" w:lineRule="exact"/>
        <w:rPr>
          <w:rFonts w:ascii="Arial" w:cs="Arial" w:eastAsia="Arial" w:hAnsi="Arial"/>
          <w:sz w:val="18"/>
          <w:szCs w:val="18"/>
          <w:color w:val="auto"/>
        </w:rPr>
      </w:pPr>
    </w:p>
    <w:p>
      <w:pPr>
        <w:ind w:left="430" w:right="120" w:hanging="322"/>
        <w:spacing w:after="0" w:line="256" w:lineRule="auto"/>
        <w:tabs>
          <w:tab w:leader="none" w:pos="430"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 xml:space="preserve">Granting of Lien. </w:t>
      </w:r>
      <w:r>
        <w:rPr>
          <w:rFonts w:ascii="Arial" w:cs="Arial" w:eastAsia="Arial" w:hAnsi="Arial"/>
          <w:sz w:val="18"/>
          <w:szCs w:val="18"/>
          <w:color w:val="auto"/>
        </w:rPr>
        <w:t>You have the full power and authority to, and do grant and convey to Us, a Lien on the Collateral as security for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free of all Liens other than Permitted Liens and shall execute such notices, assignments, and control agreements, in connection herewith as We may reasonably request to perfect and obtain the priority of Our Lien on the Collateral. Except for Permitted Liens, the Collateral is not subject to any Liens. You are not presently a party to, nor bound by, any material lease, license, contract or agreement which prohibits You or any of Your Subsidiaries from granting a Lien on such lease, license, contract or other agreement (to the extent such prohibition is enforceable under applicable law).</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0"/>
          </w:cols>
          <w:pgMar w:left="450" w:top="270" w:right="439" w:bottom="1440" w:gutter="0" w:footer="0" w:header="0"/>
        </w:sectPr>
      </w:pPr>
    </w:p>
    <w:bookmarkStart w:id="630" w:name="page631"/>
    <w:bookmarkEnd w:id="630"/>
    <w:p>
      <w:pPr>
        <w:ind w:left="322" w:right="140" w:hanging="322"/>
        <w:spacing w:after="0" w:line="280" w:lineRule="auto"/>
        <w:tabs>
          <w:tab w:leader="none" w:pos="322" w:val="left"/>
        </w:tabs>
        <w:numPr>
          <w:ilvl w:val="0"/>
          <w:numId w:val="64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Due Organization. </w:t>
      </w:r>
      <w:r>
        <w:rPr>
          <w:rFonts w:ascii="Arial" w:cs="Arial" w:eastAsia="Arial" w:hAnsi="Arial"/>
          <w:sz w:val="17"/>
          <w:szCs w:val="17"/>
          <w:color w:val="auto"/>
        </w:rPr>
        <w:t>You are a corporation duly organized, legally existing and in good standing under the laws of the State of Delaware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corporate organization number </w:t>
      </w:r>
      <w:r>
        <w:rPr>
          <w:rFonts w:ascii="Arial" w:cs="Arial" w:eastAsia="Arial" w:hAnsi="Arial"/>
          <w:sz w:val="17"/>
          <w:szCs w:val="17"/>
          <w:b w:val="1"/>
          <w:bCs w:val="1"/>
          <w:color w:val="auto"/>
        </w:rPr>
        <w:t>4943063</w:t>
      </w:r>
      <w:r>
        <w:rPr>
          <w:rFonts w:ascii="Arial" w:cs="Arial" w:eastAsia="Arial" w:hAnsi="Arial"/>
          <w:sz w:val="17"/>
          <w:szCs w:val="17"/>
          <w:color w:val="auto"/>
        </w:rPr>
        <w:t xml:space="preserve"> for Personalis, Inc. and are duly qualified as a foreign corporation in all jurisdictions in which the nature of Your business or location of Your properties require such qualifications and where the failure to be qualified could reasonably be expected to result in an event which, individually or together with any other event, would have a Material Adverse Effect.</w:t>
      </w:r>
    </w:p>
    <w:p>
      <w:pPr>
        <w:spacing w:after="0" w:line="72" w:lineRule="exact"/>
        <w:rPr>
          <w:rFonts w:ascii="Arial" w:cs="Arial" w:eastAsia="Arial" w:hAnsi="Arial"/>
          <w:sz w:val="17"/>
          <w:szCs w:val="17"/>
          <w:color w:val="auto"/>
        </w:rPr>
      </w:pPr>
    </w:p>
    <w:p>
      <w:pPr>
        <w:ind w:left="322" w:right="100" w:hanging="322"/>
        <w:spacing w:after="0" w:line="292" w:lineRule="auto"/>
        <w:tabs>
          <w:tab w:leader="none" w:pos="322" w:val="left"/>
        </w:tabs>
        <w:numPr>
          <w:ilvl w:val="0"/>
          <w:numId w:val="640"/>
        </w:numPr>
        <w:rPr>
          <w:rFonts w:ascii="Arial" w:cs="Arial" w:eastAsia="Arial" w:hAnsi="Arial"/>
          <w:sz w:val="16"/>
          <w:szCs w:val="16"/>
          <w:color w:val="auto"/>
        </w:rPr>
      </w:pPr>
      <w:r>
        <w:rPr>
          <w:rFonts w:ascii="Arial" w:cs="Arial" w:eastAsia="Arial" w:hAnsi="Arial"/>
          <w:sz w:val="16"/>
          <w:szCs w:val="16"/>
          <w:b w:val="1"/>
          <w:bCs w:val="1"/>
          <w:color w:val="auto"/>
        </w:rPr>
        <w:t xml:space="preserve">Authorization, Validity and Enforceability. </w:t>
      </w:r>
      <w:r>
        <w:rPr>
          <w:rFonts w:ascii="Arial" w:cs="Arial" w:eastAsia="Arial" w:hAnsi="Arial"/>
          <w:sz w:val="16"/>
          <w:szCs w:val="16"/>
          <w:color w:val="auto"/>
        </w:rPr>
        <w:t>Your execution, delivery and performance of the Promissory Notes, this Agreement, all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all other Loan Documents, and all Excluded Agreements, (i) have been duly authorized by all necessary corporate action, and (ii) will not result in the creation or imposition of any Lien upon the Collateral, other than the Liens created by this Agreement and the other related Loan Documents. The person or people executing this Agreement and other Loan Documents are duly authorized to do so, and the Loan Documents executed by or on behalf of any of You and each term and provision thereof are Your legal, valid and binding obligations, enforceable in accordance with their respective terms, subject to applicable bankruptcy, insolvency, reorganization or other similar laws generally affecting the enforcement of the rights of creditors and equitable principles (regardless of whether enforcement is sought in equity or at law).</w:t>
      </w:r>
    </w:p>
    <w:p>
      <w:pPr>
        <w:spacing w:after="0" w:line="65" w:lineRule="exact"/>
        <w:rPr>
          <w:rFonts w:ascii="Arial" w:cs="Arial" w:eastAsia="Arial" w:hAnsi="Arial"/>
          <w:sz w:val="16"/>
          <w:szCs w:val="16"/>
          <w:color w:val="auto"/>
        </w:rPr>
      </w:pPr>
    </w:p>
    <w:p>
      <w:pPr>
        <w:ind w:left="322" w:right="80" w:hanging="322"/>
        <w:spacing w:after="0" w:line="258"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There are no actions, suits or proceedings at law or in equity or by or before any governmental authority now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any of You, threatened against or affecting any of You or any of the business, property or rights of any of You (i) which involve any Loan Document or Excluded Agreement or (ii) as to which there is a reasonable possibility of an adverse determination and which, if adversely determined, could, individually or in the aggregate result in an event which individually or together with any other event, reasonably be expected to result in a Material Adverse Effect.</w:t>
      </w:r>
    </w:p>
    <w:p>
      <w:pPr>
        <w:spacing w:after="0" w:line="88" w:lineRule="exact"/>
        <w:rPr>
          <w:rFonts w:ascii="Arial" w:cs="Arial" w:eastAsia="Arial" w:hAnsi="Arial"/>
          <w:sz w:val="18"/>
          <w:szCs w:val="18"/>
          <w:color w:val="auto"/>
        </w:rPr>
      </w:pPr>
    </w:p>
    <w:p>
      <w:pPr>
        <w:jc w:val="both"/>
        <w:ind w:left="322" w:right="200" w:hanging="322"/>
        <w:spacing w:after="0" w:line="266"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Applicable Laws. </w:t>
      </w:r>
      <w:r>
        <w:rPr>
          <w:rFonts w:ascii="Arial" w:cs="Arial" w:eastAsia="Arial" w:hAnsi="Arial"/>
          <w:sz w:val="18"/>
          <w:szCs w:val="18"/>
          <w:color w:val="auto"/>
        </w:rPr>
        <w:t>None of You are in violation of any law, rule or regulation or in default with respect to any judgment, writ,</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 or decree of any governmental authority, where such violation or default could reasonably be expected to result in a Material Adverse Effect.</w:t>
      </w:r>
    </w:p>
    <w:p>
      <w:pPr>
        <w:spacing w:after="0" w:line="80" w:lineRule="exact"/>
        <w:rPr>
          <w:rFonts w:ascii="Arial" w:cs="Arial" w:eastAsia="Arial" w:hAnsi="Arial"/>
          <w:sz w:val="18"/>
          <w:szCs w:val="18"/>
          <w:color w:val="auto"/>
        </w:rPr>
      </w:pPr>
    </w:p>
    <w:p>
      <w:pPr>
        <w:ind w:left="322" w:right="40" w:hanging="322"/>
        <w:spacing w:after="0" w:line="280" w:lineRule="auto"/>
        <w:tabs>
          <w:tab w:leader="none" w:pos="322" w:val="left"/>
        </w:tabs>
        <w:numPr>
          <w:ilvl w:val="0"/>
          <w:numId w:val="640"/>
        </w:numPr>
        <w:rPr>
          <w:rFonts w:ascii="Arial" w:cs="Arial" w:eastAsia="Arial" w:hAnsi="Arial"/>
          <w:sz w:val="17"/>
          <w:szCs w:val="17"/>
          <w:color w:val="auto"/>
        </w:rPr>
      </w:pPr>
      <w:r>
        <w:rPr>
          <w:rFonts w:ascii="Arial" w:cs="Arial" w:eastAsia="Arial" w:hAnsi="Arial"/>
          <w:sz w:val="17"/>
          <w:szCs w:val="17"/>
          <w:b w:val="1"/>
          <w:bCs w:val="1"/>
          <w:color w:val="auto"/>
        </w:rPr>
        <w:t xml:space="preserve">Conflict. </w:t>
      </w:r>
      <w:r>
        <w:rPr>
          <w:rFonts w:ascii="Arial" w:cs="Arial" w:eastAsia="Arial" w:hAnsi="Arial"/>
          <w:sz w:val="17"/>
          <w:szCs w:val="17"/>
          <w:color w:val="auto"/>
        </w:rPr>
        <w:t>Neither this Agreement nor any other Loan Document (a) violates any provisions of the articles or certificate of incorporation, or bylaws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of You, or any law, regulation, order, injunction, judgment, decree or writ to which any of You are subject or (b) conflicts with or results in the breach or termination of, constitutes a default under or accelerates or permits the acceleration of any performance required by, any material lease, agreement or other contract to which any of You are a party or by which any of You or any of Your property is bound.</w:t>
      </w:r>
    </w:p>
    <w:p>
      <w:pPr>
        <w:spacing w:after="0" w:line="72" w:lineRule="exact"/>
        <w:rPr>
          <w:rFonts w:ascii="Arial" w:cs="Arial" w:eastAsia="Arial" w:hAnsi="Arial"/>
          <w:sz w:val="17"/>
          <w:szCs w:val="17"/>
          <w:color w:val="auto"/>
        </w:rPr>
      </w:pPr>
    </w:p>
    <w:p>
      <w:pPr>
        <w:ind w:left="322" w:right="540" w:hanging="322"/>
        <w:spacing w:after="0" w:line="266"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Further Consent. </w:t>
      </w:r>
      <w:r>
        <w:rPr>
          <w:rFonts w:ascii="Arial" w:cs="Arial" w:eastAsia="Arial" w:hAnsi="Arial"/>
          <w:sz w:val="18"/>
          <w:szCs w:val="18"/>
          <w:color w:val="auto"/>
        </w:rPr>
        <w:t>The execution, delivery and performance of this Agreement and the other Loan Documents do not require the consent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any other Person, including any regulatory authority, or governmental body of the United States or any State or any political subdivision of the United States or any state.</w:t>
      </w:r>
    </w:p>
    <w:p>
      <w:pPr>
        <w:spacing w:after="0" w:line="80" w:lineRule="exact"/>
        <w:rPr>
          <w:rFonts w:ascii="Arial" w:cs="Arial" w:eastAsia="Arial" w:hAnsi="Arial"/>
          <w:sz w:val="18"/>
          <w:szCs w:val="18"/>
          <w:color w:val="auto"/>
        </w:rPr>
      </w:pPr>
    </w:p>
    <w:p>
      <w:pPr>
        <w:ind w:left="322" w:right="320" w:hanging="322"/>
        <w:spacing w:after="0" w:line="281"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Since March 31, 2017, no event that has had or could reasonably be expected to have a Material Adverse Effect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or is continuing.</w:t>
      </w:r>
    </w:p>
    <w:p>
      <w:pPr>
        <w:spacing w:after="0" w:line="68" w:lineRule="exact"/>
        <w:rPr>
          <w:rFonts w:ascii="Arial" w:cs="Arial" w:eastAsia="Arial" w:hAnsi="Arial"/>
          <w:sz w:val="18"/>
          <w:szCs w:val="18"/>
          <w:color w:val="auto"/>
        </w:rPr>
      </w:pPr>
    </w:p>
    <w:p>
      <w:pPr>
        <w:ind w:left="322" w:right="160" w:hanging="322"/>
        <w:spacing w:after="0" w:line="260"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Other Defaults. </w:t>
      </w:r>
      <w:r>
        <w:rPr>
          <w:rFonts w:ascii="Arial" w:cs="Arial" w:eastAsia="Arial" w:hAnsi="Arial"/>
          <w:sz w:val="18"/>
          <w:szCs w:val="18"/>
          <w:color w:val="auto"/>
        </w:rPr>
        <w:t>None of You is in default in any manner under any provision of any indenture or other agreement or instrument evidencing</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or any other material agreement or instrument to which any of You are a party or by which any of You or any of the properties or assets of any of You are or may be bound, in each case where such default could result in an event which, individually or together with any other event, could reasonably be expected to have a Material Adverse Effect.</w:t>
      </w:r>
    </w:p>
    <w:p>
      <w:pPr>
        <w:spacing w:after="0" w:line="87" w:lineRule="exact"/>
        <w:rPr>
          <w:rFonts w:ascii="Arial" w:cs="Arial" w:eastAsia="Arial" w:hAnsi="Arial"/>
          <w:sz w:val="18"/>
          <w:szCs w:val="18"/>
          <w:color w:val="auto"/>
        </w:rPr>
      </w:pPr>
    </w:p>
    <w:p>
      <w:pPr>
        <w:ind w:left="322" w:right="640" w:hanging="322"/>
        <w:spacing w:after="0" w:line="281"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 </w:t>
      </w:r>
      <w:r>
        <w:rPr>
          <w:rFonts w:ascii="Arial" w:cs="Arial" w:eastAsia="Arial" w:hAnsi="Arial"/>
          <w:sz w:val="18"/>
          <w:szCs w:val="18"/>
          <w:color w:val="auto"/>
        </w:rPr>
        <w:t>None of You is a party to any agreement or instrument or subject to any corporate restriction that has resulted or could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result in a Material Adverse Effect.</w:t>
      </w:r>
    </w:p>
    <w:p>
      <w:pPr>
        <w:spacing w:after="0" w:line="68" w:lineRule="exact"/>
        <w:rPr>
          <w:rFonts w:ascii="Arial" w:cs="Arial" w:eastAsia="Arial" w:hAnsi="Arial"/>
          <w:sz w:val="18"/>
          <w:szCs w:val="18"/>
          <w:color w:val="auto"/>
        </w:rPr>
      </w:pPr>
    </w:p>
    <w:p>
      <w:pPr>
        <w:ind w:left="322" w:hanging="322"/>
        <w:spacing w:after="0" w:line="297" w:lineRule="auto"/>
        <w:tabs>
          <w:tab w:leader="none" w:pos="322" w:val="left"/>
        </w:tabs>
        <w:numPr>
          <w:ilvl w:val="0"/>
          <w:numId w:val="640"/>
        </w:numPr>
        <w:rPr>
          <w:rFonts w:ascii="Arial" w:cs="Arial" w:eastAsia="Arial" w:hAnsi="Arial"/>
          <w:sz w:val="16"/>
          <w:szCs w:val="16"/>
          <w:color w:val="auto"/>
        </w:rPr>
      </w:pPr>
      <w:r>
        <w:rPr>
          <w:rFonts w:ascii="Arial" w:cs="Arial" w:eastAsia="Arial" w:hAnsi="Arial"/>
          <w:sz w:val="16"/>
          <w:szCs w:val="16"/>
          <w:b w:val="1"/>
          <w:bCs w:val="1"/>
          <w:color w:val="auto"/>
        </w:rPr>
        <w:t xml:space="preserve">Information Correct. </w:t>
      </w:r>
      <w:r>
        <w:rPr>
          <w:rFonts w:ascii="Arial" w:cs="Arial" w:eastAsia="Arial" w:hAnsi="Arial"/>
          <w:sz w:val="16"/>
          <w:szCs w:val="16"/>
          <w:color w:val="auto"/>
        </w:rPr>
        <w:t>No information, report, Advance Request, financial statement, exhibit or schedule furnished by or on behalf of any of You</w:t>
      </w:r>
      <w:r>
        <w:rPr>
          <w:rFonts w:ascii="Arial" w:cs="Arial" w:eastAsia="Arial" w:hAnsi="Arial"/>
          <w:sz w:val="16"/>
          <w:szCs w:val="16"/>
          <w:b w:val="1"/>
          <w:bCs w:val="1"/>
          <w:color w:val="auto"/>
        </w:rPr>
        <w:t xml:space="preserve"> </w:t>
      </w:r>
      <w:r>
        <w:rPr>
          <w:rFonts w:ascii="Arial" w:cs="Arial" w:eastAsia="Arial" w:hAnsi="Arial"/>
          <w:sz w:val="16"/>
          <w:szCs w:val="16"/>
          <w:color w:val="auto"/>
        </w:rPr>
        <w:t>to Us in connection with the negotiation of any Loan Document contains or will contain any material misstatement of fact or omitted, omits or will omit to state any material fact necessary to make the statements, in the light of circumstances under which they were, are or will be made, not misleading (it being recognized by Us that projections and estimates as to future events are not to be viewed as facts and that the actual results during the period or periods covered by any such projections and estimates may differ materially from projected or estimated results).</w:t>
      </w:r>
    </w:p>
    <w:p>
      <w:pPr>
        <w:spacing w:after="0" w:line="62" w:lineRule="exact"/>
        <w:rPr>
          <w:rFonts w:ascii="Arial" w:cs="Arial" w:eastAsia="Arial" w:hAnsi="Arial"/>
          <w:sz w:val="16"/>
          <w:szCs w:val="16"/>
          <w:color w:val="auto"/>
        </w:rPr>
      </w:pPr>
    </w:p>
    <w:p>
      <w:pPr>
        <w:ind w:left="322" w:right="120" w:hanging="322"/>
        <w:spacing w:after="0" w:line="266" w:lineRule="auto"/>
        <w:tabs>
          <w:tab w:leader="none" w:pos="322"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Filing of Taxes. </w:t>
      </w:r>
      <w:r>
        <w:rPr>
          <w:rFonts w:ascii="Arial" w:cs="Arial" w:eastAsia="Arial" w:hAnsi="Arial"/>
          <w:sz w:val="18"/>
          <w:szCs w:val="18"/>
          <w:color w:val="auto"/>
        </w:rPr>
        <w:t>You have filed all required federal, state and local tax returns (or filed appropriate extensions for the filing of such returns),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such failure to file has not resulted in the creation of a Lien. Subject to Section 12, Paragraph “Taxes”, You have fully paid or You have reserved for and are contesting in</w:t>
      </w:r>
    </w:p>
    <w:p>
      <w:pPr>
        <w:spacing w:after="0" w:line="112"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2"/>
          </w:cols>
          <w:pgMar w:left="558" w:top="270" w:right="439" w:bottom="1440" w:gutter="0" w:footer="0" w:header="0"/>
        </w:sectPr>
      </w:pPr>
    </w:p>
    <w:bookmarkStart w:id="631" w:name="page632"/>
    <w:bookmarkEnd w:id="631"/>
    <w:p>
      <w:pPr>
        <w:ind w:left="322"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faith all taxes or installments (including any interest or penalties). You have fully paid or reserved for and are contesting in good faith all tax assessments that any of You have received for the 3 years preceding the Closing Date.</w:t>
      </w:r>
    </w:p>
    <w:p>
      <w:pPr>
        <w:spacing w:after="0" w:line="71" w:lineRule="exact"/>
        <w:rPr>
          <w:sz w:val="20"/>
          <w:szCs w:val="20"/>
          <w:color w:val="auto"/>
        </w:rPr>
      </w:pPr>
    </w:p>
    <w:p>
      <w:pPr>
        <w:ind w:left="322" w:right="160" w:hanging="322"/>
        <w:spacing w:after="0" w:line="266" w:lineRule="auto"/>
        <w:tabs>
          <w:tab w:leader="none" w:pos="322"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ERISA Compliance. </w:t>
      </w:r>
      <w:r>
        <w:rPr>
          <w:rFonts w:ascii="Arial" w:cs="Arial" w:eastAsia="Arial" w:hAnsi="Arial"/>
          <w:sz w:val="18"/>
          <w:szCs w:val="18"/>
          <w:color w:val="auto"/>
        </w:rPr>
        <w:t>You have met the minimum funding requirements of ERISA with respect to any employee benefit plans subject to ERISA.</w:t>
      </w:r>
      <w:r>
        <w:rPr>
          <w:rFonts w:ascii="Arial" w:cs="Arial" w:eastAsia="Arial" w:hAnsi="Arial"/>
          <w:sz w:val="18"/>
          <w:szCs w:val="18"/>
          <w:b w:val="1"/>
          <w:bCs w:val="1"/>
          <w:color w:val="auto"/>
        </w:rPr>
        <w:t xml:space="preserve"> </w:t>
      </w:r>
      <w:r>
        <w:rPr>
          <w:rFonts w:ascii="Arial" w:cs="Arial" w:eastAsia="Arial" w:hAnsi="Arial"/>
          <w:sz w:val="18"/>
          <w:szCs w:val="18"/>
          <w:color w:val="auto"/>
        </w:rPr>
        <w:t>No event has occurred resulting from the failure by any of You to comply with ERISA that is reasonably likely to result in any of You incurring any liability that could reasonably be expected to have a Material Adverse Effect.</w:t>
      </w:r>
    </w:p>
    <w:p>
      <w:pPr>
        <w:spacing w:after="0" w:line="80" w:lineRule="exact"/>
        <w:rPr>
          <w:rFonts w:ascii="Arial" w:cs="Arial" w:eastAsia="Arial" w:hAnsi="Arial"/>
          <w:sz w:val="18"/>
          <w:szCs w:val="18"/>
          <w:color w:val="auto"/>
        </w:rPr>
      </w:pPr>
    </w:p>
    <w:p>
      <w:pPr>
        <w:ind w:left="322" w:hanging="322"/>
        <w:spacing w:after="0" w:line="288" w:lineRule="auto"/>
        <w:tabs>
          <w:tab w:leader="none" w:pos="322" w:val="left"/>
        </w:tabs>
        <w:numPr>
          <w:ilvl w:val="0"/>
          <w:numId w:val="641"/>
        </w:numPr>
        <w:rPr>
          <w:rFonts w:ascii="Arial" w:cs="Arial" w:eastAsia="Arial" w:hAnsi="Arial"/>
          <w:sz w:val="16"/>
          <w:szCs w:val="16"/>
          <w:color w:val="auto"/>
        </w:rPr>
      </w:pPr>
      <w:r>
        <w:rPr>
          <w:rFonts w:ascii="Arial" w:cs="Arial" w:eastAsia="Arial" w:hAnsi="Arial"/>
          <w:sz w:val="16"/>
          <w:szCs w:val="16"/>
          <w:b w:val="1"/>
          <w:bCs w:val="1"/>
          <w:color w:val="auto"/>
        </w:rPr>
        <w:t xml:space="preserve">Hazardous Waste. </w:t>
      </w:r>
      <w:r>
        <w:rPr>
          <w:rFonts w:ascii="Arial" w:cs="Arial" w:eastAsia="Arial" w:hAnsi="Arial"/>
          <w:sz w:val="16"/>
          <w:szCs w:val="16"/>
          <w:color w:val="auto"/>
        </w:rPr>
        <w:t>None of the properties or assets of any of You has ever been used by any of You or, to the knowledge of any of You, by</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 owners or operators, in the disposal of, or to produce, store, handle, treat, release, or transport, any hazardous waste or hazardous substance other than in accordance with applicable law; to the knowledge of any of You, none of the properties or assets of any of You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any of You; and none of You have received a summons, citation, notice, or directive from the Environmental Protection Agency or any other federal, state or other governmental agency concerning any action or omission by any of You resulting in the releasing, or otherwise disposing of hazardous waste or hazardous substances into the environment. You have at all times operated Your business in compliance in all material respects with all applicable provisions of federal, state and local statutes and ordinances dealing with the control, shipment, storage or disposal of hazardous materials or substances.</w:t>
      </w:r>
    </w:p>
    <w:p>
      <w:pPr>
        <w:spacing w:after="0" w:line="71" w:lineRule="exact"/>
        <w:rPr>
          <w:rFonts w:ascii="Arial" w:cs="Arial" w:eastAsia="Arial" w:hAnsi="Arial"/>
          <w:sz w:val="16"/>
          <w:szCs w:val="16"/>
          <w:color w:val="auto"/>
        </w:rPr>
      </w:pPr>
    </w:p>
    <w:p>
      <w:pPr>
        <w:ind w:left="322" w:right="100" w:hanging="322"/>
        <w:spacing w:after="0" w:line="274" w:lineRule="auto"/>
        <w:tabs>
          <w:tab w:leader="none" w:pos="322" w:val="left"/>
        </w:tabs>
        <w:numPr>
          <w:ilvl w:val="0"/>
          <w:numId w:val="641"/>
        </w:numPr>
        <w:rPr>
          <w:rFonts w:ascii="Arial" w:cs="Arial" w:eastAsia="Arial" w:hAnsi="Arial"/>
          <w:sz w:val="17"/>
          <w:szCs w:val="17"/>
          <w:color w:val="auto"/>
        </w:rPr>
      </w:pPr>
      <w:r>
        <w:rPr>
          <w:rFonts w:ascii="Arial" w:cs="Arial" w:eastAsia="Arial" w:hAnsi="Arial"/>
          <w:sz w:val="17"/>
          <w:szCs w:val="17"/>
          <w:b w:val="1"/>
          <w:bCs w:val="1"/>
          <w:color w:val="auto"/>
        </w:rPr>
        <w:t xml:space="preserve">Operation of Business. </w:t>
      </w:r>
      <w:r>
        <w:rPr>
          <w:rFonts w:ascii="Arial" w:cs="Arial" w:eastAsia="Arial" w:hAnsi="Arial"/>
          <w:sz w:val="17"/>
          <w:szCs w:val="17"/>
          <w:color w:val="auto"/>
        </w:rPr>
        <w:t>You own, possess, have access to, or can become licensed on reasonable terms under all patents, patent applications,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trademarks, trade names, inventions, franchises, licenses, permits, computer software and copyrights necessary for the operation of Your business as now conducted, with no known infringement of, or conflict with, the rights of others. You have taken reasonable measures to avoid liability from infringement by third parties using Your facilities, in particular that You have complied with the requirements of the Digital Millennium Copyright Act for notice and takedown. You have at all times operated Your business in compliance in all material respects with all applicable provisions of the Federal Fair Labor Standards Act, as amended.</w:t>
      </w:r>
    </w:p>
    <w:p>
      <w:pPr>
        <w:spacing w:after="0" w:line="77" w:lineRule="exact"/>
        <w:rPr>
          <w:rFonts w:ascii="Arial" w:cs="Arial" w:eastAsia="Arial" w:hAnsi="Arial"/>
          <w:sz w:val="17"/>
          <w:szCs w:val="17"/>
          <w:color w:val="auto"/>
        </w:rPr>
      </w:pPr>
    </w:p>
    <w:p>
      <w:pPr>
        <w:ind w:left="322" w:right="60" w:hanging="322"/>
        <w:spacing w:after="0" w:line="258" w:lineRule="auto"/>
        <w:tabs>
          <w:tab w:leader="none" w:pos="322"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Trading with the Enemy Act; OFAC; Patriot Act. </w:t>
      </w:r>
      <w:r>
        <w:rPr>
          <w:rFonts w:ascii="Arial" w:cs="Arial" w:eastAsia="Arial" w:hAnsi="Arial"/>
          <w:sz w:val="18"/>
          <w:szCs w:val="18"/>
          <w:color w:val="auto"/>
        </w:rPr>
        <w:t>Neither You nor any of Your Subsidiaries is an “enemy” or an “ally of the enemy”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2 of the Trading with the Enemy Act or any enabling legislation or executive order relating thereto. Neither You nor any of Your Subsidiaries is in violation of (a) the Trading with the Enemy Act, (b) any of the foreign assets control regulations of the United States Treasury Department (31 C.F.R., Subtitle B, Chapter V, as amended) or any enabling legislation or executive order relating thereto, or (c) the Patriot Act.</w:t>
      </w:r>
    </w:p>
    <w:p>
      <w:pPr>
        <w:spacing w:after="0" w:line="88" w:lineRule="exact"/>
        <w:rPr>
          <w:rFonts w:ascii="Arial" w:cs="Arial" w:eastAsia="Arial" w:hAnsi="Arial"/>
          <w:sz w:val="18"/>
          <w:szCs w:val="18"/>
          <w:color w:val="auto"/>
        </w:rPr>
      </w:pPr>
    </w:p>
    <w:p>
      <w:pPr>
        <w:ind w:left="322" w:right="240" w:hanging="322"/>
        <w:spacing w:after="0" w:line="258" w:lineRule="auto"/>
        <w:tabs>
          <w:tab w:leader="none" w:pos="322"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Investment Company Act. </w:t>
      </w:r>
      <w:r>
        <w:rPr>
          <w:rFonts w:ascii="Arial" w:cs="Arial" w:eastAsia="Arial" w:hAnsi="Arial"/>
          <w:sz w:val="18"/>
          <w:szCs w:val="18"/>
          <w:color w:val="auto"/>
        </w:rPr>
        <w:t>Neither You nor any of Your Subsidiaries are (a) an “investment company” or is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such terms are defined in, or subject to regulation under, the Investment Company Act of 1940, (b) otherwise subject to any other regulatory scheme limiting its ability to incur debt or requiring any approval or consent from, or registration or filing with, any governmental authority in connection with Your or its incurrence of debt, (c) and is not a “person” related to Us as described in Sections 57(b) or 57(e) of the Investment Company Act of 1940.</w:t>
      </w:r>
    </w:p>
    <w:p>
      <w:pPr>
        <w:spacing w:after="0" w:line="88" w:lineRule="exact"/>
        <w:rPr>
          <w:rFonts w:ascii="Arial" w:cs="Arial" w:eastAsia="Arial" w:hAnsi="Arial"/>
          <w:sz w:val="18"/>
          <w:szCs w:val="18"/>
          <w:color w:val="auto"/>
        </w:rPr>
      </w:pPr>
    </w:p>
    <w:p>
      <w:pPr>
        <w:ind w:left="322" w:right="740" w:hanging="322"/>
        <w:spacing w:after="0" w:line="281" w:lineRule="auto"/>
        <w:tabs>
          <w:tab w:leader="none" w:pos="322"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Your Information. </w:t>
      </w:r>
      <w:r>
        <w:rPr>
          <w:rFonts w:ascii="Arial" w:cs="Arial" w:eastAsia="Arial" w:hAnsi="Arial"/>
          <w:sz w:val="18"/>
          <w:szCs w:val="18"/>
          <w:color w:val="auto"/>
        </w:rPr>
        <w:t>Your present name, former names (if any) used in the past 5 years, locations, and other information are correctly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completely stated on the Certificate of Perfection attached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322" w:right="480" w:hanging="322"/>
        <w:spacing w:after="0" w:line="281" w:lineRule="auto"/>
        <w:tabs>
          <w:tab w:leader="none" w:pos="322"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The Certificate of Perfection attached as</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contains a true, correct and complete list of each of Your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Copyrights and Licenses, together with application or registration numbers, as applicable.</w:t>
      </w:r>
    </w:p>
    <w:p>
      <w:pPr>
        <w:spacing w:after="0" w:line="68" w:lineRule="exact"/>
        <w:rPr>
          <w:rFonts w:ascii="Arial" w:cs="Arial" w:eastAsia="Arial" w:hAnsi="Arial"/>
          <w:sz w:val="18"/>
          <w:szCs w:val="18"/>
          <w:color w:val="auto"/>
        </w:rPr>
      </w:pPr>
    </w:p>
    <w:p>
      <w:pPr>
        <w:ind w:left="322" w:right="20" w:hanging="322"/>
        <w:spacing w:after="0" w:line="274" w:lineRule="auto"/>
        <w:tabs>
          <w:tab w:leader="none" w:pos="322" w:val="left"/>
        </w:tabs>
        <w:numPr>
          <w:ilvl w:val="0"/>
          <w:numId w:val="641"/>
        </w:numPr>
        <w:rPr>
          <w:rFonts w:ascii="Arial" w:cs="Arial" w:eastAsia="Arial" w:hAnsi="Arial"/>
          <w:sz w:val="17"/>
          <w:szCs w:val="17"/>
          <w:color w:val="auto"/>
        </w:rPr>
      </w:pPr>
      <w:r>
        <w:rPr>
          <w:rFonts w:ascii="Arial" w:cs="Arial" w:eastAsia="Arial" w:hAnsi="Arial"/>
          <w:sz w:val="17"/>
          <w:szCs w:val="17"/>
          <w:b w:val="1"/>
          <w:bCs w:val="1"/>
          <w:color w:val="auto"/>
        </w:rPr>
        <w:t xml:space="preserve">Accounts. </w:t>
      </w:r>
      <w:r>
        <w:rPr>
          <w:rFonts w:ascii="Arial" w:cs="Arial" w:eastAsia="Arial" w:hAnsi="Arial"/>
          <w:sz w:val="17"/>
          <w:szCs w:val="17"/>
          <w:color w:val="auto"/>
        </w:rPr>
        <w:t>The Certificate of Perfection attached as</w:t>
      </w:r>
      <w:r>
        <w:rPr>
          <w:rFonts w:ascii="Arial" w:cs="Arial" w:eastAsia="Arial" w:hAnsi="Arial"/>
          <w:sz w:val="17"/>
          <w:szCs w:val="17"/>
          <w:b w:val="1"/>
          <w:bCs w:val="1"/>
          <w:color w:val="auto"/>
        </w:rPr>
        <w:t xml:space="preserve"> Exhibit C </w:t>
      </w:r>
      <w:r>
        <w:rPr>
          <w:rFonts w:ascii="Arial" w:cs="Arial" w:eastAsia="Arial" w:hAnsi="Arial"/>
          <w:sz w:val="17"/>
          <w:szCs w:val="17"/>
          <w:color w:val="auto"/>
        </w:rPr>
        <w:t>contains a true, correct and complete list of (a) all banks and other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at which You maintain Deposit Accounts and (b) institutions at which You maintain accounts holding Investment Property owned by You, and such Certificate of Perfection correctly identifies the name, address and telephone number of each bank or other institution, the name in which the account is held, a description of the purpose of the account, and the complete account number therefore. None of the account debtors or other Persons obligated on any of the Collateral is a governmental authority covered by the Federal Assignment of Claims Act or like federal, state or local statute, rule, or law in respect of such Collateral.</w:t>
      </w:r>
    </w:p>
    <w:p>
      <w:pPr>
        <w:spacing w:after="0" w:line="108"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2"/>
          </w:cols>
          <w:pgMar w:left="558" w:top="275" w:right="439" w:bottom="1440" w:gutter="0" w:footer="0" w:header="0"/>
        </w:sectPr>
      </w:pPr>
    </w:p>
    <w:bookmarkStart w:id="632" w:name="page633"/>
    <w:bookmarkEnd w:id="632"/>
    <w:p>
      <w:pPr>
        <w:ind w:left="430" w:hanging="430"/>
        <w:spacing w:after="0"/>
        <w:tabs>
          <w:tab w:leader="none" w:pos="430"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200660</wp:posOffset>
            </wp:positionV>
            <wp:extent cx="6989445" cy="171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989445" cy="17145"/>
                    </a:xfrm>
                    <a:prstGeom prst="rect">
                      <a:avLst/>
                    </a:prstGeom>
                    <a:noFill/>
                  </pic:spPr>
                </pic:pic>
              </a:graphicData>
            </a:graphic>
          </wp:anchor>
        </w:drawing>
        <w:t>YOUR COVENANTS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right="160"/>
        <w:spacing w:after="0" w:line="277" w:lineRule="auto"/>
        <w:rPr>
          <w:sz w:val="20"/>
          <w:szCs w:val="20"/>
          <w:color w:val="auto"/>
        </w:rPr>
      </w:pPr>
      <w:r>
        <w:rPr>
          <w:rFonts w:ascii="Arial" w:cs="Arial" w:eastAsia="Arial" w:hAnsi="Arial"/>
          <w:sz w:val="18"/>
          <w:szCs w:val="18"/>
          <w:color w:val="auto"/>
        </w:rPr>
        <w:t>So long as the Secured Obligations have not been fully and indefeasibly paid in cash in full or We have any obligation to make Advances, Each of You covenants to the following:</w:t>
      </w:r>
    </w:p>
    <w:p>
      <w:pPr>
        <w:spacing w:after="0" w:line="71" w:lineRule="exact"/>
        <w:rPr>
          <w:sz w:val="20"/>
          <w:szCs w:val="20"/>
          <w:color w:val="auto"/>
        </w:rPr>
      </w:pPr>
    </w:p>
    <w:p>
      <w:pPr>
        <w:ind w:left="430" w:right="80" w:hanging="322"/>
        <w:spacing w:after="0" w:line="280" w:lineRule="auto"/>
        <w:tabs>
          <w:tab w:leader="none" w:pos="430" w:val="left"/>
        </w:tabs>
        <w:numPr>
          <w:ilvl w:val="0"/>
          <w:numId w:val="643"/>
        </w:numPr>
        <w:rPr>
          <w:rFonts w:ascii="Arial" w:cs="Arial" w:eastAsia="Arial" w:hAnsi="Arial"/>
          <w:sz w:val="17"/>
          <w:szCs w:val="17"/>
          <w:color w:val="auto"/>
        </w:rPr>
      </w:pPr>
      <w:r>
        <w:rPr>
          <w:rFonts w:ascii="Arial" w:cs="Arial" w:eastAsia="Arial" w:hAnsi="Arial"/>
          <w:sz w:val="17"/>
          <w:szCs w:val="17"/>
          <w:b w:val="1"/>
          <w:bCs w:val="1"/>
          <w:color w:val="auto"/>
        </w:rPr>
        <w:t xml:space="preserve">Legal Existence and Qualification. </w:t>
      </w:r>
      <w:r>
        <w:rPr>
          <w:rFonts w:ascii="Arial" w:cs="Arial" w:eastAsia="Arial" w:hAnsi="Arial"/>
          <w:sz w:val="17"/>
          <w:szCs w:val="17"/>
          <w:color w:val="auto"/>
        </w:rPr>
        <w:t>Each of You will maintain Your, and each of Your Subsidiaries’, legal existence and good standing in Your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their respective jurisdictions of formation or organization, and maintain qualifications to do business in all jurisdictions in which the nature of Your business or location of Your properties require such qualifications and where the failure to be qualified could reasonably be expected to result in an event which, individually or together with any other event, would have a Material Adverse Effect.</w:t>
      </w:r>
    </w:p>
    <w:p>
      <w:pPr>
        <w:spacing w:after="0" w:line="72" w:lineRule="exact"/>
        <w:rPr>
          <w:rFonts w:ascii="Arial" w:cs="Arial" w:eastAsia="Arial" w:hAnsi="Arial"/>
          <w:sz w:val="17"/>
          <w:szCs w:val="17"/>
          <w:color w:val="auto"/>
        </w:rPr>
      </w:pPr>
    </w:p>
    <w:p>
      <w:pPr>
        <w:ind w:left="430" w:right="20" w:hanging="322"/>
        <w:spacing w:after="0" w:line="270" w:lineRule="auto"/>
        <w:tabs>
          <w:tab w:leader="none" w:pos="430" w:val="left"/>
        </w:tabs>
        <w:numPr>
          <w:ilvl w:val="0"/>
          <w:numId w:val="643"/>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Laws. </w:t>
      </w:r>
      <w:r>
        <w:rPr>
          <w:rFonts w:ascii="Arial" w:cs="Arial" w:eastAsia="Arial" w:hAnsi="Arial"/>
          <w:sz w:val="17"/>
          <w:szCs w:val="17"/>
          <w:color w:val="auto"/>
        </w:rPr>
        <w:t>Each of You will, and will cause each of Your Subsidiaries to, comply with all laws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laws) rules, regulations applicable to, and all orders and directives of any governmental or regulatory authority having jurisdiction over, You, Your Subsidiaries or Your business, and with all material agreements to which You or any of Your Subsidiaries are a party, except where the failure to so comply could not reasonably be expected to have a Material Adverse Effect. None of You nor any of Your Subsidiaries shall become an “investment company” or controlled by an “investment company,” within the meaning of the Investment Company Act of 1940, or become principally engaged in, or undertake as one of Your important activities, the business of extending credit for the purpose of purchasing or carrying margin stock, or use the proceeds of any loan for such purpose. None of You, nor any Your Subsidiaries shall fail to meet the minimum funding requirements of ERISA, permit a reportable event or prohibited transaction, as defined in ERISA, to occur, or fail to comply in all material respects with the Federal Fair Labor Standards Act.</w:t>
      </w:r>
    </w:p>
    <w:p>
      <w:pPr>
        <w:spacing w:after="0" w:line="84" w:lineRule="exact"/>
        <w:rPr>
          <w:rFonts w:ascii="Arial" w:cs="Arial" w:eastAsia="Arial" w:hAnsi="Arial"/>
          <w:sz w:val="17"/>
          <w:szCs w:val="17"/>
          <w:color w:val="auto"/>
        </w:rPr>
      </w:pPr>
    </w:p>
    <w:p>
      <w:pPr>
        <w:ind w:left="430" w:hanging="322"/>
        <w:spacing w:after="0" w:line="269" w:lineRule="auto"/>
        <w:tabs>
          <w:tab w:leader="none" w:pos="430" w:val="left"/>
        </w:tabs>
        <w:numPr>
          <w:ilvl w:val="0"/>
          <w:numId w:val="643"/>
        </w:numPr>
        <w:rPr>
          <w:rFonts w:ascii="Arial" w:cs="Arial" w:eastAsia="Arial" w:hAnsi="Arial"/>
          <w:sz w:val="17"/>
          <w:szCs w:val="17"/>
          <w:color w:val="auto"/>
        </w:rPr>
      </w:pPr>
      <w:r>
        <w:rPr>
          <w:rFonts w:ascii="Arial" w:cs="Arial" w:eastAsia="Arial" w:hAnsi="Arial"/>
          <w:sz w:val="17"/>
          <w:szCs w:val="17"/>
          <w:b w:val="1"/>
          <w:bCs w:val="1"/>
          <w:color w:val="auto"/>
        </w:rPr>
        <w:t xml:space="preserve">Management Rights. </w:t>
      </w:r>
      <w:r>
        <w:rPr>
          <w:rFonts w:ascii="Arial" w:cs="Arial" w:eastAsia="Arial" w:hAnsi="Arial"/>
          <w:sz w:val="17"/>
          <w:szCs w:val="17"/>
          <w:color w:val="auto"/>
        </w:rPr>
        <w:t>Each of You will permit any of Our authorized representatives and Our attorneys and accountants on reasonable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inspect, examine and make copies and abstracts of Your books of account and records at reasonable times and during normal business hours. In addition, We and Our agents, attorneys and accountants will have the right to meet with the management and officers of any of You to discuss such books of account and records. In addition, We will be entitled at reasonable times and intervals to consult with and advise the management and officers of any of You concerning significant business issues. Such consultations shall not unreasonably interfere with Your business operations. The Parties intend that the rights granted here shall constitute “management rights” within the meaning of 29 C.F.R Section 2510.3-101(d)(3)(ii), but that any advice, recommendations or participation with respect to any business issues will not be deemed to give Us, nor be deemed an exercise by Us or control over the management or policies of any of You. Further, each Party represents and warrants that We have offered to make available to each of You “significant managerial assistances” (as defined in Section 2(a)(47) of the Investment Company Act of 1940) and, to the extent You accept such offer from Us, the scope, terms and conditions of such significant managerial assistance shall be set forth in a separate agreement between You, Us and Our administrator.</w:t>
      </w:r>
    </w:p>
    <w:p>
      <w:pPr>
        <w:spacing w:after="0" w:line="85" w:lineRule="exact"/>
        <w:rPr>
          <w:rFonts w:ascii="Arial" w:cs="Arial" w:eastAsia="Arial" w:hAnsi="Arial"/>
          <w:sz w:val="17"/>
          <w:szCs w:val="17"/>
          <w:color w:val="auto"/>
        </w:rPr>
      </w:pPr>
    </w:p>
    <w:p>
      <w:pPr>
        <w:ind w:left="430" w:right="40" w:hanging="322"/>
        <w:spacing w:after="0" w:line="286" w:lineRule="auto"/>
        <w:tabs>
          <w:tab w:leader="none" w:pos="430" w:val="left"/>
        </w:tabs>
        <w:numPr>
          <w:ilvl w:val="0"/>
          <w:numId w:val="643"/>
        </w:numPr>
        <w:rPr>
          <w:rFonts w:ascii="Arial" w:cs="Arial" w:eastAsia="Arial" w:hAnsi="Arial"/>
          <w:sz w:val="16"/>
          <w:szCs w:val="16"/>
          <w:color w:val="auto"/>
        </w:rPr>
      </w:pPr>
      <w:r>
        <w:rPr>
          <w:rFonts w:ascii="Arial" w:cs="Arial" w:eastAsia="Arial" w:hAnsi="Arial"/>
          <w:sz w:val="16"/>
          <w:szCs w:val="16"/>
          <w:b w:val="1"/>
          <w:bCs w:val="1"/>
          <w:color w:val="auto"/>
        </w:rPr>
        <w:t xml:space="preserve">Additional Documents and Assurances. </w:t>
      </w:r>
      <w:r>
        <w:rPr>
          <w:rFonts w:ascii="Arial" w:cs="Arial" w:eastAsia="Arial" w:hAnsi="Arial"/>
          <w:sz w:val="16"/>
          <w:szCs w:val="16"/>
          <w:color w:val="auto"/>
        </w:rPr>
        <w:t>Each of You will from time to time execute, deliver and file, alone or with Us, any security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documents to perfect or give first priority to Our Lien on the Collateral. Each of You will from time to time obtain any instruments or documents as We may request, and take all further action that may be reasonably necessary or desirable, or that We may reasonably request, to carry out the provisions and purposes of this Agreement or any other Loan Document or to confirm, perfect, preserve and protect the Liens granted to Us. In addition, each of You authorize Us to file at any time financing statements, continuation statements, and amendments thereto that</w:t>
      </w:r>
    </w:p>
    <w:p>
      <w:pPr>
        <w:spacing w:after="0" w:line="1" w:lineRule="exact"/>
        <w:rPr>
          <w:rFonts w:ascii="Arial" w:cs="Arial" w:eastAsia="Arial" w:hAnsi="Arial"/>
          <w:sz w:val="16"/>
          <w:szCs w:val="16"/>
          <w:color w:val="auto"/>
        </w:rPr>
      </w:pPr>
    </w:p>
    <w:p>
      <w:pPr>
        <w:ind w:left="430"/>
        <w:spacing w:after="0" w:line="268" w:lineRule="auto"/>
        <w:rPr>
          <w:rFonts w:ascii="Arial" w:cs="Arial" w:eastAsia="Arial" w:hAnsi="Arial"/>
          <w:sz w:val="16"/>
          <w:szCs w:val="16"/>
          <w:color w:val="auto"/>
        </w:rPr>
      </w:pPr>
      <w:r>
        <w:rPr>
          <w:rFonts w:ascii="Arial" w:cs="Arial" w:eastAsia="Arial" w:hAnsi="Arial"/>
          <w:sz w:val="17"/>
          <w:szCs w:val="17"/>
          <w:color w:val="auto"/>
        </w:rPr>
        <w:t>(i) either specifically describe the Collateral or describe the Collateral as all of Your assets or words of similar effect, regardless of whether any particular asset comprised in the Collateral falls within the scope of Article 9 of the UCC of such jurisdiction, and (ii) contain any other information required by the UCC for the sufficiency of filing office acceptance of any financing statement, continuation statement, or amendment, including whether You are an organization, the type of organization and any organizational identification number issued to You, if applicable. Each of You hereby appoint Us as its lawful attorney-in-fact to sign Your name on any documents necessary to perfect or continue the perfection of any Lien regardless of whether an Event of Default has occurred until all Secured Obligations (other than inchoate indemnity obligations) have been satisfied in full and We are under no further obligation to make Advances. Our foregoing appointment as the attorney in fact for each of You, and all of Our rights and powers, coupled with an interest, are irrevocable until all Secured Obligations (other than inchoate indemnity obligations) have been fully repaid and performed and Our obligation to provide Advances terminates.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0"/>
          </w:cols>
          <w:pgMar w:left="450" w:top="364" w:right="439" w:bottom="1440" w:gutter="0" w:footer="0" w:header="0"/>
        </w:sectPr>
      </w:pPr>
    </w:p>
    <w:bookmarkStart w:id="633" w:name="page634"/>
    <w:bookmarkEnd w:id="633"/>
    <w:p>
      <w:pPr>
        <w:jc w:val="both"/>
        <w:ind w:left="322" w:right="40" w:hanging="322"/>
        <w:spacing w:after="0" w:line="303" w:lineRule="auto"/>
        <w:tabs>
          <w:tab w:leader="none" w:pos="322" w:val="left"/>
        </w:tabs>
        <w:numPr>
          <w:ilvl w:val="0"/>
          <w:numId w:val="64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Protection of Our Lien. </w:t>
      </w:r>
      <w:r>
        <w:rPr>
          <w:rFonts w:ascii="Arial" w:cs="Arial" w:eastAsia="Arial" w:hAnsi="Arial"/>
          <w:sz w:val="16"/>
          <w:szCs w:val="16"/>
          <w:color w:val="auto"/>
        </w:rPr>
        <w:t>Each of You will take or cause to be taken all actions necessary to protect and defend Your title to the Collateral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Lien on the Collateral. Each of You shall at all times keep the Collateral, and the assets and properties of each of Your Subsidiaries, free and clear from any legal process or Liens whatsoever (except for Permitted Liens) and shall give Us immediate written notice of any legal process affecting the Collateral or the assets and properties of Your Subsidiaries, or any Liens on the Collateral or the assets and properties of Your Subsidiaries.</w:t>
      </w:r>
    </w:p>
    <w:p>
      <w:pPr>
        <w:spacing w:after="0" w:line="55" w:lineRule="exact"/>
        <w:rPr>
          <w:rFonts w:ascii="Arial" w:cs="Arial" w:eastAsia="Arial" w:hAnsi="Arial"/>
          <w:sz w:val="16"/>
          <w:szCs w:val="16"/>
          <w:color w:val="auto"/>
        </w:rPr>
      </w:pPr>
    </w:p>
    <w:p>
      <w:pPr>
        <w:ind w:left="322" w:hanging="322"/>
        <w:spacing w:after="0" w:line="260" w:lineRule="auto"/>
        <w:tabs>
          <w:tab w:leader="none" w:pos="322"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 xml:space="preserve">Maintenance of Properties. </w:t>
      </w:r>
      <w:r>
        <w:rPr>
          <w:rFonts w:ascii="Arial" w:cs="Arial" w:eastAsia="Arial" w:hAnsi="Arial"/>
          <w:sz w:val="18"/>
          <w:szCs w:val="18"/>
          <w:color w:val="auto"/>
        </w:rPr>
        <w:t>Each of You will maintain and protect Your properties, assets and facilities (and those of Your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Your equipment and fixtures, in good working order, repair and condition (taking into consideration ordinary wear and tear) and from time to time make or cause to be made all necessary and proper repairs, renewals and replacements and shall completely manage and care for Your property in accordance with prudent industry practices.</w:t>
      </w:r>
    </w:p>
    <w:p>
      <w:pPr>
        <w:spacing w:after="0" w:line="87" w:lineRule="exact"/>
        <w:rPr>
          <w:rFonts w:ascii="Arial" w:cs="Arial" w:eastAsia="Arial" w:hAnsi="Arial"/>
          <w:sz w:val="18"/>
          <w:szCs w:val="18"/>
          <w:color w:val="auto"/>
        </w:rPr>
      </w:pPr>
    </w:p>
    <w:p>
      <w:pPr>
        <w:ind w:left="322" w:right="220" w:hanging="322"/>
        <w:spacing w:after="0" w:line="314" w:lineRule="auto"/>
        <w:tabs>
          <w:tab w:leader="none" w:pos="322" w:val="left"/>
        </w:tabs>
        <w:numPr>
          <w:ilvl w:val="0"/>
          <w:numId w:val="644"/>
        </w:numPr>
        <w:rPr>
          <w:rFonts w:ascii="Arial" w:cs="Arial" w:eastAsia="Arial" w:hAnsi="Arial"/>
          <w:sz w:val="16"/>
          <w:szCs w:val="16"/>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Each of You will provide monthly and yearly financial statements in accordance with Section 18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financial statements will include reports of any material contingencies (including commencement of any material litigation by or against You) or any other occurrence that could reasonably be expected to have, individually or in the aggregate, a Material Adverse Effect.</w:t>
      </w:r>
    </w:p>
    <w:p>
      <w:pPr>
        <w:spacing w:after="0" w:line="46" w:lineRule="exact"/>
        <w:rPr>
          <w:rFonts w:ascii="Arial" w:cs="Arial" w:eastAsia="Arial" w:hAnsi="Arial"/>
          <w:sz w:val="16"/>
          <w:szCs w:val="16"/>
          <w:color w:val="auto"/>
        </w:rPr>
      </w:pPr>
    </w:p>
    <w:p>
      <w:pPr>
        <w:ind w:left="322" w:right="20" w:hanging="322"/>
        <w:spacing w:after="0" w:line="280" w:lineRule="auto"/>
        <w:tabs>
          <w:tab w:leader="none" w:pos="322" w:val="left"/>
        </w:tabs>
        <w:numPr>
          <w:ilvl w:val="0"/>
          <w:numId w:val="644"/>
        </w:numPr>
        <w:rPr>
          <w:rFonts w:ascii="Arial" w:cs="Arial" w:eastAsia="Arial" w:hAnsi="Arial"/>
          <w:sz w:val="17"/>
          <w:szCs w:val="17"/>
          <w:color w:val="auto"/>
        </w:rPr>
      </w:pPr>
      <w:r>
        <w:rPr>
          <w:rFonts w:ascii="Arial" w:cs="Arial" w:eastAsia="Arial" w:hAnsi="Arial"/>
          <w:sz w:val="17"/>
          <w:szCs w:val="17"/>
          <w:b w:val="1"/>
          <w:bCs w:val="1"/>
          <w:color w:val="auto"/>
        </w:rPr>
        <w:t xml:space="preserve">Audits and Inspections. </w:t>
      </w:r>
      <w:r>
        <w:rPr>
          <w:rFonts w:ascii="Arial" w:cs="Arial" w:eastAsia="Arial" w:hAnsi="Arial"/>
          <w:sz w:val="17"/>
          <w:szCs w:val="17"/>
          <w:color w:val="auto"/>
        </w:rPr>
        <w:t>Upon Our request, each of You will, during normal business hours, make the Inventory, Equipment, other Collateral, and</w:t>
      </w:r>
      <w:r>
        <w:rPr>
          <w:rFonts w:ascii="Arial" w:cs="Arial" w:eastAsia="Arial" w:hAnsi="Arial"/>
          <w:sz w:val="17"/>
          <w:szCs w:val="17"/>
          <w:b w:val="1"/>
          <w:bCs w:val="1"/>
          <w:color w:val="auto"/>
        </w:rPr>
        <w:t xml:space="preserve"> </w:t>
      </w:r>
      <w:r>
        <w:rPr>
          <w:rFonts w:ascii="Arial" w:cs="Arial" w:eastAsia="Arial" w:hAnsi="Arial"/>
          <w:sz w:val="17"/>
          <w:szCs w:val="17"/>
          <w:color w:val="auto"/>
        </w:rPr>
        <w:t>books and records concerning the Collateral (including software used in Your business) available to Us for inspection at the place where it is located and shall make Your log and maintenance records pertaining to the Inventory and Equipment available to Us for inspection. You will take all action necessary to correctly and completely maintain such books, records, logs, and maintenance records.</w:t>
      </w:r>
    </w:p>
    <w:p>
      <w:pPr>
        <w:spacing w:after="0" w:line="72" w:lineRule="exact"/>
        <w:rPr>
          <w:rFonts w:ascii="Arial" w:cs="Arial" w:eastAsia="Arial" w:hAnsi="Arial"/>
          <w:sz w:val="17"/>
          <w:szCs w:val="17"/>
          <w:color w:val="auto"/>
        </w:rPr>
      </w:pPr>
    </w:p>
    <w:p>
      <w:pPr>
        <w:ind w:left="322" w:hanging="322"/>
        <w:spacing w:after="0" w:line="272" w:lineRule="auto"/>
        <w:tabs>
          <w:tab w:leader="none" w:pos="322" w:val="left"/>
        </w:tabs>
        <w:numPr>
          <w:ilvl w:val="0"/>
          <w:numId w:val="644"/>
        </w:numPr>
        <w:rPr>
          <w:rFonts w:ascii="Arial" w:cs="Arial" w:eastAsia="Arial" w:hAnsi="Arial"/>
          <w:sz w:val="17"/>
          <w:szCs w:val="17"/>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Each of You will pay when due all federal income taxes, all state taxes imposed by each of Your states of organization and the state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place of business and all material taxes, fees or other charges of any nature whatsoever (together with any related interest or penalties) imposed or assessed against any of You, Us or the Collateral or upon Your ownership, possession, use, operation or disposition thereof or upon Your rents, receipts or earnings arising therefrom (excluding taxes imposed on Us based on Our net income or franchise taxes). Each of You shall file on or before the due date all federal, state and local tax returns including personal property tax returns in respect to the Collateral on or before the due date thereof. Notwithstanding the foregoing, each of You may contest, in good faith and by appropriate proceedings, taxes, fees and other charges for which You maintain adequate reserves in accordance with GAAP.</w:t>
      </w:r>
    </w:p>
    <w:p>
      <w:pPr>
        <w:spacing w:after="0" w:line="81" w:lineRule="exact"/>
        <w:rPr>
          <w:rFonts w:ascii="Arial" w:cs="Arial" w:eastAsia="Arial" w:hAnsi="Arial"/>
          <w:sz w:val="17"/>
          <w:szCs w:val="17"/>
          <w:color w:val="auto"/>
        </w:rPr>
      </w:pPr>
    </w:p>
    <w:p>
      <w:pPr>
        <w:ind w:left="322" w:hanging="322"/>
        <w:spacing w:after="0"/>
        <w:tabs>
          <w:tab w:leader="none" w:pos="322"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Each of You will: (a) protect, defend and maintain the validity and enforceability of Your Intellectual Property;</w:t>
      </w:r>
    </w:p>
    <w:p>
      <w:pPr>
        <w:spacing w:after="0" w:line="27" w:lineRule="exact"/>
        <w:rPr>
          <w:rFonts w:ascii="Arial" w:cs="Arial" w:eastAsia="Arial" w:hAnsi="Arial"/>
          <w:sz w:val="18"/>
          <w:szCs w:val="18"/>
          <w:color w:val="auto"/>
        </w:rPr>
      </w:pPr>
    </w:p>
    <w:p>
      <w:pPr>
        <w:ind w:left="322" w:right="120"/>
        <w:spacing w:after="0" w:line="253" w:lineRule="auto"/>
        <w:rPr>
          <w:rFonts w:ascii="Arial" w:cs="Arial" w:eastAsia="Arial" w:hAnsi="Arial"/>
          <w:sz w:val="18"/>
          <w:szCs w:val="18"/>
          <w:color w:val="auto"/>
        </w:rPr>
      </w:pPr>
      <w:r>
        <w:rPr>
          <w:rFonts w:ascii="Arial" w:cs="Arial" w:eastAsia="Arial" w:hAnsi="Arial"/>
          <w:sz w:val="18"/>
          <w:szCs w:val="18"/>
          <w:color w:val="auto"/>
        </w:rPr>
        <w:t>(b) promptly advise Us in writing of material infringements of Your Intellectual Property; (c) not allow any Intellectual Property material to Your business to be abandoned, forfeited or dedicated to the public without Our written consent; and (d) give Us written notice of any applications or registrations of Your Intellectual Property, including the date of such filings and the applicable application or registration numbers within thirty (30) days after the end of each calendar quarter.</w:t>
      </w:r>
    </w:p>
    <w:p>
      <w:pPr>
        <w:spacing w:after="0" w:line="93" w:lineRule="exact"/>
        <w:rPr>
          <w:rFonts w:ascii="Arial" w:cs="Arial" w:eastAsia="Arial" w:hAnsi="Arial"/>
          <w:sz w:val="18"/>
          <w:szCs w:val="18"/>
          <w:color w:val="auto"/>
        </w:rPr>
      </w:pPr>
    </w:p>
    <w:p>
      <w:pPr>
        <w:ind w:left="322" w:right="60" w:hanging="322"/>
        <w:spacing w:after="0" w:line="280" w:lineRule="auto"/>
        <w:tabs>
          <w:tab w:leader="none" w:pos="322" w:val="left"/>
        </w:tabs>
        <w:numPr>
          <w:ilvl w:val="0"/>
          <w:numId w:val="644"/>
        </w:numPr>
        <w:rPr>
          <w:rFonts w:ascii="Arial" w:cs="Arial" w:eastAsia="Arial" w:hAnsi="Arial"/>
          <w:sz w:val="17"/>
          <w:szCs w:val="17"/>
          <w:color w:val="auto"/>
        </w:rPr>
      </w:pPr>
      <w:r>
        <w:rPr>
          <w:rFonts w:ascii="Arial" w:cs="Arial" w:eastAsia="Arial" w:hAnsi="Arial"/>
          <w:sz w:val="17"/>
          <w:szCs w:val="17"/>
          <w:b w:val="1"/>
          <w:bCs w:val="1"/>
          <w:color w:val="auto"/>
        </w:rPr>
        <w:t xml:space="preserve">Subsidiaries. </w:t>
      </w:r>
      <w:r>
        <w:rPr>
          <w:rFonts w:ascii="Arial" w:cs="Arial" w:eastAsia="Arial" w:hAnsi="Arial"/>
          <w:sz w:val="17"/>
          <w:szCs w:val="17"/>
          <w:color w:val="auto"/>
        </w:rPr>
        <w:t>If at any time, any of You create or acquire any Subsidiary, You and such subsidiary will promptly notify Us of the creation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such new Subsidiary and take all such action as We may reasonably require to cause such Subsidiary to guaranty the Secured Obligations and grant a continuing pledge and security interest in and to the assets of such Subsidiary, and You shall grant and pledge to Us a first priority, perfected security interest in the stock, units or other evidence of ownership of such Subsidiary.</w:t>
      </w:r>
    </w:p>
    <w:p>
      <w:pPr>
        <w:spacing w:after="0" w:line="72" w:lineRule="exact"/>
        <w:rPr>
          <w:rFonts w:ascii="Arial" w:cs="Arial" w:eastAsia="Arial" w:hAnsi="Arial"/>
          <w:sz w:val="17"/>
          <w:szCs w:val="17"/>
          <w:color w:val="auto"/>
        </w:rPr>
      </w:pPr>
    </w:p>
    <w:p>
      <w:pPr>
        <w:ind w:left="322" w:right="20" w:hanging="322"/>
        <w:spacing w:after="0" w:line="269" w:lineRule="auto"/>
        <w:tabs>
          <w:tab w:leader="none" w:pos="322" w:val="left"/>
        </w:tabs>
        <w:numPr>
          <w:ilvl w:val="0"/>
          <w:numId w:val="644"/>
        </w:numPr>
        <w:rPr>
          <w:rFonts w:ascii="Arial" w:cs="Arial" w:eastAsia="Arial" w:hAnsi="Arial"/>
          <w:sz w:val="17"/>
          <w:szCs w:val="17"/>
          <w:color w:val="auto"/>
        </w:rPr>
      </w:pPr>
      <w:r>
        <w:rPr>
          <w:rFonts w:ascii="Arial" w:cs="Arial" w:eastAsia="Arial" w:hAnsi="Arial"/>
          <w:sz w:val="17"/>
          <w:szCs w:val="17"/>
          <w:b w:val="1"/>
          <w:bCs w:val="1"/>
          <w:color w:val="auto"/>
        </w:rPr>
        <w:t xml:space="preserve">Dispositions, Liens and Encumbrances. </w:t>
      </w:r>
      <w:r>
        <w:rPr>
          <w:rFonts w:ascii="Arial" w:cs="Arial" w:eastAsia="Arial" w:hAnsi="Arial"/>
          <w:sz w:val="17"/>
          <w:szCs w:val="17"/>
          <w:color w:val="auto"/>
        </w:rPr>
        <w:t>None of You will nor will You permit any of Your Subsidiaries to, transfer, sell, assign, grant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hypothecate, permit or suffer to exist any Lien, or otherwise transfer any interest in or encumber any portion of Your properties or assets (or those of any Subsidiary), including the Intellectual Property, either voluntarily or involuntarily, without Our prior written consent, other than: (a) Permitted Liens, (b) sales of Inventory in the ordinary course of business, (c) non-exclusive licenses or non-perpetual exclusive licenses with respect to geographic area, fields of use and customized products for specific customers that would not result in a transfer of title of the licensed property under applicable law, all given in the ordinary course of Your business, and (d) sales of worn-out or obsolete Equipment not financed by Us provided that the fair market value of such Equipment does not exceed $50,000 in any fiscal year. In addition, none of You will, nor will You permit any of Your Subsidiaries to, enter into any agreement with any Person (other than Us) that restricts Your ability, or the ability of any of Your Subsidiaries, to transfer, sell, assign, grant a security interest in, hypothecate, permit or suffer to exist any Lien, or otherwise transfer any interest in or encumber any portion of Your properties or assets or those of any of Your Subsidiaries, including Your Intellectual Property. Without limiting the generality of the foregoing, none of You will sell, transfer, encumber or otherwise dispose of any ownership interest that You may have in any subsidiary.</w:t>
      </w:r>
    </w:p>
    <w:p>
      <w:pPr>
        <w:spacing w:after="0" w:line="113"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2"/>
          </w:cols>
          <w:pgMar w:left="558" w:top="270" w:right="459" w:bottom="1440" w:gutter="0" w:footer="0" w:header="0"/>
        </w:sectPr>
      </w:pPr>
    </w:p>
    <w:bookmarkStart w:id="634" w:name="page635"/>
    <w:bookmarkEnd w:id="634"/>
    <w:p>
      <w:pPr>
        <w:ind w:left="322" w:right="100" w:hanging="322"/>
        <w:spacing w:after="0" w:line="293" w:lineRule="auto"/>
        <w:tabs>
          <w:tab w:leader="none" w:pos="322" w:val="left"/>
        </w:tabs>
        <w:numPr>
          <w:ilvl w:val="0"/>
          <w:numId w:val="64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Mergers or Acquisitions. </w:t>
      </w:r>
      <w:r>
        <w:rPr>
          <w:rFonts w:ascii="Arial" w:cs="Arial" w:eastAsia="Arial" w:hAnsi="Arial"/>
          <w:sz w:val="16"/>
          <w:szCs w:val="16"/>
          <w:color w:val="auto"/>
        </w:rPr>
        <w:t>None of You will, nor will You permit any of Your Subsidiaries to, liquidate, dissolve or enter into or consummate any</w:t>
      </w:r>
      <w:r>
        <w:rPr>
          <w:rFonts w:ascii="Arial" w:cs="Arial" w:eastAsia="Arial" w:hAnsi="Arial"/>
          <w:sz w:val="16"/>
          <w:szCs w:val="16"/>
          <w:b w:val="1"/>
          <w:bCs w:val="1"/>
          <w:color w:val="auto"/>
        </w:rPr>
        <w:t xml:space="preserve"> </w:t>
      </w:r>
      <w:r>
        <w:rPr>
          <w:rFonts w:ascii="Arial" w:cs="Arial" w:eastAsia="Arial" w:hAnsi="Arial"/>
          <w:sz w:val="16"/>
          <w:szCs w:val="16"/>
          <w:color w:val="auto"/>
        </w:rPr>
        <w:t>Merger Event, and none of You will acquire all or substantially all of the capital stock or property of another Person, except that a Subsidiary</w:t>
      </w:r>
    </w:p>
    <w:p>
      <w:pPr>
        <w:ind w:left="322"/>
        <w:spacing w:after="0"/>
        <w:rPr>
          <w:rFonts w:ascii="Arial" w:cs="Arial" w:eastAsia="Arial" w:hAnsi="Arial"/>
          <w:sz w:val="16"/>
          <w:szCs w:val="16"/>
          <w:color w:val="auto"/>
        </w:rPr>
      </w:pPr>
      <w:r>
        <w:rPr>
          <w:rFonts w:ascii="Arial" w:cs="Arial" w:eastAsia="Arial" w:hAnsi="Arial"/>
          <w:sz w:val="17"/>
          <w:szCs w:val="17"/>
          <w:color w:val="auto"/>
        </w:rPr>
        <w:t>(i) may merge into any of You or another Subsidiary of You, or (ii) liquidate or dissolve, provided that its assets are transferred to You.</w:t>
      </w:r>
    </w:p>
    <w:p>
      <w:pPr>
        <w:spacing w:after="0" w:line="123" w:lineRule="exact"/>
        <w:rPr>
          <w:rFonts w:ascii="Arial" w:cs="Arial" w:eastAsia="Arial" w:hAnsi="Arial"/>
          <w:sz w:val="16"/>
          <w:szCs w:val="16"/>
          <w:color w:val="auto"/>
        </w:rPr>
      </w:pPr>
    </w:p>
    <w:p>
      <w:pPr>
        <w:ind w:left="322" w:right="100" w:hanging="322"/>
        <w:spacing w:after="0" w:line="297" w:lineRule="auto"/>
        <w:tabs>
          <w:tab w:leader="none" w:pos="322" w:val="left"/>
        </w:tabs>
        <w:numPr>
          <w:ilvl w:val="0"/>
          <w:numId w:val="645"/>
        </w:numPr>
        <w:rPr>
          <w:rFonts w:ascii="Arial" w:cs="Arial" w:eastAsia="Arial" w:hAnsi="Arial"/>
          <w:sz w:val="16"/>
          <w:szCs w:val="16"/>
          <w:color w:val="auto"/>
        </w:rPr>
      </w:pPr>
      <w:r>
        <w:rPr>
          <w:rFonts w:ascii="Arial" w:cs="Arial" w:eastAsia="Arial" w:hAnsi="Arial"/>
          <w:sz w:val="16"/>
          <w:szCs w:val="16"/>
          <w:b w:val="1"/>
          <w:bCs w:val="1"/>
          <w:color w:val="auto"/>
        </w:rPr>
        <w:t xml:space="preserve">Compromise of Accounts. </w:t>
      </w:r>
      <w:r>
        <w:rPr>
          <w:rFonts w:ascii="Arial" w:cs="Arial" w:eastAsia="Arial" w:hAnsi="Arial"/>
          <w:sz w:val="16"/>
          <w:szCs w:val="16"/>
          <w:color w:val="auto"/>
        </w:rPr>
        <w:t>Without Our prior written consent, none of You will (a) grant any material extension of the time or payment of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Receivables, or General Intangibles, except in the ordinary course of business and consistent with customary industry practice, (b) to any material extent, compromise, compound or settle the same for less than the full amount, except in the ordinary course of business and consistent with customary industry practice, (c) release, wholly or partly, any Person liable for the payment, or (d) allow any credit or discount whatsoever other than trade discounts granted to You in the ordinary course of Your business and consistent with customary industry practice.</w:t>
      </w:r>
    </w:p>
    <w:p>
      <w:pPr>
        <w:spacing w:after="0" w:line="62" w:lineRule="exact"/>
        <w:rPr>
          <w:rFonts w:ascii="Arial" w:cs="Arial" w:eastAsia="Arial" w:hAnsi="Arial"/>
          <w:sz w:val="16"/>
          <w:szCs w:val="16"/>
          <w:color w:val="auto"/>
        </w:rPr>
      </w:pPr>
    </w:p>
    <w:p>
      <w:pPr>
        <w:ind w:left="322" w:right="80" w:hanging="322"/>
        <w:spacing w:after="0" w:line="281" w:lineRule="auto"/>
        <w:tabs>
          <w:tab w:leader="none" w:pos="322"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 xml:space="preserve">Other Indebtedness. </w:t>
      </w:r>
      <w:r>
        <w:rPr>
          <w:rFonts w:ascii="Arial" w:cs="Arial" w:eastAsia="Arial" w:hAnsi="Arial"/>
          <w:sz w:val="18"/>
          <w:szCs w:val="18"/>
          <w:color w:val="auto"/>
        </w:rPr>
        <w:t>None of You will, nor will You permit any of Your Subsidiaries to, incur any Indebtedness without the prior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of Us other than Indebtedness evidenced by this Agreement and the Permitted Indebtedness.</w:t>
      </w:r>
    </w:p>
    <w:p>
      <w:pPr>
        <w:spacing w:after="0" w:line="68" w:lineRule="exact"/>
        <w:rPr>
          <w:rFonts w:ascii="Arial" w:cs="Arial" w:eastAsia="Arial" w:hAnsi="Arial"/>
          <w:sz w:val="18"/>
          <w:szCs w:val="18"/>
          <w:color w:val="auto"/>
        </w:rPr>
      </w:pPr>
    </w:p>
    <w:p>
      <w:pPr>
        <w:ind w:left="322" w:right="140" w:hanging="322"/>
        <w:spacing w:after="0" w:line="281" w:lineRule="auto"/>
        <w:tabs>
          <w:tab w:leader="none" w:pos="322"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None of You will, nor will You permit any of Your Subsidiaries to, directly or indirectly make any Investment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w:t>
      </w:r>
    </w:p>
    <w:p>
      <w:pPr>
        <w:spacing w:after="0" w:line="68" w:lineRule="exact"/>
        <w:rPr>
          <w:rFonts w:ascii="Arial" w:cs="Arial" w:eastAsia="Arial" w:hAnsi="Arial"/>
          <w:sz w:val="18"/>
          <w:szCs w:val="18"/>
          <w:color w:val="auto"/>
        </w:rPr>
      </w:pPr>
    </w:p>
    <w:p>
      <w:pPr>
        <w:ind w:left="322" w:right="40" w:hanging="322"/>
        <w:spacing w:after="0" w:line="280" w:lineRule="auto"/>
        <w:tabs>
          <w:tab w:leader="none" w:pos="322" w:val="left"/>
        </w:tabs>
        <w:numPr>
          <w:ilvl w:val="0"/>
          <w:numId w:val="645"/>
        </w:numPr>
        <w:rPr>
          <w:rFonts w:ascii="Arial" w:cs="Arial" w:eastAsia="Arial" w:hAnsi="Arial"/>
          <w:sz w:val="17"/>
          <w:szCs w:val="17"/>
          <w:color w:val="auto"/>
        </w:rPr>
      </w:pPr>
      <w:r>
        <w:rPr>
          <w:rFonts w:ascii="Arial" w:cs="Arial" w:eastAsia="Arial" w:hAnsi="Arial"/>
          <w:sz w:val="17"/>
          <w:szCs w:val="17"/>
          <w:b w:val="1"/>
          <w:bCs w:val="1"/>
          <w:color w:val="auto"/>
        </w:rPr>
        <w:t xml:space="preserve">Dividends and Distributions. </w:t>
      </w:r>
      <w:r>
        <w:rPr>
          <w:rFonts w:ascii="Arial" w:cs="Arial" w:eastAsia="Arial" w:hAnsi="Arial"/>
          <w:sz w:val="17"/>
          <w:szCs w:val="17"/>
          <w:color w:val="auto"/>
        </w:rPr>
        <w:t>None of You will, without Our prior written consent, declare or pay any cash dividend or make a distribution on, or</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or redeem, any class of stock, other than (a) pursuant to repurchase plans upon an employee’s, consultant’s or director’s death or termination of employment provided the aggregate amount of all such repurchases does not exceed One Hundred Thousand Dollars ($100,000) per fiscal year and (b) dividends payable solely in shares of Your common stock.</w:t>
      </w:r>
    </w:p>
    <w:p>
      <w:pPr>
        <w:spacing w:after="0" w:line="72" w:lineRule="exact"/>
        <w:rPr>
          <w:rFonts w:ascii="Arial" w:cs="Arial" w:eastAsia="Arial" w:hAnsi="Arial"/>
          <w:sz w:val="17"/>
          <w:szCs w:val="17"/>
          <w:color w:val="auto"/>
        </w:rPr>
      </w:pPr>
    </w:p>
    <w:p>
      <w:pPr>
        <w:ind w:left="322" w:right="20" w:hanging="322"/>
        <w:spacing w:after="0" w:line="270" w:lineRule="auto"/>
        <w:tabs>
          <w:tab w:leader="none" w:pos="322" w:val="left"/>
        </w:tabs>
        <w:numPr>
          <w:ilvl w:val="0"/>
          <w:numId w:val="645"/>
        </w:numPr>
        <w:rPr>
          <w:rFonts w:ascii="Arial" w:cs="Arial" w:eastAsia="Arial" w:hAnsi="Arial"/>
          <w:sz w:val="17"/>
          <w:szCs w:val="17"/>
          <w:color w:val="auto"/>
        </w:rPr>
      </w:pPr>
      <w:r>
        <w:rPr>
          <w:rFonts w:ascii="Arial" w:cs="Arial" w:eastAsia="Arial" w:hAnsi="Arial"/>
          <w:sz w:val="17"/>
          <w:szCs w:val="17"/>
          <w:b w:val="1"/>
          <w:bCs w:val="1"/>
          <w:color w:val="auto"/>
        </w:rPr>
        <w:t xml:space="preserve">Collateral Locations; Name Changes. </w:t>
      </w:r>
      <w:r>
        <w:rPr>
          <w:rFonts w:ascii="Arial" w:cs="Arial" w:eastAsia="Arial" w:hAnsi="Arial"/>
          <w:sz w:val="17"/>
          <w:szCs w:val="17"/>
          <w:color w:val="auto"/>
        </w:rPr>
        <w:t>None of You will relocate, nor will You permit any Subsidiary to relocate, Your (or such Subsidiary’s)</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 or principal place of business or any item of the Collateral (or assets of any such Subsidiary) unless: (i) You have given Us no less than thirty (30) days prior written notice, (ii) You have obtained Our prior written consent, which consent shall not be unreasonably withheld; (iii) such relocation shall be within the continental United States, and (iv) such relocation does not adversely affect the perfection or priority of Our security interest in any of the Collateral. In addition, each of You will obtain and maintain such acknowledgments, consents, waivers and agreements from: (i) the owner, Lien holder, mortgagee and landlord with respect to any real property on which Collateral is located and (ii) from any Person in possession of Collateral, as We may require, all in form and substance reasonably satisfactory to Us. Without limiting the foregoing, where the Collateral is covered by a negotiable Document (such as a warehouse receipt), You shall deliver to Us possession of such Document. None of You will change Your name without providing Us at least 30 days’ advance written notice. None of You will change Your type of organization or legal structure without Our prior written consent.</w:t>
      </w:r>
    </w:p>
    <w:p>
      <w:pPr>
        <w:spacing w:after="0" w:line="80" w:lineRule="exact"/>
        <w:rPr>
          <w:rFonts w:ascii="Arial" w:cs="Arial" w:eastAsia="Arial" w:hAnsi="Arial"/>
          <w:sz w:val="17"/>
          <w:szCs w:val="17"/>
          <w:color w:val="auto"/>
        </w:rPr>
      </w:pPr>
    </w:p>
    <w:p>
      <w:pPr>
        <w:ind w:left="322" w:right="160" w:hanging="322"/>
        <w:spacing w:after="0" w:line="281" w:lineRule="auto"/>
        <w:tabs>
          <w:tab w:leader="none" w:pos="322"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 xml:space="preserve">Line of Business. </w:t>
      </w:r>
      <w:r>
        <w:rPr>
          <w:rFonts w:ascii="Arial" w:cs="Arial" w:eastAsia="Arial" w:hAnsi="Arial"/>
          <w:sz w:val="18"/>
          <w:szCs w:val="18"/>
          <w:color w:val="auto"/>
        </w:rPr>
        <w:t>None of You will engage in, nor will You permit any of Your Subsidiaries to engage in, any business other than the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engaged in by You and Your Subsidiaries or reasonably related thereto.</w:t>
      </w:r>
    </w:p>
    <w:p>
      <w:pPr>
        <w:spacing w:after="0" w:line="68" w:lineRule="exact"/>
        <w:rPr>
          <w:rFonts w:ascii="Arial" w:cs="Arial" w:eastAsia="Arial" w:hAnsi="Arial"/>
          <w:sz w:val="18"/>
          <w:szCs w:val="18"/>
          <w:color w:val="auto"/>
        </w:rPr>
      </w:pPr>
    </w:p>
    <w:p>
      <w:pPr>
        <w:ind w:left="322" w:right="160" w:hanging="322"/>
        <w:spacing w:after="0" w:line="281" w:lineRule="auto"/>
        <w:tabs>
          <w:tab w:leader="none" w:pos="322"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 xml:space="preserve">Change of Jurisdiction. </w:t>
      </w:r>
      <w:r>
        <w:rPr>
          <w:rFonts w:ascii="Arial" w:cs="Arial" w:eastAsia="Arial" w:hAnsi="Arial"/>
          <w:sz w:val="18"/>
          <w:szCs w:val="18"/>
          <w:color w:val="auto"/>
        </w:rPr>
        <w:t>None of You will change Your state of organization unless You have obtained Our prior written consent, which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unreasonably withheld. You must give Us no less than thirty (30) days prior written notice.</w:t>
      </w:r>
    </w:p>
    <w:p>
      <w:pPr>
        <w:spacing w:after="0" w:line="68" w:lineRule="exact"/>
        <w:rPr>
          <w:rFonts w:ascii="Arial" w:cs="Arial" w:eastAsia="Arial" w:hAnsi="Arial"/>
          <w:sz w:val="18"/>
          <w:szCs w:val="18"/>
          <w:color w:val="auto"/>
        </w:rPr>
      </w:pPr>
    </w:p>
    <w:p>
      <w:pPr>
        <w:ind w:left="322" w:right="60" w:hanging="322"/>
        <w:spacing w:after="0" w:line="303" w:lineRule="auto"/>
        <w:tabs>
          <w:tab w:leader="none" w:pos="322" w:val="left"/>
        </w:tabs>
        <w:numPr>
          <w:ilvl w:val="0"/>
          <w:numId w:val="645"/>
        </w:numPr>
        <w:rPr>
          <w:rFonts w:ascii="Arial" w:cs="Arial" w:eastAsia="Arial" w:hAnsi="Arial"/>
          <w:sz w:val="16"/>
          <w:szCs w:val="16"/>
          <w:color w:val="auto"/>
        </w:rPr>
      </w:pPr>
      <w:r>
        <w:rPr>
          <w:rFonts w:ascii="Arial" w:cs="Arial" w:eastAsia="Arial" w:hAnsi="Arial"/>
          <w:sz w:val="16"/>
          <w:szCs w:val="16"/>
          <w:b w:val="1"/>
          <w:bCs w:val="1"/>
          <w:color w:val="auto"/>
        </w:rPr>
        <w:t xml:space="preserve">Deposit and Investment Accounts. </w:t>
      </w:r>
      <w:r>
        <w:rPr>
          <w:rFonts w:ascii="Arial" w:cs="Arial" w:eastAsia="Arial" w:hAnsi="Arial"/>
          <w:sz w:val="16"/>
          <w:szCs w:val="16"/>
          <w:color w:val="auto"/>
        </w:rPr>
        <w:t>None of You will maintain, nor permit any of Your Subsidiaries to maintain, any Deposit Accounts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accounts holding Investment Property owned by any of You (or such Subsidiaries) except (i) accounts identified in the Certificate of Perfection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with respect to which We have a perfected security interest, and (ii) other accounts with respect to which We have a perfected security interest. You will give Us prior written notice of the creation of any Deposit Accounts or accounts holding Investment Property.</w:t>
      </w:r>
    </w:p>
    <w:p>
      <w:pPr>
        <w:spacing w:after="0" w:line="55" w:lineRule="exact"/>
        <w:rPr>
          <w:rFonts w:ascii="Arial" w:cs="Arial" w:eastAsia="Arial" w:hAnsi="Arial"/>
          <w:sz w:val="16"/>
          <w:szCs w:val="16"/>
          <w:color w:val="auto"/>
        </w:rPr>
      </w:pPr>
    </w:p>
    <w:p>
      <w:pPr>
        <w:ind w:left="322" w:hanging="322"/>
        <w:spacing w:after="0" w:line="276" w:lineRule="auto"/>
        <w:tabs>
          <w:tab w:leader="none" w:pos="322" w:val="left"/>
        </w:tabs>
        <w:numPr>
          <w:ilvl w:val="0"/>
          <w:numId w:val="645"/>
        </w:numPr>
        <w:rPr>
          <w:rFonts w:ascii="Arial" w:cs="Arial" w:eastAsia="Arial" w:hAnsi="Arial"/>
          <w:sz w:val="17"/>
          <w:szCs w:val="17"/>
          <w:color w:val="auto"/>
        </w:rPr>
      </w:pPr>
      <w:r>
        <w:rPr>
          <w:rFonts w:ascii="Arial" w:cs="Arial" w:eastAsia="Arial" w:hAnsi="Arial"/>
          <w:sz w:val="17"/>
          <w:szCs w:val="17"/>
          <w:b w:val="1"/>
          <w:bCs w:val="1"/>
          <w:color w:val="auto"/>
        </w:rPr>
        <w:t xml:space="preserve">Transactions with Affiliates. </w:t>
      </w:r>
      <w:r>
        <w:rPr>
          <w:rFonts w:ascii="Arial" w:cs="Arial" w:eastAsia="Arial" w:hAnsi="Arial"/>
          <w:sz w:val="17"/>
          <w:szCs w:val="17"/>
          <w:color w:val="auto"/>
        </w:rPr>
        <w:t>None of You will directly or indirectly enter into or permit to exist any material transaction with any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except for (i) transactions that are in the ordinary course of Your business, upon fair and reasonable terms that are no less favorable to You than would be obtained in an arm’s length transaction with a non-affiliated Person, and (ii) equity financings with Your existing investors that are otherwise permitted under this Agreement and (iii) unsecured bridge financings with Your existing investors that are otherwise permitted under this Agreement and that constitute Subordinated Indebtedness and are evidenced by a</w:t>
      </w:r>
    </w:p>
    <w:p>
      <w:pPr>
        <w:spacing w:after="0" w:line="108"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2"/>
          </w:cols>
          <w:pgMar w:left="558" w:top="271" w:right="439" w:bottom="1440" w:gutter="0" w:footer="0" w:header="0"/>
        </w:sectPr>
      </w:pPr>
    </w:p>
    <w:bookmarkStart w:id="635" w:name="page636"/>
    <w:bookmarkEnd w:id="635"/>
    <w:p>
      <w:pPr>
        <w:ind w:left="430"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subordination agreement on terms acceptable to Us in Our sole discretion. None of You will directly or indirectly make any payment or distribution on account of any intercompany liabilities or indebtedness other than the type described in item (h) of the definition of Permitted Indebtedness.</w:t>
      </w:r>
    </w:p>
    <w:p>
      <w:pPr>
        <w:spacing w:after="0" w:line="84" w:lineRule="exact"/>
        <w:rPr>
          <w:sz w:val="20"/>
          <w:szCs w:val="20"/>
          <w:color w:val="auto"/>
        </w:rPr>
      </w:pPr>
    </w:p>
    <w:p>
      <w:pPr>
        <w:ind w:left="430" w:right="20" w:hanging="322"/>
        <w:spacing w:after="0" w:line="258" w:lineRule="auto"/>
        <w:tabs>
          <w:tab w:leader="none" w:pos="430" w:val="left"/>
        </w:tabs>
        <w:numPr>
          <w:ilvl w:val="0"/>
          <w:numId w:val="646"/>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Indebtedness. </w:t>
      </w:r>
      <w:r>
        <w:rPr>
          <w:rFonts w:ascii="Arial" w:cs="Arial" w:eastAsia="Arial" w:hAnsi="Arial"/>
          <w:sz w:val="18"/>
          <w:szCs w:val="18"/>
          <w:color w:val="auto"/>
        </w:rPr>
        <w:t>You will not prepay, redeem or otherwise satisfy in any manner prior to the scheduled repayment thereof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(other than the Advances), and You shall not make or permit any payment on any Subordinated Indebtedness, except under the terms of the subordination, intercreditor, or other similar agreement to which such Subordinated Indebtedness is subject, or amend any provision in any document relating to the Subordinated Indebtedness which would increase the amount thereof or adversely affect the subordination thereof to Secured Obligations owed to Us.</w:t>
      </w:r>
    </w:p>
    <w:p>
      <w:pPr>
        <w:spacing w:after="0" w:line="88" w:lineRule="exact"/>
        <w:rPr>
          <w:rFonts w:ascii="Arial" w:cs="Arial" w:eastAsia="Arial" w:hAnsi="Arial"/>
          <w:sz w:val="18"/>
          <w:szCs w:val="18"/>
          <w:color w:val="auto"/>
        </w:rPr>
      </w:pPr>
    </w:p>
    <w:p>
      <w:pPr>
        <w:ind w:left="430" w:hanging="322"/>
        <w:spacing w:after="0" w:line="254" w:lineRule="auto"/>
        <w:tabs>
          <w:tab w:leader="none" w:pos="430" w:val="left"/>
        </w:tabs>
        <w:numPr>
          <w:ilvl w:val="0"/>
          <w:numId w:val="646"/>
        </w:numPr>
        <w:rPr>
          <w:rFonts w:ascii="Arial" w:cs="Arial" w:eastAsia="Arial" w:hAnsi="Arial"/>
          <w:sz w:val="18"/>
          <w:szCs w:val="18"/>
          <w:color w:val="auto"/>
        </w:rPr>
      </w:pPr>
      <w:r>
        <w:rPr>
          <w:rFonts w:ascii="Arial" w:cs="Arial" w:eastAsia="Arial" w:hAnsi="Arial"/>
          <w:sz w:val="18"/>
          <w:szCs w:val="18"/>
          <w:b w:val="1"/>
          <w:bCs w:val="1"/>
          <w:color w:val="auto"/>
        </w:rPr>
        <w:t xml:space="preserve">OFAC and Patriot Act. </w:t>
      </w:r>
      <w:r>
        <w:rPr>
          <w:rFonts w:ascii="Arial" w:cs="Arial" w:eastAsia="Arial" w:hAnsi="Arial"/>
          <w:sz w:val="18"/>
          <w:szCs w:val="18"/>
          <w:color w:val="auto"/>
        </w:rPr>
        <w:t>None of You will, directly or indirectly, use the proceeds of the Advances, or lend, contribute or otherwise make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such proceeds to any Subsidiary, Affiliate, joint venture partner or other Person, to fund any activities or business of or with any Person, or in any country or territory, that, at the time of such funding, is the subject of any sanctions administered by OFAC, or in any other manner that would result in a violation of OFAC sanctions by any Person, including any Person participating in any capacity in the Advances. You will not, and will not permit any of Your Subsidiaries to, (a) be or become subject at any time to any law, regulation or list of any governmental authority of the United States (including the OFAC list) that prohibits or limits Us from making any Advance or extension of credit to You or from otherwise conducting business with You, or (b) fail to provide certificates or documentary or other evidence of Your identity as may be requested by Us at any time to enable Us to verify Your identity or to comply with any applicable law or regulation, including Section 326 of the Patriot Act at 31 U.S.C. Section 5318.</w:t>
      </w:r>
    </w:p>
    <w:p>
      <w:pPr>
        <w:spacing w:after="0" w:line="92" w:lineRule="exact"/>
        <w:rPr>
          <w:rFonts w:ascii="Arial" w:cs="Arial" w:eastAsia="Arial" w:hAnsi="Arial"/>
          <w:sz w:val="18"/>
          <w:szCs w:val="18"/>
          <w:color w:val="auto"/>
        </w:rPr>
      </w:pPr>
    </w:p>
    <w:p>
      <w:pPr>
        <w:ind w:left="430" w:right="400" w:hanging="322"/>
        <w:spacing w:after="0" w:line="266" w:lineRule="auto"/>
        <w:tabs>
          <w:tab w:leader="none" w:pos="430" w:val="left"/>
        </w:tabs>
        <w:numPr>
          <w:ilvl w:val="0"/>
          <w:numId w:val="646"/>
        </w:numPr>
        <w:rPr>
          <w:rFonts w:ascii="Arial" w:cs="Arial" w:eastAsia="Arial" w:hAnsi="Arial"/>
          <w:sz w:val="18"/>
          <w:szCs w:val="18"/>
          <w:color w:val="auto"/>
        </w:rPr>
      </w:pPr>
      <w:r>
        <w:rPr>
          <w:rFonts w:ascii="Arial" w:cs="Arial" w:eastAsia="Arial" w:hAnsi="Arial"/>
          <w:sz w:val="18"/>
          <w:szCs w:val="18"/>
          <w:b w:val="1"/>
          <w:bCs w:val="1"/>
          <w:color w:val="auto"/>
        </w:rPr>
        <w:t xml:space="preserve">Personalis (UK) Limited. </w:t>
      </w:r>
      <w:r>
        <w:rPr>
          <w:rFonts w:ascii="Arial" w:cs="Arial" w:eastAsia="Arial" w:hAnsi="Arial"/>
          <w:sz w:val="18"/>
          <w:szCs w:val="18"/>
          <w:color w:val="auto"/>
        </w:rPr>
        <w:t>You shall not distribute any Cash or other investments to Personalis (UK) Limited other than ordinary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Personalis (UK) Limited pursuant to a cost plus arrangement between You and Personalis (UK) Limited. You agree with in thirty (30) days of Our request to enter into a Charge Over Shares in form and substance acceptable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989445"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77" w:lineRule="exact"/>
        <w:rPr>
          <w:sz w:val="20"/>
          <w:szCs w:val="20"/>
          <w:color w:val="auto"/>
        </w:rPr>
      </w:pPr>
    </w:p>
    <w:p>
      <w:pPr>
        <w:ind w:left="430" w:hanging="430"/>
        <w:spacing w:after="0"/>
        <w:tabs>
          <w:tab w:leader="none" w:pos="430" w:val="left"/>
        </w:tabs>
        <w:numPr>
          <w:ilvl w:val="0"/>
          <w:numId w:val="647"/>
        </w:numPr>
        <w:rPr>
          <w:rFonts w:ascii="Arial" w:cs="Arial" w:eastAsia="Arial" w:hAnsi="Arial"/>
          <w:sz w:val="18"/>
          <w:szCs w:val="18"/>
          <w:b w:val="1"/>
          <w:bCs w:val="1"/>
          <w:color w:val="auto"/>
        </w:rPr>
      </w:pPr>
      <w:r>
        <w:rPr>
          <w:rFonts w:ascii="Arial" w:cs="Arial" w:eastAsia="Arial" w:hAnsi="Arial"/>
          <w:sz w:val="18"/>
          <w:szCs w:val="18"/>
          <w:b w:val="1"/>
          <w:bCs w:val="1"/>
          <w:color w:val="auto"/>
        </w:rPr>
        <w:t>YOU AGREE TO INDEMNIFY AND PROTECT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right="100"/>
        <w:spacing w:after="0" w:line="254" w:lineRule="auto"/>
        <w:rPr>
          <w:sz w:val="20"/>
          <w:szCs w:val="20"/>
          <w:color w:val="auto"/>
        </w:rPr>
      </w:pPr>
      <w:r>
        <w:rPr>
          <w:rFonts w:ascii="Arial" w:cs="Arial" w:eastAsia="Arial" w:hAnsi="Arial"/>
          <w:sz w:val="18"/>
          <w:szCs w:val="18"/>
          <w:color w:val="auto"/>
        </w:rPr>
        <w:t>You agree to indemnify and hold Us, Our officers, directors, employees, agents, attorneys, representatives and shareholders (each, an “</w:t>
      </w:r>
      <w:r>
        <w:rPr>
          <w:rFonts w:ascii="Arial" w:cs="Arial" w:eastAsia="Arial" w:hAnsi="Arial"/>
          <w:sz w:val="18"/>
          <w:szCs w:val="18"/>
          <w:b w:val="1"/>
          <w:bCs w:val="1"/>
          <w:color w:val="auto"/>
        </w:rPr>
        <w:t>Indemnitee</w:t>
      </w:r>
      <w:r>
        <w:rPr>
          <w:rFonts w:ascii="Arial" w:cs="Arial" w:eastAsia="Arial" w:hAnsi="Arial"/>
          <w:sz w:val="18"/>
          <w:szCs w:val="18"/>
          <w:color w:val="auto"/>
        </w:rPr>
        <w:t>”) harmless from and against any and all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that may be instituted or asserted against or incurred by Us or any such Indemnitee as the result of credit having been extended, suspended or terminated under this Agreement and the other Loan Documents or the administration of such credit, or in connection with or arising out of the transactions contemplated or any actions or failures to act in connection with, or arising out of the disposition or utilization of the Collateral, excluding in all cases, claims, costs, expenses, damages and liabilities resulting solely from Our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989445"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78" w:lineRule="exact"/>
        <w:rPr>
          <w:sz w:val="20"/>
          <w:szCs w:val="20"/>
          <w:color w:val="auto"/>
        </w:rPr>
      </w:pPr>
    </w:p>
    <w:p>
      <w:pPr>
        <w:ind w:left="430" w:hanging="430"/>
        <w:spacing w:after="0"/>
        <w:tabs>
          <w:tab w:leader="none" w:pos="430" w:val="left"/>
        </w:tabs>
        <w:numPr>
          <w:ilvl w:val="0"/>
          <w:numId w:val="6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occurrence of any one or more of the following events shall constitute an “Event of Default” under this Agreement:</w:t>
      </w:r>
    </w:p>
    <w:p>
      <w:pPr>
        <w:spacing w:after="0" w:line="126" w:lineRule="exact"/>
        <w:rPr>
          <w:sz w:val="20"/>
          <w:szCs w:val="20"/>
          <w:color w:val="auto"/>
        </w:rPr>
      </w:pPr>
    </w:p>
    <w:p>
      <w:pPr>
        <w:ind w:left="430" w:right="220" w:hanging="322"/>
        <w:spacing w:after="0" w:line="281" w:lineRule="auto"/>
        <w:tabs>
          <w:tab w:leader="none" w:pos="43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You do not pay any principal, interest, fees, costs or other Secured Obligations under this Agreement, the Promissory Notes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related Loan Documents on the due date; or</w:t>
      </w:r>
    </w:p>
    <w:p>
      <w:pPr>
        <w:spacing w:after="0" w:line="68" w:lineRule="exact"/>
        <w:rPr>
          <w:rFonts w:ascii="Arial" w:cs="Arial" w:eastAsia="Arial" w:hAnsi="Arial"/>
          <w:sz w:val="18"/>
          <w:szCs w:val="18"/>
          <w:color w:val="auto"/>
        </w:rPr>
      </w:pPr>
    </w:p>
    <w:p>
      <w:pPr>
        <w:ind w:left="430" w:right="140" w:hanging="322"/>
        <w:spacing w:after="0" w:line="266" w:lineRule="auto"/>
        <w:tabs>
          <w:tab w:leader="none" w:pos="43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 xml:space="preserve">Covenant. </w:t>
      </w:r>
      <w:r>
        <w:rPr>
          <w:rFonts w:ascii="Arial" w:cs="Arial" w:eastAsia="Arial" w:hAnsi="Arial"/>
          <w:sz w:val="18"/>
          <w:szCs w:val="18"/>
          <w:color w:val="auto"/>
        </w:rPr>
        <w:t>Any of You fail to perform any covenant or Secured Obligations under this Agreement, the Promissory Notes or any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Loan Documents, and You fail to cure such breach (to the extent that such breach is capable of being cured) within ten (10) days after the earlier of (i) We give You written notice or (ii) Your actual knowledge of such default; or</w:t>
      </w:r>
    </w:p>
    <w:p>
      <w:pPr>
        <w:spacing w:after="0" w:line="80" w:lineRule="exact"/>
        <w:rPr>
          <w:rFonts w:ascii="Arial" w:cs="Arial" w:eastAsia="Arial" w:hAnsi="Arial"/>
          <w:sz w:val="18"/>
          <w:szCs w:val="18"/>
          <w:color w:val="auto"/>
        </w:rPr>
      </w:pPr>
    </w:p>
    <w:p>
      <w:pPr>
        <w:ind w:left="430" w:right="20" w:hanging="322"/>
        <w:spacing w:after="0" w:line="258" w:lineRule="auto"/>
        <w:tabs>
          <w:tab w:leader="none" w:pos="43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 xml:space="preserve">Misrepresentations. </w:t>
      </w:r>
      <w:r>
        <w:rPr>
          <w:rFonts w:ascii="Arial" w:cs="Arial" w:eastAsia="Arial" w:hAnsi="Arial"/>
          <w:sz w:val="18"/>
          <w:szCs w:val="18"/>
          <w:color w:val="auto"/>
        </w:rPr>
        <w:t>Any of You or any Person acting for any of You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any other Loan Document, or any Excluded Agreement or in any writing delivered to Us or to induce Us to enter this Agreement, any other Loan Document, or any Excluded Agreement, and such representation, warranty, or other statement is incorrect in any material respect when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materiality qualifier shall not be applicable to any representation, warranty or statement that already is qualified or modified by materiality in the text thereof; or</w:t>
      </w:r>
    </w:p>
    <w:p>
      <w:pPr>
        <w:spacing w:after="0" w:line="11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4" w:right="459" w:bottom="1440" w:gutter="0" w:footer="0" w:header="0"/>
        </w:sectPr>
      </w:pPr>
    </w:p>
    <w:bookmarkStart w:id="636" w:name="page637"/>
    <w:bookmarkEnd w:id="636"/>
    <w:p>
      <w:pPr>
        <w:ind w:left="322" w:hanging="322"/>
        <w:spacing w:after="0"/>
        <w:tabs>
          <w:tab w:leader="none" w:pos="322" w:val="left"/>
        </w:tabs>
        <w:numPr>
          <w:ilvl w:val="0"/>
          <w:numId w:val="6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Bankruptcy; Attachment; Other.</w:t>
      </w:r>
    </w:p>
    <w:p>
      <w:pPr>
        <w:spacing w:after="0" w:line="120" w:lineRule="exact"/>
        <w:rPr>
          <w:rFonts w:ascii="Arial" w:cs="Arial" w:eastAsia="Arial" w:hAnsi="Arial"/>
          <w:sz w:val="18"/>
          <w:szCs w:val="18"/>
          <w:color w:val="auto"/>
        </w:rPr>
      </w:pPr>
    </w:p>
    <w:p>
      <w:pPr>
        <w:ind w:left="342" w:right="320" w:firstLine="413"/>
        <w:spacing w:after="0" w:line="286" w:lineRule="auto"/>
        <w:tabs>
          <w:tab w:leader="none" w:pos="1177" w:val="left"/>
        </w:tabs>
        <w:numPr>
          <w:ilvl w:val="2"/>
          <w:numId w:val="650"/>
        </w:numPr>
        <w:rPr>
          <w:rFonts w:ascii="Arial" w:cs="Arial" w:eastAsia="Arial" w:hAnsi="Arial"/>
          <w:sz w:val="16"/>
          <w:szCs w:val="16"/>
          <w:color w:val="auto"/>
        </w:rPr>
      </w:pPr>
      <w:r>
        <w:rPr>
          <w:rFonts w:ascii="Arial" w:cs="Arial" w:eastAsia="Arial" w:hAnsi="Arial"/>
          <w:sz w:val="16"/>
          <w:szCs w:val="16"/>
          <w:color w:val="auto"/>
        </w:rPr>
        <w:t>Any of You (i) assigns Your assets for the benefit of Your creditors, (ii) becomes insolvent or becomes unable to pay Your debts as they become due, or becomes unable to pay or perform Your obligations under the Loan Documents or Excluded Agreements, (iii) files a voluntary petition in bankruptcy, (iv) files any petition, answer, or document seeking for itself any reorganization, arrangement, composition, readjustment, liquidation, dissolution or similar relief under any present or future statute, law or regulation pertinent to such circumstances,</w:t>
      </w:r>
    </w:p>
    <w:p>
      <w:pPr>
        <w:ind w:left="342" w:hanging="10"/>
        <w:spacing w:after="0" w:line="253" w:lineRule="auto"/>
        <w:tabs>
          <w:tab w:leader="none" w:pos="596" w:val="left"/>
        </w:tabs>
        <w:numPr>
          <w:ilvl w:val="1"/>
          <w:numId w:val="650"/>
        </w:numPr>
        <w:rPr>
          <w:rFonts w:ascii="Arial" w:cs="Arial" w:eastAsia="Arial" w:hAnsi="Arial"/>
          <w:sz w:val="18"/>
          <w:szCs w:val="18"/>
          <w:color w:val="auto"/>
        </w:rPr>
      </w:pPr>
      <w:r>
        <w:rPr>
          <w:rFonts w:ascii="Arial" w:cs="Arial" w:eastAsia="Arial" w:hAnsi="Arial"/>
          <w:sz w:val="18"/>
          <w:szCs w:val="18"/>
          <w:color w:val="auto"/>
        </w:rPr>
        <w:t>seeks or consents to or acquiesces in the appointment of any trustee, receiver, or liquidator of itself or of all or any substantial part of its assets or property, (vi) ceases operation of Your business as Your business has normally been conducted, or terminates substantially all of Your employees, or (vii) have Your directors or majority shareholders take any action initiating any of the foregoing actions described in this paragraph; or</w:t>
      </w:r>
    </w:p>
    <w:p>
      <w:pPr>
        <w:spacing w:after="0" w:line="84" w:lineRule="exact"/>
        <w:rPr>
          <w:rFonts w:ascii="Arial" w:cs="Arial" w:eastAsia="Arial" w:hAnsi="Arial"/>
          <w:sz w:val="18"/>
          <w:szCs w:val="18"/>
          <w:color w:val="auto"/>
        </w:rPr>
      </w:pPr>
    </w:p>
    <w:p>
      <w:pPr>
        <w:ind w:left="342" w:right="120" w:firstLine="413"/>
        <w:spacing w:after="0" w:line="287" w:lineRule="auto"/>
        <w:tabs>
          <w:tab w:leader="none" w:pos="1187" w:val="left"/>
        </w:tabs>
        <w:numPr>
          <w:ilvl w:val="2"/>
          <w:numId w:val="650"/>
        </w:numPr>
        <w:rPr>
          <w:rFonts w:ascii="Arial" w:cs="Arial" w:eastAsia="Arial" w:hAnsi="Arial"/>
          <w:sz w:val="16"/>
          <w:szCs w:val="16"/>
          <w:color w:val="auto"/>
        </w:rPr>
      </w:pPr>
      <w:r>
        <w:rPr>
          <w:rFonts w:ascii="Arial" w:cs="Arial" w:eastAsia="Arial" w:hAnsi="Arial"/>
          <w:sz w:val="16"/>
          <w:szCs w:val="16"/>
          <w:color w:val="auto"/>
        </w:rPr>
        <w:t>Either (i) thirty (30) days shall have expired after the commencement of an involuntary action against any of You seeking reorganization, arrangement, composition, readjustment, liquidation, dissolution or similar relief under any present or future statute, law or regulation, without such action being dismissed or all orders or proceedings thereunder affecting Your operations or the business being stayed; or</w:t>
      </w:r>
    </w:p>
    <w:p>
      <w:pPr>
        <w:spacing w:after="0" w:line="1" w:lineRule="exact"/>
        <w:rPr>
          <w:rFonts w:ascii="Arial" w:cs="Arial" w:eastAsia="Arial" w:hAnsi="Arial"/>
          <w:sz w:val="16"/>
          <w:szCs w:val="16"/>
          <w:color w:val="auto"/>
        </w:rPr>
      </w:pPr>
    </w:p>
    <w:p>
      <w:pPr>
        <w:jc w:val="both"/>
        <w:ind w:left="342" w:right="260" w:hanging="10"/>
        <w:spacing w:after="0" w:line="302" w:lineRule="auto"/>
        <w:tabs>
          <w:tab w:leader="none" w:pos="606" w:val="left"/>
        </w:tabs>
        <w:numPr>
          <w:ilvl w:val="1"/>
          <w:numId w:val="651"/>
        </w:numPr>
        <w:rPr>
          <w:rFonts w:ascii="Arial" w:cs="Arial" w:eastAsia="Arial" w:hAnsi="Arial"/>
          <w:sz w:val="16"/>
          <w:szCs w:val="16"/>
          <w:color w:val="auto"/>
        </w:rPr>
      </w:pPr>
      <w:r>
        <w:rPr>
          <w:rFonts w:ascii="Arial" w:cs="Arial" w:eastAsia="Arial" w:hAnsi="Arial"/>
          <w:sz w:val="16"/>
          <w:szCs w:val="16"/>
          <w:color w:val="auto"/>
        </w:rPr>
        <w:t>a stay of any such order or proceeding shall thereafter be set aside and the action setting it aside shall not be timely appealed; or (iii) any of You shall file any answer admitting or not contesting the material allegations of a petition filed against You in any such proceedings; or (iv) the court in which such proceedings are pending shall enter a decree or order granting the relief sought in any such proceedings; or</w:t>
      </w:r>
    </w:p>
    <w:p>
      <w:pPr>
        <w:spacing w:after="0" w:line="46" w:lineRule="exact"/>
        <w:rPr>
          <w:rFonts w:ascii="Arial" w:cs="Arial" w:eastAsia="Arial" w:hAnsi="Arial"/>
          <w:sz w:val="16"/>
          <w:szCs w:val="16"/>
          <w:color w:val="auto"/>
        </w:rPr>
      </w:pPr>
    </w:p>
    <w:p>
      <w:pPr>
        <w:ind w:left="342" w:right="120" w:firstLine="413"/>
        <w:spacing w:after="0" w:line="307" w:lineRule="auto"/>
        <w:tabs>
          <w:tab w:leader="none" w:pos="1184" w:val="left"/>
        </w:tabs>
        <w:numPr>
          <w:ilvl w:val="2"/>
          <w:numId w:val="651"/>
        </w:numPr>
        <w:rPr>
          <w:rFonts w:ascii="Arial" w:cs="Arial" w:eastAsia="Arial" w:hAnsi="Arial"/>
          <w:sz w:val="17"/>
          <w:szCs w:val="17"/>
          <w:color w:val="auto"/>
        </w:rPr>
      </w:pPr>
      <w:r>
        <w:rPr>
          <w:rFonts w:ascii="Arial" w:cs="Arial" w:eastAsia="Arial" w:hAnsi="Arial"/>
          <w:sz w:val="17"/>
          <w:szCs w:val="17"/>
          <w:color w:val="auto"/>
        </w:rPr>
        <w:t>Thirty (30) days shall have expired after the appointment, without Your consent or acquiescence, of any trustee, receiver or liquidator of any of You or of all or any substantial part of the properties of any of You without such appointment being vacated; or</w:t>
      </w:r>
    </w:p>
    <w:p>
      <w:pPr>
        <w:spacing w:after="0" w:line="48" w:lineRule="exact"/>
        <w:rPr>
          <w:rFonts w:ascii="Arial" w:cs="Arial" w:eastAsia="Arial" w:hAnsi="Arial"/>
          <w:sz w:val="17"/>
          <w:szCs w:val="17"/>
          <w:color w:val="auto"/>
        </w:rPr>
      </w:pPr>
    </w:p>
    <w:p>
      <w:pPr>
        <w:ind w:left="322" w:right="80" w:hanging="322"/>
        <w:spacing w:after="0" w:line="260" w:lineRule="auto"/>
        <w:tabs>
          <w:tab w:leader="none" w:pos="322" w:val="left"/>
        </w:tabs>
        <w:numPr>
          <w:ilvl w:val="0"/>
          <w:numId w:val="651"/>
        </w:numPr>
        <w:rPr>
          <w:rFonts w:ascii="Arial" w:cs="Arial" w:eastAsia="Arial" w:hAnsi="Arial"/>
          <w:sz w:val="18"/>
          <w:szCs w:val="18"/>
          <w:color w:val="auto"/>
        </w:rPr>
      </w:pPr>
      <w:r>
        <w:rPr>
          <w:rFonts w:ascii="Arial" w:cs="Arial" w:eastAsia="Arial" w:hAnsi="Arial"/>
          <w:sz w:val="18"/>
          <w:szCs w:val="18"/>
          <w:b w:val="1"/>
          <w:bCs w:val="1"/>
          <w:color w:val="auto"/>
        </w:rPr>
        <w:t xml:space="preserve">Agreements with Us. </w:t>
      </w:r>
      <w:r>
        <w:rPr>
          <w:rFonts w:ascii="Arial" w:cs="Arial" w:eastAsia="Arial" w:hAnsi="Arial"/>
          <w:sz w:val="18"/>
          <w:szCs w:val="18"/>
          <w:color w:val="auto"/>
        </w:rPr>
        <w:t>The occurrence of any default under any other Loan Document, any Excluded Agreement, or any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You and/or any of Your Subsidiaries and Us (other than any default embodied in or covered by any clause of this Section 14) and such default continues for more than twenty (20) days after the earlier of (i) We have given notice of such default to You, or (ii) You have actual knowledge of such default; or</w:t>
      </w:r>
    </w:p>
    <w:p>
      <w:pPr>
        <w:spacing w:after="0" w:line="87" w:lineRule="exact"/>
        <w:rPr>
          <w:rFonts w:ascii="Arial" w:cs="Arial" w:eastAsia="Arial" w:hAnsi="Arial"/>
          <w:sz w:val="18"/>
          <w:szCs w:val="18"/>
          <w:color w:val="auto"/>
        </w:rPr>
      </w:pPr>
    </w:p>
    <w:p>
      <w:pPr>
        <w:ind w:left="322" w:right="60" w:hanging="322"/>
        <w:spacing w:after="0" w:line="314" w:lineRule="auto"/>
        <w:tabs>
          <w:tab w:leader="none" w:pos="322" w:val="left"/>
        </w:tabs>
        <w:numPr>
          <w:ilvl w:val="0"/>
          <w:numId w:val="651"/>
        </w:numPr>
        <w:rPr>
          <w:rFonts w:ascii="Arial" w:cs="Arial" w:eastAsia="Arial" w:hAnsi="Arial"/>
          <w:sz w:val="16"/>
          <w:szCs w:val="16"/>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The occurrence of any default (other than any default embodied in or covered by any other clause of this Section 14) that has</w:t>
      </w:r>
      <w:r>
        <w:rPr>
          <w:rFonts w:ascii="Arial" w:cs="Arial" w:eastAsia="Arial" w:hAnsi="Arial"/>
          <w:sz w:val="16"/>
          <w:szCs w:val="16"/>
          <w:b w:val="1"/>
          <w:bCs w:val="1"/>
          <w:color w:val="auto"/>
        </w:rPr>
        <w:t xml:space="preserve"> </w:t>
      </w:r>
      <w:r>
        <w:rPr>
          <w:rFonts w:ascii="Arial" w:cs="Arial" w:eastAsia="Arial" w:hAnsi="Arial"/>
          <w:sz w:val="16"/>
          <w:szCs w:val="16"/>
          <w:color w:val="auto"/>
        </w:rPr>
        <w:t>not been cured or waived within any applicable grace period under any lease, loan, or other agreement or obligation of any of You involving any obligation which aggregates more than $100,000, or which default could reasonably be expected to have a Material Adverse Effect; or</w:t>
      </w:r>
    </w:p>
    <w:p>
      <w:pPr>
        <w:spacing w:after="0" w:line="46" w:lineRule="exact"/>
        <w:rPr>
          <w:rFonts w:ascii="Arial" w:cs="Arial" w:eastAsia="Arial" w:hAnsi="Arial"/>
          <w:sz w:val="16"/>
          <w:szCs w:val="16"/>
          <w:color w:val="auto"/>
        </w:rPr>
      </w:pPr>
    </w:p>
    <w:p>
      <w:pPr>
        <w:ind w:left="322" w:right="200" w:hanging="322"/>
        <w:spacing w:after="0" w:line="303" w:lineRule="auto"/>
        <w:tabs>
          <w:tab w:leader="none" w:pos="322" w:val="left"/>
        </w:tabs>
        <w:numPr>
          <w:ilvl w:val="0"/>
          <w:numId w:val="651"/>
        </w:numPr>
        <w:rPr>
          <w:rFonts w:ascii="Arial" w:cs="Arial" w:eastAsia="Arial" w:hAnsi="Arial"/>
          <w:sz w:val="16"/>
          <w:szCs w:val="16"/>
          <w:color w:val="auto"/>
        </w:rPr>
      </w:pPr>
      <w:r>
        <w:rPr>
          <w:rFonts w:ascii="Arial" w:cs="Arial" w:eastAsia="Arial" w:hAnsi="Arial"/>
          <w:sz w:val="16"/>
          <w:szCs w:val="16"/>
          <w:b w:val="1"/>
          <w:bCs w:val="1"/>
          <w:color w:val="auto"/>
        </w:rPr>
        <w:t xml:space="preserve">Judgments. </w:t>
      </w:r>
      <w:r>
        <w:rPr>
          <w:rFonts w:ascii="Arial" w:cs="Arial" w:eastAsia="Arial" w:hAnsi="Arial"/>
          <w:sz w:val="16"/>
          <w:szCs w:val="16"/>
          <w:color w:val="auto"/>
        </w:rPr>
        <w:t>The entry of (a) any judgment or arbitration award against any of You involving an award in excess of $100,000 or that could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be expected to have a Material Adverse Effect that is not covered by insurance by a solvent insurance carrier that has confirmed coverage in writing, has not been, discharged, bonded or stayed on appeal within ten (10) days; or (b) any judgment or arbitration award against You in which You are enjoined, restrained or in any way prevented from conducting all or any material part of Your business or affairs; or</w:t>
      </w:r>
    </w:p>
    <w:p>
      <w:pPr>
        <w:spacing w:after="0" w:line="55" w:lineRule="exact"/>
        <w:rPr>
          <w:rFonts w:ascii="Arial" w:cs="Arial" w:eastAsia="Arial" w:hAnsi="Arial"/>
          <w:sz w:val="16"/>
          <w:szCs w:val="16"/>
          <w:color w:val="auto"/>
        </w:rPr>
      </w:pPr>
    </w:p>
    <w:p>
      <w:pPr>
        <w:ind w:left="322" w:hanging="322"/>
        <w:spacing w:after="0" w:line="288" w:lineRule="auto"/>
        <w:tabs>
          <w:tab w:leader="none" w:pos="322" w:val="left"/>
        </w:tabs>
        <w:numPr>
          <w:ilvl w:val="0"/>
          <w:numId w:val="651"/>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Except as otherwise permitted under this Agreement, the occurrence of any event or transaction, including the sale or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outstanding shares of Your capital stock or the capital stock of any of Your Subsidiaries, or series of related events or transactions, resulting in (a) the holders of such outstanding capital stock immediately before consummation of such event or transaction, or series of related events or transactions, do not, immediately after consummation of such event or transaction or series of related events or transactions, retain, directly or indirectly, capital stock representing at least 50% of the voting power of the surviving Person of such event or transaction or series of related events or transactions, in each case without regard to whether You or any of Your Subsidiaries are the surviving Person, (b) any Person or “group” (other than a Person that is a stockholder on the Closing Date) shall obtain “beneficial ownership” (as such terms are defined under Section 13d-3 of and Regulation 13D under the Securities Exchange Act of 1934), either directly or indirectly, of more than 25% of Your outstanding capital stock having the right to vote for the election of directors under ordinary circumstances, or (c) You cease to own and control all of the economic and voting rights associated with all of the outstanding capital stock of Your Subsidiaries; or</w:t>
      </w:r>
    </w:p>
    <w:p>
      <w:pPr>
        <w:spacing w:after="0" w:line="71" w:lineRule="exact"/>
        <w:rPr>
          <w:rFonts w:ascii="Arial" w:cs="Arial" w:eastAsia="Arial" w:hAnsi="Arial"/>
          <w:sz w:val="16"/>
          <w:szCs w:val="16"/>
          <w:color w:val="auto"/>
        </w:rPr>
      </w:pPr>
    </w:p>
    <w:p>
      <w:pPr>
        <w:ind w:left="322" w:right="240" w:hanging="322"/>
        <w:spacing w:after="0" w:line="266" w:lineRule="auto"/>
        <w:tabs>
          <w:tab w:leader="none" w:pos="322" w:val="left"/>
        </w:tabs>
        <w:numPr>
          <w:ilvl w:val="0"/>
          <w:numId w:val="651"/>
        </w:numPr>
        <w:rPr>
          <w:rFonts w:ascii="Arial" w:cs="Arial" w:eastAsia="Arial" w:hAnsi="Arial"/>
          <w:sz w:val="18"/>
          <w:szCs w:val="18"/>
          <w:color w:val="auto"/>
        </w:rPr>
      </w:pPr>
      <w:r>
        <w:rPr>
          <w:rFonts w:ascii="Arial" w:cs="Arial" w:eastAsia="Arial" w:hAnsi="Arial"/>
          <w:sz w:val="18"/>
          <w:szCs w:val="18"/>
          <w:b w:val="1"/>
          <w:bCs w:val="1"/>
          <w:color w:val="auto"/>
        </w:rPr>
        <w:t xml:space="preserve">Investor Support. </w:t>
      </w:r>
      <w:r>
        <w:rPr>
          <w:rFonts w:ascii="Arial" w:cs="Arial" w:eastAsia="Arial" w:hAnsi="Arial"/>
          <w:sz w:val="18"/>
          <w:szCs w:val="18"/>
          <w:color w:val="auto"/>
        </w:rPr>
        <w:t>We have determined, in Our good faith judgment, that it is the intention of Your current equity investors to not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fund, or arrange for the funding of, You in the amounts and timeframe reasonably necessary to enable You to satisfy the Secured Obligations as they become due and payable; or</w:t>
      </w:r>
    </w:p>
    <w:p>
      <w:pPr>
        <w:spacing w:after="0" w:line="112"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2"/>
          </w:cols>
          <w:pgMar w:left="558" w:top="270" w:right="459" w:bottom="1440" w:gutter="0" w:footer="0" w:header="0"/>
        </w:sectPr>
      </w:pPr>
    </w:p>
    <w:bookmarkStart w:id="637" w:name="page638"/>
    <w:bookmarkEnd w:id="637"/>
    <w:p>
      <w:pPr>
        <w:ind w:left="430" w:hanging="322"/>
        <w:spacing w:after="0" w:line="266" w:lineRule="auto"/>
        <w:tabs>
          <w:tab w:leader="none" w:pos="430"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Officers. </w:t>
      </w:r>
      <w:r>
        <w:rPr>
          <w:rFonts w:ascii="Arial" w:cs="Arial" w:eastAsia="Arial" w:hAnsi="Arial"/>
          <w:sz w:val="18"/>
          <w:szCs w:val="18"/>
          <w:color w:val="auto"/>
        </w:rPr>
        <w:t>The individuals holding the offices of Your Chief Executive Officer, President, or Chief Financial Officer as of the Closing Date shall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cease to hold such offices or be actively engaged in Your day-to-day management, unless a successor reasonably acceptable to Us is appointed within ninety (90) days of such cessation; or</w:t>
      </w:r>
    </w:p>
    <w:p>
      <w:pPr>
        <w:spacing w:after="0" w:line="80" w:lineRule="exact"/>
        <w:rPr>
          <w:rFonts w:ascii="Arial" w:cs="Arial" w:eastAsia="Arial" w:hAnsi="Arial"/>
          <w:sz w:val="18"/>
          <w:szCs w:val="18"/>
          <w:color w:val="auto"/>
        </w:rPr>
      </w:pPr>
    </w:p>
    <w:p>
      <w:pPr>
        <w:ind w:left="430" w:right="200" w:hanging="322"/>
        <w:spacing w:after="0" w:line="258" w:lineRule="auto"/>
        <w:tabs>
          <w:tab w:leader="none" w:pos="430"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 xml:space="preserve">Guaranty Documents. </w:t>
      </w:r>
      <w:r>
        <w:rPr>
          <w:rFonts w:ascii="Arial" w:cs="Arial" w:eastAsia="Arial" w:hAnsi="Arial"/>
          <w:sz w:val="18"/>
          <w:szCs w:val="18"/>
          <w:color w:val="auto"/>
        </w:rPr>
        <w:t>(a) Any guaranty of any Secured Obligations terminates or ceases for any reason to be in full force and effect; (b)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does not perform any obligation or covenant under any guaranty of the Secured Obligations or any Event of Default occurs under any security agreement or other agreement between Us and any Guarantor; (c) any event or circumstance described in paragraphs 3 through 8 of this Section 14 occurs with respect to any Guarantor, or (d) the death, liquidation, administration, winding up, or termination of existence of any Guarantor (as applicable)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8944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7" w:lineRule="exact"/>
        <w:rPr>
          <w:sz w:val="20"/>
          <w:szCs w:val="20"/>
          <w:color w:val="auto"/>
        </w:rPr>
      </w:pPr>
    </w:p>
    <w:p>
      <w:pPr>
        <w:ind w:left="430" w:hanging="430"/>
        <w:spacing w:after="0"/>
        <w:tabs>
          <w:tab w:leader="none" w:pos="430" w:val="left"/>
        </w:tabs>
        <w:numPr>
          <w:ilvl w:val="0"/>
          <w:numId w:val="65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UPON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an Event of Default has occurred and is continuing, We can at Our option, and without notice to any of You:</w:t>
      </w:r>
    </w:p>
    <w:p>
      <w:pPr>
        <w:spacing w:after="0" w:line="130" w:lineRule="exact"/>
        <w:rPr>
          <w:sz w:val="20"/>
          <w:szCs w:val="20"/>
          <w:color w:val="auto"/>
        </w:rPr>
      </w:pPr>
    </w:p>
    <w:p>
      <w:pPr>
        <w:ind w:left="430" w:hanging="322"/>
        <w:spacing w:after="0"/>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Terminate our commitment to make any future Advances under this Agreement;</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Terminate Our obligation to permit the principal, interest, fees, costs or other amounts owed by You to Us to remain outstanding;</w:t>
      </w:r>
    </w:p>
    <w:p>
      <w:pPr>
        <w:spacing w:after="0" w:line="130" w:lineRule="exact"/>
        <w:rPr>
          <w:rFonts w:ascii="Arial" w:cs="Arial" w:eastAsia="Arial" w:hAnsi="Arial"/>
          <w:sz w:val="18"/>
          <w:szCs w:val="18"/>
          <w:color w:val="auto"/>
        </w:rPr>
      </w:pPr>
    </w:p>
    <w:p>
      <w:pPr>
        <w:ind w:left="430" w:hanging="322"/>
        <w:spacing w:after="0" w:line="254" w:lineRule="auto"/>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Recover all sums due and accelerate and demand payment of all or any part of the principal, interest, fees, costs or other amounts owed by any of You to Us and declare them to be immediately due and payable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the occurrence of a default of the type described in the fourth paragraph of Section 14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“Bankruptcy; Attachment; Other”), the Promissory Notes and all of the principal, interest, fees, costs or other amounts owed by any of You to Us shall automatically be accelerated and made immediately due and payable, in each case without any further notice or act). Upon and after an Event of Default, the unpaid principal and accrued interest on the Promissory Notes and advances and all outstanding principal, interest, fees, costs or other amounts owed by any of You to Us, including all professional fees and expenses, shall thereafter bear interest at the Default Rate;</w:t>
      </w:r>
    </w:p>
    <w:p>
      <w:pPr>
        <w:spacing w:after="0" w:line="98" w:lineRule="exact"/>
        <w:rPr>
          <w:rFonts w:ascii="Arial" w:cs="Arial" w:eastAsia="Arial" w:hAnsi="Arial"/>
          <w:sz w:val="18"/>
          <w:szCs w:val="18"/>
          <w:color w:val="auto"/>
        </w:rPr>
      </w:pPr>
    </w:p>
    <w:p>
      <w:pPr>
        <w:ind w:left="430" w:right="600" w:hanging="322"/>
        <w:spacing w:after="0" w:line="277" w:lineRule="auto"/>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the account debtors of any of You for amounts, upon terms and in whatever order that We reasonably consider to be advisable;</w:t>
      </w:r>
    </w:p>
    <w:p>
      <w:pPr>
        <w:spacing w:after="0" w:line="75" w:lineRule="exact"/>
        <w:rPr>
          <w:rFonts w:ascii="Arial" w:cs="Arial" w:eastAsia="Arial" w:hAnsi="Arial"/>
          <w:sz w:val="18"/>
          <w:szCs w:val="18"/>
          <w:color w:val="auto"/>
        </w:rPr>
      </w:pPr>
    </w:p>
    <w:p>
      <w:pPr>
        <w:ind w:left="430" w:hanging="322"/>
        <w:spacing w:after="0" w:line="256" w:lineRule="auto"/>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Enter the premises of any of You, without notice and process of law and in compliance with Your security requirements, to remove and repossess the Collateral without being liable to any of You for damages due to the repossession, except those resulting from Our or Our assignees’ negligence and charge You for the cost of repossession, storing and shipping the Collateral. With respect to any premises that any of You own, You hereby grant to Us a license to enter into possession of such premises and to occupy the same, without charge, in order to exercise any of Our rights or remedies provided herein, at law, in equity, or otherwise; and</w:t>
      </w:r>
    </w:p>
    <w:p>
      <w:pPr>
        <w:spacing w:after="0" w:line="96" w:lineRule="exact"/>
        <w:rPr>
          <w:rFonts w:ascii="Arial" w:cs="Arial" w:eastAsia="Arial" w:hAnsi="Arial"/>
          <w:sz w:val="18"/>
          <w:szCs w:val="18"/>
          <w:color w:val="auto"/>
        </w:rPr>
      </w:pPr>
    </w:p>
    <w:p>
      <w:pPr>
        <w:ind w:left="430" w:hanging="322"/>
        <w:spacing w:after="0"/>
        <w:tabs>
          <w:tab w:leader="none" w:pos="43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Pursue any other remedy permitted by law, equity or otherwise.</w:t>
      </w:r>
    </w:p>
    <w:p>
      <w:pPr>
        <w:spacing w:after="0" w:line="225" w:lineRule="exact"/>
        <w:rPr>
          <w:sz w:val="20"/>
          <w:szCs w:val="20"/>
          <w:color w:val="auto"/>
        </w:rPr>
      </w:pPr>
    </w:p>
    <w:p>
      <w:pPr>
        <w:ind w:left="10" w:right="20"/>
        <w:spacing w:after="0" w:line="291" w:lineRule="auto"/>
        <w:rPr>
          <w:sz w:val="20"/>
          <w:szCs w:val="20"/>
          <w:color w:val="auto"/>
        </w:rPr>
      </w:pPr>
      <w:r>
        <w:rPr>
          <w:rFonts w:ascii="Arial" w:cs="Arial" w:eastAsia="Arial" w:hAnsi="Arial"/>
          <w:sz w:val="16"/>
          <w:szCs w:val="16"/>
          <w:color w:val="auto"/>
        </w:rPr>
        <w:t>We may exercise all rights and remedies with respect to the Collateral under this Agreement or the other Loan Documents or otherwise available to Us under the UCC and other applicable law, including the right to release, hold, sell, lease, liquidate, collect, realize upon, or otherwise dispose of all or any part of the Collateral and the right to occupy, utilize, process and commingle the Collateral. Each of You hereby grants to Us a license and right, to use, without charge, the labels, patents, copyrights, rights of use of any name, trade secrets, trade names, trademarks, service marks, and advertising matter, or any property of a similar nature of any of You, as it pertains to the Collateral, in completing production of, advertising for sale, and selling any Collateral. In connection with Our exercise of Our rights under this Agreement and the other Loan Documents, each of the rights of any of You under all licenses and all franchise agreements shall inure to Our benefit. All Our rights and remedies shall be cumulative and not exclusive.</w:t>
      </w:r>
    </w:p>
    <w:p>
      <w:pPr>
        <w:spacing w:after="0" w:line="165" w:lineRule="exact"/>
        <w:rPr>
          <w:sz w:val="20"/>
          <w:szCs w:val="20"/>
          <w:color w:val="auto"/>
        </w:rPr>
      </w:pPr>
    </w:p>
    <w:p>
      <w:pPr>
        <w:ind w:left="10" w:right="120"/>
        <w:spacing w:after="0" w:line="284" w:lineRule="auto"/>
        <w:rPr>
          <w:sz w:val="20"/>
          <w:szCs w:val="20"/>
          <w:color w:val="auto"/>
        </w:rPr>
      </w:pPr>
      <w:r>
        <w:rPr>
          <w:rFonts w:ascii="Arial" w:cs="Arial" w:eastAsia="Arial" w:hAnsi="Arial"/>
          <w:sz w:val="16"/>
          <w:szCs w:val="16"/>
          <w:color w:val="auto"/>
        </w:rPr>
        <w:t>In addition to the power of attorney granted by each of You to Us in Section 12, effective only upon the occurrence and during the continuance of an Event of Default, each of You hereby irrevocably appoints Us (and any of Our designated officers, agents, attorneys or employees) as Your true and lawful attorney to: (a) send requests for verification of Receivables or notify account debtors of Our security interest in the Receivables; (b) endorse Your name on any checks or other forms of payment or security that may come into Our possession; (c) sign Your name on any invoice or bill of lading relating to any Receivable, drafts against account debtors, schedules and assignments of Receivables, verifications of Receivables, and notices to account debtors; (d) dispose of any Collateral; (e) make, settle, and adjust all claims under and decisions with respect to Your policies of insurance;</w:t>
      </w:r>
    </w:p>
    <w:p>
      <w:pPr>
        <w:spacing w:after="0" w:line="3" w:lineRule="exact"/>
        <w:rPr>
          <w:sz w:val="20"/>
          <w:szCs w:val="20"/>
          <w:color w:val="auto"/>
        </w:rPr>
      </w:pPr>
    </w:p>
    <w:p>
      <w:pPr>
        <w:ind w:left="10" w:right="220" w:hanging="10"/>
        <w:spacing w:after="0" w:line="260" w:lineRule="auto"/>
        <w:tabs>
          <w:tab w:leader="none" w:pos="234" w:val="left"/>
        </w:tabs>
        <w:numPr>
          <w:ilvl w:val="0"/>
          <w:numId w:val="655"/>
        </w:numPr>
        <w:rPr>
          <w:rFonts w:ascii="Arial" w:cs="Arial" w:eastAsia="Arial" w:hAnsi="Arial"/>
          <w:sz w:val="18"/>
          <w:szCs w:val="18"/>
          <w:color w:val="auto"/>
        </w:rPr>
      </w:pPr>
      <w:r>
        <w:rPr>
          <w:rFonts w:ascii="Arial" w:cs="Arial" w:eastAsia="Arial" w:hAnsi="Arial"/>
          <w:sz w:val="18"/>
          <w:szCs w:val="18"/>
          <w:color w:val="auto"/>
        </w:rPr>
        <w:t>settle and adjust disputes and claims respecting the Accounts directly with account debtors, for amounts and upon terms which We determine to be reasonable. Our appointment as</w:t>
      </w:r>
    </w:p>
    <w:p>
      <w:pPr>
        <w:spacing w:after="0" w:line="11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0" w:right="439" w:bottom="1440" w:gutter="0" w:footer="0" w:header="0"/>
        </w:sectPr>
      </w:pPr>
    </w:p>
    <w:bookmarkStart w:id="638" w:name="page639"/>
    <w:bookmarkEnd w:id="638"/>
    <w:p>
      <w:pPr>
        <w:ind w:left="10"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attorney in fact for each of You, and each and every one of Our rights and powers, being coupled with an interest, is irrevocable until all of the Secured Obligations (other than inchoate indemnity obligations) have been fully repaid and performed and Our obligation to provide Advances hereunder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8944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53" w:lineRule="exact"/>
        <w:rPr>
          <w:sz w:val="20"/>
          <w:szCs w:val="20"/>
          <w:color w:val="auto"/>
        </w:rPr>
      </w:pPr>
    </w:p>
    <w:p>
      <w:pPr>
        <w:ind w:left="430" w:hanging="430"/>
        <w:spacing w:after="0"/>
        <w:tabs>
          <w:tab w:leader="none" w:pos="430" w:val="left"/>
        </w:tabs>
        <w:numPr>
          <w:ilvl w:val="0"/>
          <w:numId w:val="65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YOU ARE IN DEFAULT AND WE EXERCISE OUR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right="60"/>
        <w:spacing w:after="0" w:line="273" w:lineRule="auto"/>
        <w:rPr>
          <w:sz w:val="20"/>
          <w:szCs w:val="20"/>
          <w:color w:val="auto"/>
        </w:rPr>
      </w:pPr>
      <w:r>
        <w:rPr>
          <w:rFonts w:ascii="Arial" w:cs="Arial" w:eastAsia="Arial" w:hAnsi="Arial"/>
          <w:sz w:val="17"/>
          <w:szCs w:val="17"/>
          <w:color w:val="auto"/>
        </w:rPr>
        <w:t>If an Event of Default has occurred and is continuing, We may, at any time or from time to time, apply, collect, liquidate, sell in one or more sales, lease or otherwise dispose of, any or all of the Collateral, in its then condition or following any commercially reasonable preparation or processing, in such order as We may elect. Any such sale may be made either at public or private sale at the place of business of any of You or elsewhere. Each of You agrees that any such public or private sale may occur upon Our ten (10) calendar days’ prior written notice to You. We may require any of You to assemble the Collateral and make it available to Us at a place We designate that is reasonably convenient to Us. The proceeds of any sale, disposition or other realization upon all or any part of the Collateral shall be applied in the following order of priorities:</w:t>
      </w:r>
    </w:p>
    <w:p>
      <w:pPr>
        <w:spacing w:after="0" w:line="69" w:lineRule="exact"/>
        <w:rPr>
          <w:sz w:val="20"/>
          <w:szCs w:val="20"/>
          <w:color w:val="auto"/>
        </w:rPr>
      </w:pPr>
    </w:p>
    <w:p>
      <w:pPr>
        <w:ind w:left="45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Us in an amount sufficient to pay in full Our costs and professionals’ and advisors’ fees and expenses;</w:t>
      </w:r>
    </w:p>
    <w:p>
      <w:pPr>
        <w:spacing w:after="0" w:line="117" w:lineRule="exact"/>
        <w:rPr>
          <w:sz w:val="20"/>
          <w:szCs w:val="20"/>
          <w:color w:val="auto"/>
        </w:rPr>
      </w:pPr>
    </w:p>
    <w:p>
      <w:pPr>
        <w:ind w:left="450" w:right="160"/>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Us in an amount equal to the then unpaid amount of all the principal, interest, fees, costs or other amounts owed by any of You to Us, in such order and priority as We may choose in Our sole discretion; and</w:t>
      </w:r>
    </w:p>
    <w:p>
      <w:pPr>
        <w:spacing w:after="0" w:line="62" w:lineRule="exact"/>
        <w:rPr>
          <w:sz w:val="20"/>
          <w:szCs w:val="20"/>
          <w:color w:val="auto"/>
        </w:rPr>
      </w:pPr>
    </w:p>
    <w:p>
      <w:pPr>
        <w:ind w:left="450" w:right="180"/>
        <w:spacing w:after="0" w:line="263"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after the full, final, and indefeasible payment in Cash of all of the principal, interest, fees, costs or other amounts owed by any of You to Us, to any creditor holding a junior Lien on the Collateral, or to any of You or Your representatives or as a court of competent jurisdiction may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8944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0" w:lineRule="exact"/>
        <w:rPr>
          <w:sz w:val="20"/>
          <w:szCs w:val="20"/>
          <w:color w:val="auto"/>
        </w:rPr>
      </w:pPr>
    </w:p>
    <w:p>
      <w:pPr>
        <w:ind w:left="430" w:hanging="430"/>
        <w:spacing w:after="0"/>
        <w:tabs>
          <w:tab w:leader="none" w:pos="430"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CROSS-GUARANTY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spacing w:after="0" w:line="256" w:lineRule="auto"/>
        <w:rPr>
          <w:sz w:val="20"/>
          <w:szCs w:val="20"/>
          <w:color w:val="auto"/>
        </w:rPr>
      </w:pPr>
      <w:r>
        <w:rPr>
          <w:rFonts w:ascii="Arial" w:cs="Arial" w:eastAsia="Arial" w:hAnsi="Arial"/>
          <w:sz w:val="18"/>
          <w:szCs w:val="18"/>
          <w:b w:val="1"/>
          <w:bCs w:val="1"/>
          <w:color w:val="auto"/>
        </w:rPr>
        <w:t xml:space="preserve">Cross-Guaranty. </w:t>
      </w:r>
      <w:r>
        <w:rPr>
          <w:rFonts w:ascii="Arial" w:cs="Arial" w:eastAsia="Arial" w:hAnsi="Arial"/>
          <w:sz w:val="18"/>
          <w:szCs w:val="18"/>
          <w:color w:val="auto"/>
        </w:rPr>
        <w:t>Each of You hereby agrees that You are jointly and severally liable for, and hereby absolutely and unconditionally guarantees to Us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respective successors and assigns, the full and prompt payment (whether at stated maturity, by acceleration or otherwise) and performance of all Secured Obligations owed or hereafter owing to Us by the other of You. Each of You agrees that Your guaranty obligation hereunder is a continuing guaranty of payment and performance and not of collection, that Your obligations under this Section shall not be discharged until payment and performance, in full, of the Secured Obligations has occurred, and that Your obligations under this Section shall be absolute and unconditional, irrespective of, and unaffected by:</w:t>
      </w:r>
    </w:p>
    <w:p>
      <w:pPr>
        <w:spacing w:after="0" w:line="96" w:lineRule="exact"/>
        <w:rPr>
          <w:sz w:val="20"/>
          <w:szCs w:val="20"/>
          <w:color w:val="auto"/>
        </w:rPr>
      </w:pPr>
    </w:p>
    <w:p>
      <w:pPr>
        <w:ind w:left="430" w:right="220" w:hanging="322"/>
        <w:spacing w:after="0" w:line="277" w:lineRule="auto"/>
        <w:tabs>
          <w:tab w:leader="none" w:pos="43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genuineness, validity, regularity, enforceability or any future amendment of, or change in, this Agreement, any other Loan Document or any other agreement, document or instrument to which any of You are or may become a party;</w:t>
      </w:r>
    </w:p>
    <w:p>
      <w:pPr>
        <w:spacing w:after="0" w:line="75" w:lineRule="exact"/>
        <w:rPr>
          <w:rFonts w:ascii="Arial" w:cs="Arial" w:eastAsia="Arial" w:hAnsi="Arial"/>
          <w:sz w:val="18"/>
          <w:szCs w:val="18"/>
          <w:color w:val="auto"/>
        </w:rPr>
      </w:pPr>
    </w:p>
    <w:p>
      <w:pPr>
        <w:ind w:left="430" w:right="360" w:hanging="322"/>
        <w:spacing w:after="0" w:line="277" w:lineRule="auto"/>
        <w:tabs>
          <w:tab w:leader="none" w:pos="43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absence of any action to enforce this Agreement (including this Section) or any other Loan Document or the waiver or consent by Us with respect to any of the provisions thereof;</w:t>
      </w:r>
    </w:p>
    <w:p>
      <w:pPr>
        <w:spacing w:after="0" w:line="75" w:lineRule="exact"/>
        <w:rPr>
          <w:rFonts w:ascii="Arial" w:cs="Arial" w:eastAsia="Arial" w:hAnsi="Arial"/>
          <w:sz w:val="18"/>
          <w:szCs w:val="18"/>
          <w:color w:val="auto"/>
        </w:rPr>
      </w:pPr>
    </w:p>
    <w:p>
      <w:pPr>
        <w:ind w:left="430" w:hanging="322"/>
        <w:spacing w:after="0" w:line="277" w:lineRule="auto"/>
        <w:tabs>
          <w:tab w:leader="none" w:pos="43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existence, value or condition of, or failure to perfect Our Lien against, any security for the Secured Obligations or any action, or the absence of any action, by Us in respect thereof (including the release of any such security);</w:t>
      </w:r>
    </w:p>
    <w:p>
      <w:pPr>
        <w:spacing w:after="0" w:line="75" w:lineRule="exact"/>
        <w:rPr>
          <w:rFonts w:ascii="Arial" w:cs="Arial" w:eastAsia="Arial" w:hAnsi="Arial"/>
          <w:sz w:val="18"/>
          <w:szCs w:val="18"/>
          <w:color w:val="auto"/>
        </w:rPr>
      </w:pPr>
    </w:p>
    <w:p>
      <w:pPr>
        <w:ind w:left="430" w:hanging="322"/>
        <w:spacing w:after="0"/>
        <w:tabs>
          <w:tab w:leader="none" w:pos="43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insolvency of any of You; or</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any other action or circumstances that might otherwise constitute a legal or equitable discharge or defense of a surety or guarantor.</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6"/>
          <w:szCs w:val="16"/>
          <w:color w:val="auto"/>
        </w:rPr>
        <w:t>Each of You shall be regarded, and shall be in the same position, as principal debtor with respect to the Secured Obligations guaranteed hereunder.</w:t>
      </w:r>
    </w:p>
    <w:p>
      <w:pPr>
        <w:spacing w:after="0" w:line="244" w:lineRule="exact"/>
        <w:rPr>
          <w:sz w:val="20"/>
          <w:szCs w:val="20"/>
          <w:color w:val="auto"/>
        </w:rPr>
      </w:pPr>
    </w:p>
    <w:p>
      <w:pPr>
        <w:ind w:left="10" w:right="100"/>
        <w:spacing w:after="0" w:line="256" w:lineRule="auto"/>
        <w:rPr>
          <w:sz w:val="20"/>
          <w:szCs w:val="20"/>
          <w:color w:val="auto"/>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Each of You expressly waives all rights any of You may have now or in the future under any statute, or at common law, or at law or in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to compel Us to marshal assets or to proceed in respect of the Secured Obligations guaranteed hereunder against the other of You, any other party or against any security for the payment and performance of the Secured Obligations before proceeding against, or as a condition to proceeding against, You. It is agreed among each of You and Us that the foregoing waivers are of the essence of the transaction contemplated by this Agreement and the other Loan Documents and that, but for the provisions of this Section and such waivers, We would decline to enter into this Agreement.</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0"/>
          </w:cols>
          <w:pgMar w:left="450" w:top="274" w:right="459" w:bottom="1440" w:gutter="0" w:footer="0" w:header="0"/>
        </w:sectPr>
      </w:pPr>
    </w:p>
    <w:bookmarkStart w:id="639" w:name="page640"/>
    <w:bookmarkEnd w:id="639"/>
    <w:p>
      <w:pP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Benefit of Guaranty. </w:t>
      </w:r>
      <w:r>
        <w:rPr>
          <w:rFonts w:ascii="Arial" w:cs="Arial" w:eastAsia="Arial" w:hAnsi="Arial"/>
          <w:sz w:val="18"/>
          <w:szCs w:val="18"/>
          <w:color w:val="auto"/>
        </w:rPr>
        <w:t>Each of You agrees that the provisions of this Section are for Our benefit and the benefit of Our respective successors,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endorsees and assigns, and nothing herein contained shall impair, as between any other Person and Us, the obligations of such Person under the Loan Documents.</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Waiver of Subrogation, Etc. </w:t>
      </w:r>
      <w:r>
        <w:rPr>
          <w:rFonts w:ascii="Arial" w:cs="Arial" w:eastAsia="Arial" w:hAnsi="Arial"/>
          <w:sz w:val="18"/>
          <w:szCs w:val="18"/>
          <w:color w:val="auto"/>
        </w:rPr>
        <w:t>Notwithstanding anything to the contrary in this Agreement or in any other Loan Document, and except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each of You hereby expressly and irrevocably waives any and all rights at law or in equity to subrogation, reimbursement, exoneration, contribution, indemnification or set off and any and all defenses available to a surety, guarantor or accommodation co-obligor. Each of You acknowledges and agrees that this waiver is intended to benefit Us and shall not limit or otherwise affect Your liability hereunder or the enforceability of this Section, and that We and Our respective successors and assigns are intended third party beneficiaries of the waivers and agreements set forth in this Section.</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Election of Remedies. </w:t>
      </w:r>
      <w:r>
        <w:rPr>
          <w:rFonts w:ascii="Arial" w:cs="Arial" w:eastAsia="Arial" w:hAnsi="Arial"/>
          <w:sz w:val="17"/>
          <w:szCs w:val="17"/>
          <w:color w:val="auto"/>
        </w:rPr>
        <w:t>If We may, under applicable law, proceed to realize Our benefits under any of the Loan Documents giving Us a Lien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whether owned by any of You or by any other Person, either by judicial foreclosure or by non judicial sale or enforcement, We may, at Our sole option, determine which of Our remedies or rights We may pursue without affecting any of Our rights and remedies under this Section. If, in the exercise of any of Our rights and remedies, We shall forfeit any of Our rights or remedies, including Our right to enter a deficiency judgment against any of You or any other Person, whether because of any applicable laws pertaining to “election of remedies” or the like, each of You hereby consents to such action by Us and waives any claim based upon such action, even if such action by Us shall result in a full or partial loss of any rights of subrogation that any of You might otherwise have had but for such action by Us. Any election of remedies that results in the denial or impairment of any right of Ours to seek a deficiency judgment against any of You shall not impair the respective obligations of the rest of You to pay the full amount of the Secured Obligations. In the event We shall bid at any foreclosure or trustee’s sale or at any private sale permitted by law or the Loan Documents, We may bid all or less than the amount of the Secured Obligations and the amount of such bid need not be paid by Us but shall be credited against the Secured Obligations. The amount of the successful bid at any such sale, whether We are or any other party is the successful bidder, shall be conclusively deemed to be the fair market value of the Collateral and the difference between such bid amount and the remaining balance of the Secured Obligations shall be conclusively deemed to be the amount of the Secured Obligations guaranteed under this Section, notwithstanding that any present or future law or court decision or ruling may have the effect of reducing the amount of any deficiency claim to which We might otherwise be entitled but for such bidding at any such sale.</w:t>
      </w:r>
    </w:p>
    <w:p>
      <w:pPr>
        <w:spacing w:after="0" w:line="17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color w:val="auto"/>
        </w:rPr>
        <w:t>Limitation</w:t>
      </w:r>
      <w:r>
        <w:rPr>
          <w:rFonts w:ascii="Arial" w:cs="Arial" w:eastAsia="Arial" w:hAnsi="Arial"/>
          <w:sz w:val="17"/>
          <w:szCs w:val="17"/>
          <w:color w:val="auto"/>
        </w:rPr>
        <w:t>. Notwithstanding any provision herein contained to the contrary, the liability of each of You under this Section (which liability is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in addition to amounts for which You are primarily liable under this Agreement) shall be limited to an amount not to exceed as of any date of determination the greater of: (a) the net amount of the amounts advanced to the other of You under this Agreement and then re-loaned or otherwise transferred to, or for the benefit of, the other of You; and (b) the amount that could be claimed by Us from the other of You under this Section without rendering such claim voidable or avoidable under Section 548 of Chapter 11 of the Bankruptcy Code or under any applicable state Uniform Fraudulent Transfer Act, Uniform Fraudulent Conveyance Act or similar statute or common law after taking into account, among other things, Your right of contribution and indemnification from the other of You under this Section.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with Respect to Guaranty Obligations</w:t>
      </w:r>
      <w:r>
        <w:rPr>
          <w:rFonts w:ascii="Arial" w:cs="Arial" w:eastAsia="Arial" w:hAnsi="Arial"/>
          <w:sz w:val="18"/>
          <w:szCs w:val="18"/>
          <w:color w:val="auto"/>
        </w:rPr>
        <w:t>.</w:t>
      </w:r>
    </w:p>
    <w:p>
      <w:pPr>
        <w:spacing w:after="0" w:line="134" w:lineRule="exact"/>
        <w:rPr>
          <w:sz w:val="20"/>
          <w:szCs w:val="20"/>
          <w:color w:val="auto"/>
        </w:rPr>
      </w:pPr>
    </w:p>
    <w:p>
      <w:pPr>
        <w:ind w:left="860" w:hanging="330"/>
        <w:spacing w:after="0" w:line="290" w:lineRule="auto"/>
        <w:tabs>
          <w:tab w:leader="none" w:pos="860" w:val="left"/>
        </w:tabs>
        <w:numPr>
          <w:ilvl w:val="0"/>
          <w:numId w:val="659"/>
        </w:numPr>
        <w:rPr>
          <w:rFonts w:ascii="Arial" w:cs="Arial" w:eastAsia="Arial" w:hAnsi="Arial"/>
          <w:sz w:val="16"/>
          <w:szCs w:val="16"/>
          <w:color w:val="auto"/>
        </w:rPr>
      </w:pPr>
      <w:r>
        <w:rPr>
          <w:rFonts w:ascii="Arial" w:cs="Arial" w:eastAsia="Arial" w:hAnsi="Arial"/>
          <w:sz w:val="16"/>
          <w:szCs w:val="16"/>
          <w:color w:val="auto"/>
        </w:rPr>
        <w:t>To the extent that any of You shall make a payment under this Section of all or any of the Secured Obligations (a “</w:t>
      </w:r>
      <w:r>
        <w:rPr>
          <w:rFonts w:ascii="Arial" w:cs="Arial" w:eastAsia="Arial" w:hAnsi="Arial"/>
          <w:sz w:val="16"/>
          <w:szCs w:val="16"/>
          <w:u w:val="single" w:color="auto"/>
          <w:color w:val="auto"/>
        </w:rPr>
        <w:t>Guarantor Payment</w:t>
      </w:r>
      <w:r>
        <w:rPr>
          <w:rFonts w:ascii="Arial" w:cs="Arial" w:eastAsia="Arial" w:hAnsi="Arial"/>
          <w:sz w:val="16"/>
          <w:szCs w:val="16"/>
          <w:color w:val="auto"/>
        </w:rPr>
        <w:t>”) that, taking into account all other Guarantor Payments then previously or concurrently made by such Person, exceeds the amount that such Person would otherwise have paid if each of You had paid the aggregate Secured Obligations satisfied by such Guarantor Payment in the same proportion that such Person’s Allocable Amount (as defined below) (as determined immediately prior to such Guarantor Payment) bore to the aggregate Allocable Amounts of all of You as determined immediately prior to the making of such Guarantor Payment, then, following indefeasible payment in full in cash of the Secured Obligations and termination of Our obligation to fund Advances, such Person shall be entitled to receive contribution and indemnification payments from, and be reimbursed by, the other of You for the amount of such excess, pro rata based upon their respective Allocable Amounts in effect immediately prior to such Guarantor Payment.</w:t>
      </w:r>
    </w:p>
    <w:p>
      <w:pPr>
        <w:spacing w:after="0" w:line="69" w:lineRule="exact"/>
        <w:rPr>
          <w:rFonts w:ascii="Arial" w:cs="Arial" w:eastAsia="Arial" w:hAnsi="Arial"/>
          <w:sz w:val="16"/>
          <w:szCs w:val="16"/>
          <w:color w:val="auto"/>
        </w:rPr>
      </w:pPr>
    </w:p>
    <w:p>
      <w:pPr>
        <w:ind w:left="860" w:right="20" w:hanging="330"/>
        <w:spacing w:after="0" w:line="259" w:lineRule="auto"/>
        <w:tabs>
          <w:tab w:leader="none" w:pos="86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As of any date of determination, the “Allocable Amount” of any of You shall be equal to the maximum amount of the claim that could then be recovered from such Person under this section without rendering such claim voidable or avoidable under Section 548 of Chapter 11 of the Bankruptcy Code or under any applicable state Uniform Fraudulent Transfer Act, Uniform Fraudulent Conveyance Act or similar statute or common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0" w:right="439" w:bottom="1440" w:gutter="0" w:footer="0" w:header="0"/>
        </w:sectPr>
      </w:pPr>
    </w:p>
    <w:bookmarkStart w:id="640" w:name="page641"/>
    <w:bookmarkEnd w:id="640"/>
    <w:p>
      <w:pPr>
        <w:ind w:left="870" w:hanging="330"/>
        <w:spacing w:after="0" w:line="256" w:lineRule="auto"/>
        <w:tabs>
          <w:tab w:leader="none" w:pos="870" w:val="left"/>
        </w:tabs>
        <w:numPr>
          <w:ilvl w:val="0"/>
          <w:numId w:val="6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subsection is intended only to define the relative rights of each of You and nothing set forth in this subsection is intended to or shall impair the obligations of each of You, jointly and severally, to pay any amounts as and when the same shall become due and payable in accordance with the terms of this Agreement, including subsection “Cross-Guaranty” above. Nothing contained in this subsection shall limit the liability of any of You to pay the Advances made directly or indirectly to You and accrued interest, fees and expenses with respect thereto, for which You shall be primarily liable.</w:t>
      </w:r>
    </w:p>
    <w:p>
      <w:pPr>
        <w:spacing w:after="0" w:line="96" w:lineRule="exact"/>
        <w:rPr>
          <w:rFonts w:ascii="Arial" w:cs="Arial" w:eastAsia="Arial" w:hAnsi="Arial"/>
          <w:sz w:val="18"/>
          <w:szCs w:val="18"/>
          <w:color w:val="auto"/>
        </w:rPr>
      </w:pPr>
    </w:p>
    <w:p>
      <w:pPr>
        <w:ind w:left="870" w:right="140" w:hanging="330"/>
        <w:spacing w:after="0" w:line="277" w:lineRule="auto"/>
        <w:tabs>
          <w:tab w:leader="none" w:pos="87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Person to which such contribution and indemnification is owing.</w:t>
      </w:r>
    </w:p>
    <w:p>
      <w:pPr>
        <w:spacing w:after="0" w:line="75" w:lineRule="exact"/>
        <w:rPr>
          <w:rFonts w:ascii="Arial" w:cs="Arial" w:eastAsia="Arial" w:hAnsi="Arial"/>
          <w:sz w:val="18"/>
          <w:szCs w:val="18"/>
          <w:color w:val="auto"/>
        </w:rPr>
      </w:pPr>
    </w:p>
    <w:p>
      <w:pPr>
        <w:ind w:left="870" w:right="520" w:hanging="330"/>
        <w:spacing w:after="0" w:line="277" w:lineRule="auto"/>
        <w:tabs>
          <w:tab w:leader="none" w:pos="87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rights of the indemnifying Persons against other Persons under this subsection shall be exercisable upon the full and indefeasible payment of the Secured Obligations and the termination of Our obligation to fund Advances.</w:t>
      </w:r>
    </w:p>
    <w:p>
      <w:pPr>
        <w:spacing w:after="0" w:line="166" w:lineRule="exact"/>
        <w:rPr>
          <w:sz w:val="20"/>
          <w:szCs w:val="20"/>
          <w:color w:val="auto"/>
        </w:rPr>
      </w:pPr>
    </w:p>
    <w:p>
      <w:pPr>
        <w:ind w:left="10" w:right="100"/>
        <w:spacing w:after="0" w:line="314" w:lineRule="auto"/>
        <w:rPr>
          <w:sz w:val="20"/>
          <w:szCs w:val="20"/>
          <w:color w:val="auto"/>
        </w:rPr>
      </w:pPr>
      <w:r>
        <w:rPr>
          <w:rFonts w:ascii="Arial" w:cs="Arial" w:eastAsia="Arial" w:hAnsi="Arial"/>
          <w:sz w:val="16"/>
          <w:szCs w:val="16"/>
          <w:b w:val="1"/>
          <w:bCs w:val="1"/>
          <w:u w:val="single" w:color="auto"/>
          <w:color w:val="auto"/>
        </w:rPr>
        <w:t>Liability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The liability of each of You under this Section is in addition to and shall be cumulative with all liabilities of each of You to Us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and the other Loan Documents to which You are a party or in respect of any Secured Obligations or obligation of each of You, without any limitation as to amount, unless the instrument or agreement evidencing or creating such other liability specifically provides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698944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6" w:lineRule="exact"/>
        <w:rPr>
          <w:sz w:val="20"/>
          <w:szCs w:val="20"/>
          <w:color w:val="auto"/>
        </w:rPr>
      </w:pPr>
    </w:p>
    <w:p>
      <w:pPr>
        <w:ind w:left="430" w:hanging="430"/>
        <w:spacing w:after="0"/>
        <w:tabs>
          <w:tab w:leader="none" w:pos="430" w:val="left"/>
        </w:tabs>
        <w:numPr>
          <w:ilvl w:val="0"/>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YOU WILL PROVIDE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Upon signing this Agreement You will provide Us with each of the following documents on or before the Closing Date</w:t>
      </w:r>
      <w:r>
        <w:rPr>
          <w:rFonts w:ascii="Arial" w:cs="Arial" w:eastAsia="Arial" w:hAnsi="Arial"/>
          <w:sz w:val="18"/>
          <w:szCs w:val="18"/>
          <w:b w:val="1"/>
          <w:bCs w:val="1"/>
          <w:color w:val="auto"/>
        </w:rPr>
        <w:t>:</w:t>
      </w:r>
    </w:p>
    <w:p>
      <w:pPr>
        <w:spacing w:after="0" w:line="134" w:lineRule="exact"/>
        <w:rPr>
          <w:sz w:val="20"/>
          <w:szCs w:val="20"/>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Executed originals of this Agreement, and all other documents and instruments that We may reasonably require;</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Secretary’s certificate of incumbency and authority for each of You;</w:t>
      </w:r>
    </w:p>
    <w:p>
      <w:pPr>
        <w:spacing w:after="0" w:line="130" w:lineRule="exact"/>
        <w:rPr>
          <w:rFonts w:ascii="Arial" w:cs="Arial" w:eastAsia="Arial" w:hAnsi="Arial"/>
          <w:sz w:val="18"/>
          <w:szCs w:val="18"/>
          <w:color w:val="auto"/>
        </w:rPr>
      </w:pPr>
    </w:p>
    <w:p>
      <w:pPr>
        <w:ind w:left="430" w:right="280" w:hanging="322"/>
        <w:spacing w:after="0" w:line="341" w:lineRule="auto"/>
        <w:tabs>
          <w:tab w:leader="none" w:pos="430" w:val="left"/>
        </w:tabs>
        <w:numPr>
          <w:ilvl w:val="0"/>
          <w:numId w:val="662"/>
        </w:numPr>
        <w:rPr>
          <w:rFonts w:ascii="Arial" w:cs="Arial" w:eastAsia="Arial" w:hAnsi="Arial"/>
          <w:sz w:val="16"/>
          <w:szCs w:val="16"/>
          <w:color w:val="auto"/>
        </w:rPr>
      </w:pPr>
      <w:r>
        <w:rPr>
          <w:rFonts w:ascii="Arial" w:cs="Arial" w:eastAsia="Arial" w:hAnsi="Arial"/>
          <w:sz w:val="16"/>
          <w:szCs w:val="16"/>
          <w:color w:val="auto"/>
        </w:rPr>
        <w:t>Certified copy of resolutions of each of Your boards of directors approving this Agreement, the associated Warrant Agreement(s) and the other Loan Documents and the transactions evidenced by this Agreement, the associated Warrant Agreement(s) and the other Loan Documents;</w:t>
      </w:r>
    </w:p>
    <w:p>
      <w:pPr>
        <w:spacing w:after="0" w:line="30" w:lineRule="exact"/>
        <w:rPr>
          <w:rFonts w:ascii="Arial" w:cs="Arial" w:eastAsia="Arial" w:hAnsi="Arial"/>
          <w:sz w:val="16"/>
          <w:szCs w:val="16"/>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Certified copy of Certificate of Incorporation and By-Laws for each of You, as amended through the Closing Date;</w:t>
      </w:r>
    </w:p>
    <w:p>
      <w:pPr>
        <w:spacing w:after="0" w:line="130" w:lineRule="exact"/>
        <w:rPr>
          <w:rFonts w:ascii="Arial" w:cs="Arial" w:eastAsia="Arial" w:hAnsi="Arial"/>
          <w:sz w:val="18"/>
          <w:szCs w:val="18"/>
          <w:color w:val="auto"/>
        </w:rPr>
      </w:pPr>
    </w:p>
    <w:p>
      <w:pPr>
        <w:ind w:left="430" w:right="140" w:hanging="322"/>
        <w:spacing w:after="0" w:line="263" w:lineRule="auto"/>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each of You, and similar certificates from all other jurisdictions where any of Your Subsidiaries do business and where the failure to be qualified, individually or collectively, could reasonably be expected to have a Material Adverse Effect;</w:t>
      </w:r>
    </w:p>
    <w:p>
      <w:pPr>
        <w:spacing w:after="0" w:line="88" w:lineRule="exact"/>
        <w:rPr>
          <w:rFonts w:ascii="Arial" w:cs="Arial" w:eastAsia="Arial" w:hAnsi="Arial"/>
          <w:sz w:val="18"/>
          <w:szCs w:val="18"/>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Payment of the Facility Fee for the Commitment Amount as denoted in the Table of Terms;</w:t>
      </w:r>
    </w:p>
    <w:p>
      <w:pPr>
        <w:spacing w:after="0" w:line="130" w:lineRule="exact"/>
        <w:rPr>
          <w:rFonts w:ascii="Arial" w:cs="Arial" w:eastAsia="Arial" w:hAnsi="Arial"/>
          <w:sz w:val="18"/>
          <w:szCs w:val="18"/>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Your budget and business plan of the current fiscal year;</w:t>
      </w:r>
    </w:p>
    <w:p>
      <w:pPr>
        <w:spacing w:after="0" w:line="126" w:lineRule="exact"/>
        <w:rPr>
          <w:rFonts w:ascii="Arial" w:cs="Arial" w:eastAsia="Arial" w:hAnsi="Arial"/>
          <w:sz w:val="18"/>
          <w:szCs w:val="18"/>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 xml:space="preserve">Executed Certificate of Perfection, attached as </w:t>
      </w:r>
      <w:r>
        <w:rPr>
          <w:rFonts w:ascii="Arial" w:cs="Arial" w:eastAsia="Arial" w:hAnsi="Arial"/>
          <w:sz w:val="18"/>
          <w:szCs w:val="18"/>
          <w:b w:val="1"/>
          <w:bCs w:val="1"/>
          <w:color w:val="auto"/>
        </w:rPr>
        <w:t>Exhibit C</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430" w:hanging="322"/>
        <w:spacing w:after="0"/>
        <w:tabs>
          <w:tab w:leader="none" w:pos="43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Any such other documents as We may reasonably request.</w:t>
      </w:r>
    </w:p>
    <w:p>
      <w:pPr>
        <w:spacing w:after="0" w:line="333" w:lineRule="exact"/>
        <w:rPr>
          <w:sz w:val="20"/>
          <w:szCs w:val="20"/>
          <w:color w:val="auto"/>
        </w:rPr>
      </w:pPr>
    </w:p>
    <w:p>
      <w:pPr>
        <w:ind w:left="10" w:right="100"/>
        <w:spacing w:after="0" w:line="277" w:lineRule="auto"/>
        <w:rPr>
          <w:sz w:val="20"/>
          <w:szCs w:val="20"/>
          <w:color w:val="auto"/>
        </w:rPr>
      </w:pPr>
      <w:r>
        <w:rPr>
          <w:rFonts w:ascii="Arial" w:cs="Arial" w:eastAsia="Arial" w:hAnsi="Arial"/>
          <w:sz w:val="18"/>
          <w:szCs w:val="18"/>
          <w:b w:val="1"/>
          <w:bCs w:val="1"/>
          <w:i w:val="1"/>
          <w:iCs w:val="1"/>
          <w:color w:val="auto"/>
        </w:rPr>
        <w:t>On or before July 14, 2017, You shall provide a fully-executed copy by the Subordinated Lenders (as defined in the agreement referenced below) of the following:</w:t>
      </w:r>
    </w:p>
    <w:p>
      <w:pPr>
        <w:spacing w:after="0" w:line="75" w:lineRule="exact"/>
        <w:rPr>
          <w:sz w:val="20"/>
          <w:szCs w:val="20"/>
          <w:color w:val="auto"/>
        </w:rPr>
      </w:pPr>
    </w:p>
    <w:p>
      <w:pPr>
        <w:ind w:left="430" w:hanging="322"/>
        <w:spacing w:after="0"/>
        <w:tabs>
          <w:tab w:leader="none" w:pos="43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That certain Subordination Agreement dated as of June 28, 2017 regarding convertible promissory notes in an amount up to $12,275,000.</w:t>
      </w:r>
    </w:p>
    <w:p>
      <w:pPr>
        <w:spacing w:after="0" w:line="344" w:lineRule="exact"/>
        <w:rPr>
          <w:sz w:val="20"/>
          <w:szCs w:val="20"/>
          <w:color w:val="auto"/>
        </w:rPr>
      </w:pPr>
    </w:p>
    <w:p>
      <w:pPr>
        <w:ind w:left="10" w:right="240"/>
        <w:spacing w:after="0" w:line="277" w:lineRule="auto"/>
        <w:rPr>
          <w:sz w:val="20"/>
          <w:szCs w:val="20"/>
          <w:color w:val="auto"/>
        </w:rPr>
      </w:pPr>
      <w:r>
        <w:rPr>
          <w:rFonts w:ascii="Arial" w:cs="Arial" w:eastAsia="Arial" w:hAnsi="Arial"/>
          <w:sz w:val="18"/>
          <w:szCs w:val="18"/>
          <w:b w:val="1"/>
          <w:bCs w:val="1"/>
          <w:i w:val="1"/>
          <w:iCs w:val="1"/>
          <w:color w:val="auto"/>
        </w:rPr>
        <w:t>So long as there are any unpaid principal, interest, fees, costs or other amounts owed by any of You to Us, or We have any obligation to make any additional Advances, each of You shall provide Us with:</w:t>
      </w:r>
    </w:p>
    <w:p>
      <w:pPr>
        <w:spacing w:after="0" w:line="58" w:lineRule="exact"/>
        <w:rPr>
          <w:sz w:val="20"/>
          <w:szCs w:val="20"/>
          <w:color w:val="auto"/>
        </w:rPr>
      </w:pPr>
    </w:p>
    <w:p>
      <w:pPr>
        <w:ind w:left="10" w:right="20"/>
        <w:spacing w:after="0" w:line="266" w:lineRule="auto"/>
        <w:rPr>
          <w:sz w:val="20"/>
          <w:szCs w:val="20"/>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Within thirty (30) days after the end of each month, each of You will provide Us with (a) an unaudited income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cash flows, and an unaudited balance sheet prepared in accordance with GAAP (except for the absence of footnotes and subject to year-end adjustments) accompanied by a report detailing</w:t>
      </w:r>
    </w:p>
    <w:p>
      <w:pPr>
        <w:spacing w:after="0" w:line="112"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70"/>
          </w:cols>
          <w:pgMar w:left="450" w:top="275" w:right="479" w:bottom="1440" w:gutter="0" w:footer="0" w:header="0"/>
        </w:sectPr>
      </w:pPr>
    </w:p>
    <w:bookmarkStart w:id="641" w:name="page642"/>
    <w:bookmarkEnd w:id="641"/>
    <w:p>
      <w:pPr>
        <w:ind w:left="1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material contingencies, and (b) copies of all board packages delivered to the board of directors of any of You in connection with board meetings or otherwise. Within one hundred eighty (180) days of the end of each fiscal year end, each of You will provide Us with audited financial statements accompanied by an audit report and an unqualified opinion of the independent certified public accountants. Within fifteen (15) days after approval by the Board of Directors, but no later than 60 days after the end of Your fiscal year, each of You will provide Us a budget and business plan for the next fiscal year. Each of You will provide Us any additional information (including, but not limited to, tax returns, income statements, balance sheets and names of principal creditors) as We reasonably believe are necessary to evaluate the continuing ability of each of You to meet Your financial obligations to Us. These statements should be emailed to Us at </w:t>
      </w:r>
      <w:r>
        <w:rPr>
          <w:rFonts w:ascii="Arial" w:cs="Arial" w:eastAsia="Arial" w:hAnsi="Arial"/>
          <w:sz w:val="18"/>
          <w:szCs w:val="18"/>
          <w:u w:val="single" w:color="auto"/>
          <w:color w:val="auto"/>
        </w:rPr>
        <w:t>financials@triplepointcapital.com</w:t>
      </w:r>
      <w:r>
        <w:rPr>
          <w:rFonts w:ascii="Arial" w:cs="Arial" w:eastAsia="Arial" w:hAnsi="Arial"/>
          <w:sz w:val="18"/>
          <w:szCs w:val="18"/>
          <w:color w:val="auto"/>
        </w:rPr>
        <w:t>, or upon Our prior approval, sent by facsimile or mail to Us at the address listed in the Table of Terms.</w:t>
      </w:r>
    </w:p>
    <w:p>
      <w:pPr>
        <w:spacing w:after="0" w:line="186" w:lineRule="exact"/>
        <w:rPr>
          <w:sz w:val="20"/>
          <w:szCs w:val="20"/>
          <w:color w:val="auto"/>
        </w:rPr>
      </w:pPr>
    </w:p>
    <w:p>
      <w:pPr>
        <w:ind w:left="10" w:right="440"/>
        <w:spacing w:after="0" w:line="281" w:lineRule="auto"/>
        <w:rPr>
          <w:sz w:val="20"/>
          <w:szCs w:val="20"/>
          <w:color w:val="auto"/>
        </w:rPr>
      </w:pPr>
      <w:r>
        <w:rPr>
          <w:rFonts w:ascii="Arial" w:cs="Arial" w:eastAsia="Arial" w:hAnsi="Arial"/>
          <w:sz w:val="18"/>
          <w:szCs w:val="18"/>
          <w:b w:val="1"/>
          <w:bCs w:val="1"/>
          <w:color w:val="auto"/>
        </w:rPr>
        <w:t xml:space="preserve">Certificate of Compliance. </w:t>
      </w:r>
      <w:r>
        <w:rPr>
          <w:rFonts w:ascii="Arial" w:cs="Arial" w:eastAsia="Arial" w:hAnsi="Arial"/>
          <w:sz w:val="18"/>
          <w:szCs w:val="18"/>
          <w:color w:val="auto"/>
        </w:rPr>
        <w:t>Within five (5) Business Days after the end of each calendar quarter, each of You will provide Us with a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 the form attached as 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989445" cy="171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64" w:lineRule="exact"/>
        <w:rPr>
          <w:sz w:val="20"/>
          <w:szCs w:val="20"/>
          <w:color w:val="auto"/>
        </w:rPr>
      </w:pPr>
    </w:p>
    <w:p>
      <w:pPr>
        <w:ind w:left="430" w:hanging="430"/>
        <w:spacing w:after="0"/>
        <w:tabs>
          <w:tab w:leader="none" w:pos="430"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RIGHT TO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line="296" w:lineRule="auto"/>
        <w:rPr>
          <w:sz w:val="20"/>
          <w:szCs w:val="20"/>
          <w:color w:val="auto"/>
        </w:rPr>
      </w:pPr>
      <w:r>
        <w:rPr>
          <w:rFonts w:ascii="Arial" w:cs="Arial" w:eastAsia="Arial" w:hAnsi="Arial"/>
          <w:sz w:val="16"/>
          <w:szCs w:val="16"/>
          <w:color w:val="auto"/>
        </w:rPr>
        <w:t>You grant Us (or at Our election, an Affiliate of Us) the right to invest up to Two Hundred Fifty Thousand and No/100 Dollars ($250,000), in the Next Round of Personalis, Inc., at Our sole discretion on the same terms and conditions as other investors in Your Next Round. You agree to provide Us with at least twenty (20) days prior written notice of the proposed date of the Next Round, which notice shall include the final terms, conditions and pricing of the Next Round and copies of draft equity documents no later than two (2) Business Days prior to the closing of the Next Round. The foregoing Right To Invest shall survive any termination or expiration of this Agreement and be in full force and effect until the consummation of Your Next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89445" cy="171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44" w:lineRule="exact"/>
        <w:rPr>
          <w:sz w:val="20"/>
          <w:szCs w:val="20"/>
          <w:color w:val="auto"/>
        </w:rPr>
      </w:pPr>
    </w:p>
    <w:p>
      <w:pPr>
        <w:ind w:left="430" w:hanging="430"/>
        <w:spacing w:after="0"/>
        <w:tabs>
          <w:tab w:leader="none" w:pos="430" w:val="left"/>
        </w:tabs>
        <w:numPr>
          <w:ilvl w:val="0"/>
          <w:numId w:val="665"/>
        </w:numPr>
        <w:rPr>
          <w:rFonts w:ascii="Arial" w:cs="Arial" w:eastAsia="Arial" w:hAnsi="Arial"/>
          <w:sz w:val="18"/>
          <w:szCs w:val="18"/>
          <w:b w:val="1"/>
          <w:bCs w:val="1"/>
          <w:color w:val="auto"/>
        </w:rPr>
      </w:pPr>
      <w:r>
        <w:rPr>
          <w:rFonts w:ascii="Arial" w:cs="Arial" w:eastAsia="Arial" w:hAnsi="Arial"/>
          <w:sz w:val="18"/>
          <w:szCs w:val="18"/>
          <w:b w:val="1"/>
          <w:bCs w:val="1"/>
          <w:color w:val="auto"/>
        </w:rPr>
        <w:t>OTHER LEGAL PROVISIONS YOU WILL ABIDE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2" w:lineRule="exact"/>
        <w:rPr>
          <w:sz w:val="20"/>
          <w:szCs w:val="20"/>
          <w:color w:val="auto"/>
        </w:rPr>
      </w:pPr>
    </w:p>
    <w:p>
      <w:pPr>
        <w:ind w:left="10" w:right="20"/>
        <w:spacing w:after="0" w:line="270" w:lineRule="auto"/>
        <w:rPr>
          <w:sz w:val="20"/>
          <w:szCs w:val="20"/>
          <w:color w:val="auto"/>
        </w:rPr>
      </w:pPr>
      <w:r>
        <w:rPr>
          <w:rFonts w:ascii="Arial" w:cs="Arial" w:eastAsia="Arial" w:hAnsi="Arial"/>
          <w:sz w:val="17"/>
          <w:szCs w:val="17"/>
          <w:b w:val="1"/>
          <w:bCs w:val="1"/>
          <w:color w:val="auto"/>
        </w:rPr>
        <w:t xml:space="preserve">Continuation of Security Interest. </w:t>
      </w:r>
      <w:r>
        <w:rPr>
          <w:rFonts w:ascii="Arial" w:cs="Arial" w:eastAsia="Arial" w:hAnsi="Arial"/>
          <w:sz w:val="17"/>
          <w:szCs w:val="17"/>
          <w:color w:val="auto"/>
        </w:rPr>
        <w:t>This is a continuing agreement and the grant of the security interest and Lien hereunder or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shall remain in full force and effect and all of Our rights, powers and remedies shall continue to exist until all of the principal, interest, fees, costs and other amounts owed by You to Us are fully and finally paid in cash, We have no further obligation to make Advances and We have executed a written termination statement. We shall file a termination statement and provide proof of filing to You within thirty (30) days after the full and final payment in cash of all of the principal, interest, fees, costs and other amounts owed by You to Us hereunder, reassigning to You, without recourse except for Our acts, the Collateral and all rights conveyed hereby and returning possession of the Collateral to You. Our rights, powers and remedies shall be in addition to all rights, powers and remedies given by statute or rule of law and are cumulative. The exercise of any one or more of the rights, powers and remedies provided herein or in any other Loan Document shall not be construed as a waiver of or election of remedies with respect to any of Our other rights, powers and remedies.</w:t>
      </w:r>
    </w:p>
    <w:p>
      <w:pPr>
        <w:spacing w:after="0" w:line="179" w:lineRule="exact"/>
        <w:rPr>
          <w:sz w:val="20"/>
          <w:szCs w:val="20"/>
          <w:color w:val="auto"/>
        </w:rPr>
      </w:pPr>
    </w:p>
    <w:p>
      <w:pPr>
        <w:ind w:left="10" w:right="200"/>
        <w:spacing w:after="0" w:line="266" w:lineRule="auto"/>
        <w:rPr>
          <w:sz w:val="20"/>
          <w:szCs w:val="20"/>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and associated Promissory Notes supersede all other oral or written agreements or understandings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concerning the Collateral. ANY AMENDMENT OF THIS AGREEMENT OR A PROMISSORY NOTE MAY ONLY BE ACCOMPLISHED THROUGH A DOCUMENT WITH SIGNATURES FROM EACH OF THE PARTIES.</w:t>
      </w:r>
    </w:p>
    <w:p>
      <w:pPr>
        <w:spacing w:after="0" w:line="175" w:lineRule="exact"/>
        <w:rPr>
          <w:sz w:val="20"/>
          <w:szCs w:val="20"/>
          <w:color w:val="auto"/>
        </w:rPr>
      </w:pPr>
    </w:p>
    <w:p>
      <w:pPr>
        <w:ind w:left="10" w:right="900"/>
        <w:spacing w:after="0" w:line="281" w:lineRule="auto"/>
        <w:rPr>
          <w:sz w:val="20"/>
          <w:szCs w:val="20"/>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Headings used in this Agreement are for reference and convenience of the Parties only and shall have no substantive effect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3" w:lineRule="exact"/>
        <w:rPr>
          <w:sz w:val="20"/>
          <w:szCs w:val="20"/>
          <w:color w:val="auto"/>
        </w:rPr>
      </w:pPr>
    </w:p>
    <w:p>
      <w:pPr>
        <w:ind w:left="10" w:right="60"/>
        <w:spacing w:after="0" w:line="266" w:lineRule="auto"/>
        <w:rPr>
          <w:sz w:val="20"/>
          <w:szCs w:val="20"/>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action taken by Us or You will be deemed to constitute a waiver of compliance with any representation, warranty or covenant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or Promissory Note. The waiver by Us of a breach of any provision of this Agreement or a Promissory Note will not operate or be construed as a waiver of any subsequent breach.</w:t>
      </w:r>
    </w:p>
    <w:p>
      <w:pPr>
        <w:spacing w:after="0" w:line="175" w:lineRule="exact"/>
        <w:rPr>
          <w:sz w:val="20"/>
          <w:szCs w:val="20"/>
          <w:color w:val="auto"/>
        </w:rPr>
      </w:pPr>
    </w:p>
    <w:p>
      <w:pPr>
        <w:jc w:val="both"/>
        <w:ind w:left="10" w:right="120"/>
        <w:spacing w:after="0" w:line="266" w:lineRule="auto"/>
        <w:rPr>
          <w:sz w:val="20"/>
          <w:szCs w:val="20"/>
          <w:color w:val="auto"/>
        </w:rPr>
      </w:pPr>
      <w:r>
        <w:rPr>
          <w:rFonts w:ascii="Arial" w:cs="Arial" w:eastAsia="Arial" w:hAnsi="Arial"/>
          <w:sz w:val="18"/>
          <w:szCs w:val="18"/>
          <w:b w:val="1"/>
          <w:bCs w:val="1"/>
          <w:color w:val="auto"/>
        </w:rPr>
        <w:t xml:space="preserve">Survival of Obligations. </w:t>
      </w:r>
      <w:r>
        <w:rPr>
          <w:rFonts w:ascii="Arial" w:cs="Arial" w:eastAsia="Arial" w:hAnsi="Arial"/>
          <w:sz w:val="18"/>
          <w:szCs w:val="18"/>
          <w:color w:val="auto"/>
        </w:rPr>
        <w:t>The indemnification, obligations, representations and warranties contained in this Agreement, any Promissory Note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delivered in connection with those agreements are for the benefit of the Parties and survive the execution, delivery, expiration or termination of this Agreement.</w:t>
      </w:r>
    </w:p>
    <w:p>
      <w:pPr>
        <w:spacing w:after="0" w:line="175" w:lineRule="exact"/>
        <w:rPr>
          <w:sz w:val="20"/>
          <w:szCs w:val="20"/>
          <w:color w:val="auto"/>
        </w:rPr>
      </w:pPr>
    </w:p>
    <w:p>
      <w:pPr>
        <w:ind w:left="10" w:right="40"/>
        <w:spacing w:after="0" w:line="260" w:lineRule="auto"/>
        <w:rPr>
          <w:sz w:val="20"/>
          <w:szCs w:val="20"/>
          <w:color w:val="auto"/>
        </w:rPr>
      </w:pPr>
      <w:r>
        <w:rPr>
          <w:rFonts w:ascii="Arial" w:cs="Arial" w:eastAsia="Arial" w:hAnsi="Arial"/>
          <w:sz w:val="18"/>
          <w:szCs w:val="18"/>
          <w:b w:val="1"/>
          <w:bCs w:val="1"/>
          <w:color w:val="auto"/>
        </w:rPr>
        <w:t>Tax Indemnification</w:t>
      </w:r>
      <w:r>
        <w:rPr>
          <w:rFonts w:ascii="Arial" w:cs="Arial" w:eastAsia="Arial" w:hAnsi="Arial"/>
          <w:sz w:val="18"/>
          <w:szCs w:val="18"/>
          <w:color w:val="auto"/>
        </w:rPr>
        <w:t>. Without limiting the generality of Section 13, You agree to pay, and to hold Us harmless from, any and all liabilities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or resulting from any delay in paying, any and all excise, sales, or other similar taxes (excluding taxes imposed on or measured by Our net income or franchise taxes) that may be payable or determined to be payable with respect to any of the Collateral or in connection with any of the transactions contemplated by this Agreement.</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90"/>
          </w:cols>
          <w:pgMar w:left="450" w:top="275" w:right="459" w:bottom="1440" w:gutter="0" w:footer="0" w:header="0"/>
        </w:sectPr>
      </w:pPr>
    </w:p>
    <w:bookmarkStart w:id="642" w:name="page643"/>
    <w:bookmarkEnd w:id="642"/>
    <w:p>
      <w:pPr>
        <w:ind w:left="1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Successors and Assigns. </w:t>
      </w:r>
      <w:r>
        <w:rPr>
          <w:rFonts w:ascii="Arial" w:cs="Arial" w:eastAsia="Arial" w:hAnsi="Arial"/>
          <w:sz w:val="17"/>
          <w:szCs w:val="17"/>
          <w:color w:val="auto"/>
        </w:rPr>
        <w:t>The provisions of this Agreement and the other Loan Documents shall inure to the benefit of and be binding on each of You</w:t>
      </w:r>
      <w:r>
        <w:rPr>
          <w:rFonts w:ascii="Arial" w:cs="Arial" w:eastAsia="Arial" w:hAnsi="Arial"/>
          <w:sz w:val="17"/>
          <w:szCs w:val="17"/>
          <w:b w:val="1"/>
          <w:bCs w:val="1"/>
          <w:color w:val="auto"/>
        </w:rPr>
        <w:t xml:space="preserve"> </w:t>
      </w:r>
      <w:r>
        <w:rPr>
          <w:rFonts w:ascii="Arial" w:cs="Arial" w:eastAsia="Arial" w:hAnsi="Arial"/>
          <w:sz w:val="17"/>
          <w:szCs w:val="17"/>
          <w:color w:val="auto"/>
        </w:rPr>
        <w:t>and Your permitted assigns (if any). None of You shall assign Your obligations under this Agreement, the Promissory Notes or any of the other Loan Documents without Our express prior written consent, and any such attempted assignment shall be void and of no effect. Each of You acknowledges and understands that We may sell and assign all or part of Our interest hereunder and under the Promissory Note(s) and all other related Loan Documents to any person or entity to be known as assignee. After such assignment the term “We” “Us” and “Our” as used in the Loan Documents will mean and include such assignee, and such assignee will be vested with all Our rights, powers and remedies hereunder and shall have Our duties with respect to the interest that each of You have granted Us; but with respect to any such interest not so transferred, We shall retain all rights, powers and remedies. No such assignment will relieve any of You of any of Your obligations. We agree that in the event of any transfer of the Promissory Note(s), We will denote on the Promissory Note a notation as to the portion of the principal and interest of the Promissory Note(s), which shall have been paid at the time of such transfer and the date of the transfer.</w:t>
      </w:r>
    </w:p>
    <w:p>
      <w:pPr>
        <w:spacing w:after="0" w:line="175" w:lineRule="exact"/>
        <w:rPr>
          <w:sz w:val="20"/>
          <w:szCs w:val="20"/>
          <w:color w:val="auto"/>
        </w:rPr>
      </w:pPr>
    </w:p>
    <w:p>
      <w:pPr>
        <w:ind w:left="10"/>
        <w:spacing w:after="0" w:line="289" w:lineRule="auto"/>
        <w:rPr>
          <w:sz w:val="20"/>
          <w:szCs w:val="20"/>
          <w:color w:val="auto"/>
        </w:rPr>
      </w:pPr>
      <w:r>
        <w:rPr>
          <w:rFonts w:ascii="Arial" w:cs="Arial" w:eastAsia="Arial" w:hAnsi="Arial"/>
          <w:sz w:val="16"/>
          <w:szCs w:val="16"/>
          <w:b w:val="1"/>
          <w:bCs w:val="1"/>
          <w:color w:val="auto"/>
        </w:rPr>
        <w:t xml:space="preserve">Consent To Jurisdiction And Venue. </w:t>
      </w:r>
      <w:r>
        <w:rPr>
          <w:rFonts w:ascii="Arial" w:cs="Arial" w:eastAsia="Arial" w:hAnsi="Arial"/>
          <w:sz w:val="16"/>
          <w:szCs w:val="16"/>
          <w:color w:val="auto"/>
        </w:rPr>
        <w:t>All judicial proceedings arising in or under or related to this Agreement, the Promissory Notes or any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Documents may be brought in any state or federal court of competent jurisdiction located in the State of California. By execution and delivery of this Agreement, each Party hereto generally and unconditionally: (a) consents to personal jurisdiction in San Mateo County, State of California;</w:t>
      </w:r>
    </w:p>
    <w:p>
      <w:pPr>
        <w:spacing w:after="0" w:line="1" w:lineRule="exact"/>
        <w:rPr>
          <w:sz w:val="20"/>
          <w:szCs w:val="20"/>
          <w:color w:val="auto"/>
        </w:rPr>
      </w:pPr>
    </w:p>
    <w:p>
      <w:pPr>
        <w:ind w:left="10" w:right="40" w:hanging="10"/>
        <w:spacing w:after="0" w:line="252" w:lineRule="auto"/>
        <w:tabs>
          <w:tab w:leader="none" w:pos="264"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waives any objection as to jurisdiction or venue in San Mateo County, State of California; (c) agrees not to assert any defense based on lack of jurisdiction or venue in the aforesaid courts; and (d) irrevocably agrees to be bound by any judgment rendered thereby in connection with this Agreement, the Promissory Notes or the other Loan Documents. Service of process on any Party hereto in any action arising out of or relating to this Agreement shall be effective if given in accordance with the requirements for notice set forth in this Section, and shall be deemed effective and received as set forth therein. Nothing herein shall affect the right to serve process in any other manner permitted by law or shall limit the right of either Party to bring proceedings in the courts of any other jurisdiction.</w:t>
      </w:r>
    </w:p>
    <w:p>
      <w:pPr>
        <w:spacing w:after="0" w:line="188" w:lineRule="exact"/>
        <w:rPr>
          <w:sz w:val="20"/>
          <w:szCs w:val="20"/>
          <w:color w:val="auto"/>
        </w:rPr>
      </w:pPr>
    </w:p>
    <w:p>
      <w:pPr>
        <w:ind w:left="10" w:right="20"/>
        <w:spacing w:after="0" w:line="251" w:lineRule="auto"/>
        <w:rPr>
          <w:sz w:val="20"/>
          <w:szCs w:val="20"/>
          <w:color w:val="auto"/>
        </w:rPr>
      </w:pPr>
      <w:r>
        <w:rPr>
          <w:rFonts w:ascii="Arial" w:cs="Arial" w:eastAsia="Arial" w:hAnsi="Arial"/>
          <w:sz w:val="18"/>
          <w:szCs w:val="18"/>
          <w:b w:val="1"/>
          <w:bCs w:val="1"/>
          <w:color w:val="auto"/>
        </w:rPr>
        <w:t xml:space="preserve">Mutual Waiver Of Jury Trial; Judicial Reference. </w:t>
      </w:r>
      <w:r>
        <w:rPr>
          <w:rFonts w:ascii="Arial" w:cs="Arial" w:eastAsia="Arial" w:hAnsi="Arial"/>
          <w:sz w:val="18"/>
          <w:szCs w:val="18"/>
          <w:color w:val="auto"/>
        </w:rPr>
        <w:t>Because disputes arising in connection with complex financial transactions are most quickly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economically resolved by an experienced and expert person and the Parties wish applicable state and federal laws to apply (rather than arbitration rules), the Parties desire that their disputes be resolved by a judge applying such applicable laws. EACH OF THE PARTIES SPECIFICALLY WAIVES ANY RIGHT THEY MAY HAVE TO TRIAL BY JURY OF ANY CAUSE OF ACTION, CLAIM, CROSS-CLAIM, COUNTERCLAIM, THIRD PARTY CLAIM OR ANY OTHER CLAIM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ASSERTED BY ANY OF YOU AGAINST US OR OUR ASSIGNEE OR BY US OR OUR ASSIGNEE AGAINST ANY OF YOU. IN THE EVENT THAT THE FOREGOING JURY TRIAL WAIVER IS NOT ENFORCEABLE, ALL CLAIMS, INCLUDING ANY AND ALL QUESTIONS OF LAW OR FACT RELATING THERETO, SHALL, AT THE WRITTEN REQUEST OF ANY PARTY, BE DETERMINED BY JUDICIAL REFERENCE PURSUANT TO THE CALIFORNIA CODE OF CIVIL PROCEDURE (“REFERENCE”). THE PARTIES SHALL SELECT A SINGLE NEUTRAL REFEREE, WHO SHALL BE A RETIRED STATE OR FEDERAL JUDGE. IN THE EVENT THAT THE PARTIES CANNOT AGREE UPON A REFEREE, THE REFEREE SHALL BE APPOINTED BY THE COURT. THE REFEREE SHALL REPORT A STATEMENT OF DECISION TO THE COURT. NOTHING IN THIS SECTION SHALL LIMIT THE RIGHT OF ANY PARTY AT ANY TIME TO EXERCISE LAWFUL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SECTION. THE PARTIES ACKNOWLEDGE THAT THE CLAIMS WILL NOT BE ADJUDICATED BY A JURY. THIS WAIVER EXTENDS TO ALL SUCH CLAIMS, INCLUDING CLAIMS THAT INVOLVE PERSONS OTHER THAN ANY OF YOU AND US; CLAIMS THAT ARISE OUT OF OR ARE IN ANY WAY CONNECTED TO THE RELATIONSHIP BETWEEN YOU AND US; AND ANY CLAIMS FOR DAMAGES, BREACH OF CONTRACT, SPECIFIC PERFORMANCE, OR ANY EQUITABLE OR LEGAL RELIEF OF ANY KIND, ARISING OUT OF THIS AGREEMENT, ANY OTHER LOAN DOCUMENT OR ANY OF THE EXCLUDED AGREEMENTS.</w:t>
      </w:r>
    </w:p>
    <w:p>
      <w:pPr>
        <w:spacing w:after="0" w:line="14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0"/>
          </w:cols>
          <w:pgMar w:left="450" w:top="270" w:right="459" w:bottom="1440" w:gutter="0" w:footer="0" w:header="0"/>
        </w:sectPr>
      </w:pPr>
    </w:p>
    <w:bookmarkStart w:id="643" w:name="page644"/>
    <w:bookmarkEnd w:id="643"/>
    <w:p>
      <w:pPr>
        <w:ind w:left="10" w:right="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Professional Fees</w:t>
      </w:r>
      <w:r>
        <w:rPr>
          <w:rFonts w:ascii="Arial" w:cs="Arial" w:eastAsia="Arial" w:hAnsi="Arial"/>
          <w:sz w:val="16"/>
          <w:szCs w:val="16"/>
          <w:color w:val="auto"/>
        </w:rPr>
        <w:t>. Each of You promises to pay or reimburse on demand, any and all reasonable professional fees and expenses incurred by Us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or after the execution of this Agreement in connection with or related to: the Loan Documents, the Excluded Agreements, or the Secured Obligations; the administration, collection, or enforcement of the Secured Obligations; amendment or modification of the Loan Documents and the Excluded Agreements; any waiver, consent, release, or termination under the Loan Documents or Excluded Agreements; the protection, preservation, sale, lease, liquidation, inspection, audit or disposition of, or other action related to, the Collateral or the exercise of remedies with respect to the Collateral; or any legal, litigation, administrative, arbitration, or out of court proceeding in connection with or related to any of You or the Collateral, and any appeal or review thereof; and any bankruptcy, restructuring, reorganization, assignment for the benefit of creditors, workout, foreclosure, or other action related to any of You, the Collateral, the Loan Documents, or the Excluded Agreements, including representing Us in any adversary proceeding or contested matter commenced or continued by or on behalf of the estate of any of You, and any appeal or review thereof. Our professional fees and expenses shall include fees or expenses for Our attorneys, accountants, auditors, auctioneers, liquidators, appraisers, investment advisors, environmental and management consultants, or experts engaged by Us in connection with the foregoing. The promise of each of You to pay all of Our reasonable professional fees and expenses is part of the Secured Obligations under this Agreement.</w:t>
      </w:r>
    </w:p>
    <w:p>
      <w:pPr>
        <w:spacing w:after="0" w:line="166" w:lineRule="exact"/>
        <w:rPr>
          <w:sz w:val="20"/>
          <w:szCs w:val="20"/>
          <w:color w:val="auto"/>
        </w:rPr>
      </w:pPr>
    </w:p>
    <w:p>
      <w:pPr>
        <w:ind w:left="10" w:right="40"/>
        <w:spacing w:after="0" w:line="288" w:lineRule="auto"/>
        <w:rPr>
          <w:sz w:val="20"/>
          <w:szCs w:val="20"/>
          <w:color w:val="auto"/>
        </w:rPr>
      </w:pPr>
      <w:r>
        <w:rPr>
          <w:rFonts w:ascii="Arial" w:cs="Arial" w:eastAsia="Arial" w:hAnsi="Arial"/>
          <w:sz w:val="16"/>
          <w:szCs w:val="16"/>
          <w:b w:val="1"/>
          <w:bCs w:val="1"/>
          <w:color w:val="auto"/>
        </w:rPr>
        <w:t>Revival of Secured Obligations</w:t>
      </w:r>
      <w:r>
        <w:rPr>
          <w:rFonts w:ascii="Arial" w:cs="Arial" w:eastAsia="Arial" w:hAnsi="Arial"/>
          <w:sz w:val="16"/>
          <w:szCs w:val="16"/>
          <w:color w:val="auto"/>
        </w:rPr>
        <w:t>. This Agreement and the Loan Documents shall remain in full force and effect and continue to be effective if any</w:t>
      </w:r>
      <w:r>
        <w:rPr>
          <w:rFonts w:ascii="Arial" w:cs="Arial" w:eastAsia="Arial" w:hAnsi="Arial"/>
          <w:sz w:val="16"/>
          <w:szCs w:val="16"/>
          <w:b w:val="1"/>
          <w:bCs w:val="1"/>
          <w:color w:val="auto"/>
        </w:rPr>
        <w:t xml:space="preserve"> </w:t>
      </w:r>
      <w:r>
        <w:rPr>
          <w:rFonts w:ascii="Arial" w:cs="Arial" w:eastAsia="Arial" w:hAnsi="Arial"/>
          <w:sz w:val="16"/>
          <w:szCs w:val="16"/>
          <w:color w:val="auto"/>
        </w:rPr>
        <w:t>petition is filed by or against any of You for liquidation or reorganization, if any of You become insolvent or make an assignment for the benefit of creditors, if a receiver or trustee is appointed for all or any significant part of the assets of any of You, or if any payment or transfer of Collateral is recovered from Us. The Loan Documents, the Secured Obligations and Our Lien on the Collateral shall continue to be effective, or shall be revived or reinstated, as the case may be, if at any time payment and performance of the Secured Obligations or any transfer of Collateral to Us, or any part thereof is rescinded, avoided or avoidable, reduced in amount, or must otherwise be restored or returned by, or is recovered from, Us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Us in cash.</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request or other communication to any of the Parties by any other will be given in writing and deemed received upon the earliest of</w:t>
      </w:r>
    </w:p>
    <w:p>
      <w:pPr>
        <w:spacing w:after="0" w:line="50" w:lineRule="exact"/>
        <w:rPr>
          <w:sz w:val="20"/>
          <w:szCs w:val="20"/>
          <w:color w:val="auto"/>
        </w:rPr>
      </w:pPr>
    </w:p>
    <w:p>
      <w:pPr>
        <w:ind w:left="10" w:right="440" w:hanging="10"/>
        <w:spacing w:after="0" w:line="260" w:lineRule="auto"/>
        <w:tabs>
          <w:tab w:leader="none" w:pos="264" w:val="left"/>
        </w:tabs>
        <w:numPr>
          <w:ilvl w:val="0"/>
          <w:numId w:val="667"/>
        </w:numPr>
        <w:rPr>
          <w:rFonts w:ascii="Arial" w:cs="Arial" w:eastAsia="Arial" w:hAnsi="Arial"/>
          <w:sz w:val="18"/>
          <w:szCs w:val="18"/>
          <w:color w:val="auto"/>
        </w:rPr>
      </w:pPr>
      <w:r>
        <w:rPr>
          <w:rFonts w:ascii="Arial" w:cs="Arial" w:eastAsia="Arial" w:hAnsi="Arial"/>
          <w:sz w:val="18"/>
          <w:szCs w:val="18"/>
          <w:color w:val="auto"/>
        </w:rPr>
        <w:t>actual receipt, (2) three (3) days after mailing if mailed postage prepaid by regular or airmail to Us or You, at the address set out in the Table of Terms, and (3) one (1) day after it is sent by courier or overnight delivery.</w:t>
      </w:r>
    </w:p>
    <w:p>
      <w:pPr>
        <w:spacing w:after="0" w:line="181" w:lineRule="exact"/>
        <w:rPr>
          <w:sz w:val="20"/>
          <w:szCs w:val="20"/>
          <w:color w:val="auto"/>
        </w:rPr>
      </w:pPr>
    </w:p>
    <w:p>
      <w:pPr>
        <w:ind w:left="10" w:right="20"/>
        <w:spacing w:after="0" w:line="266"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This Agreement and any Promissory Note will have been made, executed and delivered in the State of California and will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construed for all purposes in accordance with the laws of the State of California, excluding conflict of laws principles that would cause the application of laws of any other jurisdiction.</w:t>
      </w:r>
    </w:p>
    <w:p>
      <w:pPr>
        <w:spacing w:after="0" w:line="175" w:lineRule="exact"/>
        <w:rPr>
          <w:sz w:val="20"/>
          <w:szCs w:val="20"/>
          <w:color w:val="auto"/>
        </w:rPr>
      </w:pPr>
    </w:p>
    <w:p>
      <w:pPr>
        <w:ind w:left="10" w:right="320"/>
        <w:spacing w:after="0" w:line="281"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will be deemed an original, but all such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one and the same instrument.</w:t>
      </w:r>
    </w:p>
    <w:p>
      <w:pPr>
        <w:spacing w:after="0" w:line="163" w:lineRule="exact"/>
        <w:rPr>
          <w:sz w:val="20"/>
          <w:szCs w:val="20"/>
          <w:color w:val="auto"/>
        </w:rPr>
      </w:pPr>
    </w:p>
    <w:p>
      <w:pPr>
        <w:ind w:left="10" w:right="80"/>
        <w:spacing w:after="0" w:line="266" w:lineRule="auto"/>
        <w:rPr>
          <w:sz w:val="20"/>
          <w:szCs w:val="20"/>
          <w:color w:val="auto"/>
        </w:rPr>
      </w:pPr>
      <w:r>
        <w:rPr>
          <w:rFonts w:ascii="Arial" w:cs="Arial" w:eastAsia="Arial" w:hAnsi="Arial"/>
          <w:sz w:val="18"/>
          <w:szCs w:val="18"/>
          <w:b w:val="1"/>
          <w:bCs w:val="1"/>
          <w:color w:val="auto"/>
        </w:rPr>
        <w:t xml:space="preserve">Signatures. </w:t>
      </w:r>
      <w:r>
        <w:rPr>
          <w:rFonts w:ascii="Arial" w:cs="Arial" w:eastAsia="Arial" w:hAnsi="Arial"/>
          <w:sz w:val="18"/>
          <w:szCs w:val="18"/>
          <w:color w:val="auto"/>
        </w:rPr>
        <w:t>This Agreement and any Promissory Note may be executed and delivered by facsimile or transmitted electronically in either Tagged Image</w:t>
      </w:r>
      <w:r>
        <w:rPr>
          <w:rFonts w:ascii="Arial" w:cs="Arial" w:eastAsia="Arial" w:hAnsi="Arial"/>
          <w:sz w:val="18"/>
          <w:szCs w:val="18"/>
          <w:b w:val="1"/>
          <w:bCs w:val="1"/>
          <w:color w:val="auto"/>
        </w:rPr>
        <w:t xml:space="preserve"> </w:t>
      </w:r>
      <w:r>
        <w:rPr>
          <w:rFonts w:ascii="Arial" w:cs="Arial" w:eastAsia="Arial" w:hAnsi="Arial"/>
          <w:sz w:val="18"/>
          <w:szCs w:val="18"/>
          <w:color w:val="auto"/>
        </w:rPr>
        <w:t>Format Files (“</w:t>
      </w:r>
      <w:r>
        <w:rPr>
          <w:rFonts w:ascii="Arial" w:cs="Arial" w:eastAsia="Arial" w:hAnsi="Arial"/>
          <w:sz w:val="18"/>
          <w:szCs w:val="18"/>
          <w:b w:val="1"/>
          <w:bCs w:val="1"/>
          <w:color w:val="auto"/>
        </w:rPr>
        <w:t>TIFF”</w:t>
      </w:r>
      <w:r>
        <w:rPr>
          <w:rFonts w:ascii="Arial" w:cs="Arial" w:eastAsia="Arial" w:hAnsi="Arial"/>
          <w:sz w:val="18"/>
          <w:szCs w:val="18"/>
          <w:color w:val="auto"/>
        </w:rPr>
        <w:t>) or Portable Document Format (“</w:t>
      </w:r>
      <w:r>
        <w:rPr>
          <w:rFonts w:ascii="Arial" w:cs="Arial" w:eastAsia="Arial" w:hAnsi="Arial"/>
          <w:sz w:val="18"/>
          <w:szCs w:val="18"/>
          <w:b w:val="1"/>
          <w:bCs w:val="1"/>
          <w:color w:val="auto"/>
        </w:rPr>
        <w:t>PDF”</w:t>
      </w:r>
      <w:r>
        <w:rPr>
          <w:rFonts w:ascii="Arial" w:cs="Arial" w:eastAsia="Arial" w:hAnsi="Arial"/>
          <w:sz w:val="18"/>
          <w:szCs w:val="18"/>
          <w:color w:val="auto"/>
        </w:rPr>
        <w:t>) and, upon such delivery, the facsimile, TIFF or PDF signature, as applicable, will be deemed to have the same effect as if the original signature had been delivered to the other party.</w:t>
      </w:r>
    </w:p>
    <w:p>
      <w:pPr>
        <w:spacing w:after="0" w:line="175" w:lineRule="exact"/>
        <w:rPr>
          <w:sz w:val="20"/>
          <w:szCs w:val="20"/>
          <w:color w:val="auto"/>
        </w:rPr>
      </w:pPr>
    </w:p>
    <w:p>
      <w:pPr>
        <w:ind w:left="10"/>
        <w:spacing w:after="0" w:line="269" w:lineRule="auto"/>
        <w:rPr>
          <w:sz w:val="20"/>
          <w:szCs w:val="20"/>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All financial information and other non-public information (other than any such information contained in periodic reports filed by any</w:t>
      </w:r>
      <w:r>
        <w:rPr>
          <w:rFonts w:ascii="Arial" w:cs="Arial" w:eastAsia="Arial" w:hAnsi="Arial"/>
          <w:sz w:val="17"/>
          <w:szCs w:val="17"/>
          <w:b w:val="1"/>
          <w:bCs w:val="1"/>
          <w:color w:val="auto"/>
        </w:rPr>
        <w:t xml:space="preserve"> </w:t>
      </w:r>
      <w:r>
        <w:rPr>
          <w:rFonts w:ascii="Arial" w:cs="Arial" w:eastAsia="Arial" w:hAnsi="Arial"/>
          <w:sz w:val="17"/>
          <w:szCs w:val="17"/>
          <w:color w:val="auto"/>
        </w:rPr>
        <w:t>of You with the Securities and Exchange Commission) disclosed by any of You to Us shall be considered confidential for purposes of this Agreement. In handling any confidential information, We will exercise the same degree of care that We exercise for Our own proprietary information, but disclosure of information may be made (i) to Our subsidiaries or Affiliates in connection with their business with any of You, (ii) to prospective transferees or purchasers of any interest in the Loans (provided, however, We shall use best efforts in obtaining such prospective transferee’s agreement of the terms of this provision and any purchaser shall be agreeing to assume the obligations hereunder and therefore agreeing to abide by the provisions hereof, including, without limitation, the provisions of this Section), (iii) as We deem necessary or appropriate to any bank, financial institution or other similar entity, provided, however, that such bank, financial institution or other similar entity agrees in writing to maintain the confidentiality of such information, (iv) to S&amp;P, Moody’s, Fitch and/or other ratings agency, as We deem necessary or appropriate, provided, however, that such financial institution or ratings agency shall be informed of the confidentiality of such, (v) as required by law, regulation, subpoena, or other order, (vi) to the extent requested</w:t>
      </w:r>
    </w:p>
    <w:p>
      <w:pPr>
        <w:spacing w:after="0" w:line="11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0"/>
          </w:cols>
          <w:pgMar w:left="450" w:top="270" w:right="459" w:bottom="1440" w:gutter="0" w:footer="0" w:header="0"/>
        </w:sectPr>
      </w:pPr>
    </w:p>
    <w:bookmarkStart w:id="644" w:name="page645"/>
    <w:bookmarkEnd w:id="644"/>
    <w:p>
      <w:pPr>
        <w:ind w:left="1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regulatory authority, (vii) as required in connection with Our examination or audit and (viii) as We consider appropriate exercising remedies under this Agreement. Confidential information does not include information that either: (a) is in the public domain or in Our possession when disclosed to Us, or becomes part of the public domain after disclosure to Us; or (b) is disclosed to Us by a third party, if We do not know that the third party is prohibited from disclosing the information. Notwithstanding the above, each of You hereby consents to the use by Us of the company name and logo of any of You for advertising, promotional and marketing purposes only. Such use may reference the type of credit facility but will not indicate the amount of the credit facility without Your prior written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89445" cy="171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989445" cy="17145"/>
                    </a:xfrm>
                    <a:prstGeom prst="rect">
                      <a:avLst/>
                    </a:prstGeom>
                    <a:noFill/>
                  </pic:spPr>
                </pic:pic>
              </a:graphicData>
            </a:graphic>
          </wp:anchor>
        </w:drawing>
      </w:r>
    </w:p>
    <w:p>
      <w:pPr>
        <w:spacing w:after="0" w:line="289" w:lineRule="exact"/>
        <w:rPr>
          <w:sz w:val="20"/>
          <w:szCs w:val="20"/>
          <w:color w:val="auto"/>
        </w:rPr>
      </w:pPr>
    </w:p>
    <w:p>
      <w:pPr>
        <w:ind w:left="430" w:hanging="430"/>
        <w:spacing w:after="0"/>
        <w:tabs>
          <w:tab w:leader="none" w:pos="430"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8944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Capitalized terms used in this Agreement shall have the following meanings:</w:t>
      </w:r>
    </w:p>
    <w:p>
      <w:pPr>
        <w:spacing w:after="0" w:line="221" w:lineRule="exact"/>
        <w:rPr>
          <w:sz w:val="20"/>
          <w:szCs w:val="20"/>
          <w:color w:val="auto"/>
        </w:rPr>
      </w:pPr>
    </w:p>
    <w:p>
      <w:pPr>
        <w:ind w:left="10"/>
        <w:spacing w:after="0" w:line="287" w:lineRule="auto"/>
        <w:rPr>
          <w:sz w:val="20"/>
          <w:szCs w:val="20"/>
          <w:color w:val="auto"/>
        </w:rPr>
      </w:pPr>
      <w:r>
        <w:rPr>
          <w:rFonts w:ascii="Arial" w:cs="Arial" w:eastAsia="Arial" w:hAnsi="Arial"/>
          <w:sz w:val="16"/>
          <w:szCs w:val="16"/>
          <w:b w:val="1"/>
          <w:bCs w:val="1"/>
          <w:color w:val="auto"/>
        </w:rPr>
        <w:t xml:space="preserve">“Account” </w:t>
      </w:r>
      <w:r>
        <w:rPr>
          <w:rFonts w:ascii="Arial" w:cs="Arial" w:eastAsia="Arial" w:hAnsi="Arial"/>
          <w:sz w:val="16"/>
          <w:szCs w:val="16"/>
          <w:color w:val="auto"/>
        </w:rPr>
        <w:t>means any “account,” as such term is defined in the UCC, which any of You now own or acquire or in which any of You now hold or</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any interest and in any event, shall include, without limitation, all accounts receivable, book debts and other forms of obligations (other than forms of obligations evidenced by Chattel Paper, Documents or Instruments) that any of You now own, receive or acquire or belongs or is owed or becomes belonging or owing to any of You (including, without limitation, under any trade name, style or division thereof) whether arising out of goods sold or services that any of You render or from any other transaction, whether or not the same involves the sale of goods or services by any of You (including, without limitation, any such obligation that may be characterized as an account or contract right under the UCC) and all of any of Your rights in, to and under all purchase orders or receipts now owned or acquired by any of You for goods or services, and all of any of Your rights to any goods represented by any of the foregoing (including, without limitation, unpaid seller’s rights of rescission, replevin, reclamation and stoppage in transit and rights to returned, reclaimed or repossessed goods), and all monies due or to become due to any of You under all purchase orders and contracts for the sale of goods or the performance of services or both by any of You or in connection with any other transaction (whether or not yet earned by performance on the part of any of You), now in existence or occurring, including, without limitation, the right to receive the proceeds of said purchase orders and contracts, and all collateral security and guarantees of any kind given by any Person with respect to any of the foregoing.</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“Advance” </w:t>
      </w:r>
      <w:r>
        <w:rPr>
          <w:rFonts w:ascii="Arial" w:cs="Arial" w:eastAsia="Arial" w:hAnsi="Arial"/>
          <w:sz w:val="18"/>
          <w:szCs w:val="18"/>
          <w:color w:val="auto"/>
        </w:rPr>
        <w:t>has the meaning given to it in Section 1.</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“Advance Date” </w:t>
      </w:r>
      <w:r>
        <w:rPr>
          <w:rFonts w:ascii="Arial" w:cs="Arial" w:eastAsia="Arial" w:hAnsi="Arial"/>
          <w:sz w:val="18"/>
          <w:szCs w:val="18"/>
          <w:color w:val="auto"/>
        </w:rPr>
        <w:t>means the day on which We make an Advance to You.</w:t>
      </w:r>
    </w:p>
    <w:p>
      <w:pPr>
        <w:spacing w:after="0" w:line="225" w:lineRule="exact"/>
        <w:rPr>
          <w:sz w:val="20"/>
          <w:szCs w:val="20"/>
          <w:color w:val="auto"/>
        </w:rPr>
      </w:pPr>
    </w:p>
    <w:p>
      <w:pPr>
        <w:ind w:left="10" w:right="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xml:space="preserve">” means any request for an Advance to be executed and delivered from time to time by You to Us in the form attached to this Agreement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63" w:lineRule="exact"/>
        <w:rPr>
          <w:sz w:val="20"/>
          <w:szCs w:val="20"/>
          <w:color w:val="auto"/>
        </w:rPr>
      </w:pPr>
    </w:p>
    <w:p>
      <w:pPr>
        <w:ind w:left="10" w:right="180"/>
        <w:spacing w:after="0" w:line="347"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with respect to any Person, any Person that owns or controls directly or indirectly such Person, any Person that controls or is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by or is under common control with such Person, and each of such Person’s senior executive officers, directors, and partners, and members.</w:t>
      </w:r>
    </w:p>
    <w:p>
      <w:pPr>
        <w:spacing w:after="0" w:line="11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given to it in the Preamble.</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“Availability Period”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left="10" w:right="320"/>
        <w:spacing w:after="0" w:line="28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a Saturday, Sunday or other day on which banking institutions in the State of California are authorized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or other government action to close.</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means all cash, money, currency, and liquid funds, wherever held, which any of You own now, hold or acquire any right, title, or interest in.</w:t>
      </w:r>
    </w:p>
    <w:p>
      <w:pPr>
        <w:spacing w:after="0" w:line="248" w:lineRule="exact"/>
        <w:rPr>
          <w:sz w:val="20"/>
          <w:szCs w:val="20"/>
          <w:color w:val="auto"/>
        </w:rPr>
      </w:pPr>
    </w:p>
    <w:p>
      <w:pPr>
        <w:ind w:left="10" w:right="300"/>
        <w:spacing w:after="0" w:line="281" w:lineRule="auto"/>
        <w:rPr>
          <w:sz w:val="20"/>
          <w:szCs w:val="20"/>
          <w:color w:val="auto"/>
        </w:rPr>
      </w:pPr>
      <w:r>
        <w:rPr>
          <w:rFonts w:ascii="Arial" w:cs="Arial" w:eastAsia="Arial" w:hAnsi="Arial"/>
          <w:sz w:val="18"/>
          <w:szCs w:val="18"/>
          <w:b w:val="1"/>
          <w:bCs w:val="1"/>
          <w:color w:val="auto"/>
        </w:rPr>
        <w:t xml:space="preserve">“Chattel Paper” </w:t>
      </w:r>
      <w:r>
        <w:rPr>
          <w:rFonts w:ascii="Arial" w:cs="Arial" w:eastAsia="Arial" w:hAnsi="Arial"/>
          <w:sz w:val="18"/>
          <w:szCs w:val="18"/>
          <w:color w:val="auto"/>
        </w:rPr>
        <w:t>means any “chattel paper,” as such term is defined in the UCC, now owned or acquired by any of You or in which any of You now</w:t>
      </w:r>
      <w:r>
        <w:rPr>
          <w:rFonts w:ascii="Arial" w:cs="Arial" w:eastAsia="Arial" w:hAnsi="Arial"/>
          <w:sz w:val="18"/>
          <w:szCs w:val="18"/>
          <w:b w:val="1"/>
          <w:bCs w:val="1"/>
          <w:color w:val="auto"/>
        </w:rPr>
        <w:t xml:space="preserve"> </w:t>
      </w:r>
      <w:r>
        <w:rPr>
          <w:rFonts w:ascii="Arial" w:cs="Arial" w:eastAsia="Arial" w:hAnsi="Arial"/>
          <w:sz w:val="18"/>
          <w:szCs w:val="18"/>
          <w:color w:val="auto"/>
        </w:rPr>
        <w:t>hold or acquire any interest.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June 28, 2017.</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has the meaning given to it in Section 8.</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“Commitment Amount”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Increase Request Notice”</w:t>
      </w:r>
      <w:r>
        <w:rPr>
          <w:rFonts w:ascii="Arial" w:cs="Arial" w:eastAsia="Arial" w:hAnsi="Arial"/>
          <w:sz w:val="18"/>
          <w:szCs w:val="18"/>
          <w:color w:val="auto"/>
        </w:rPr>
        <w:t xml:space="preserve"> has the meaning given to it in Section 3.</w:t>
      </w:r>
    </w:p>
    <w:p>
      <w:pPr>
        <w:spacing w:after="0" w:line="225" w:lineRule="exact"/>
        <w:rPr>
          <w:sz w:val="20"/>
          <w:szCs w:val="20"/>
          <w:color w:val="auto"/>
        </w:rPr>
      </w:pPr>
    </w:p>
    <w:p>
      <w:pPr>
        <w:ind w:left="10" w:right="40"/>
        <w:spacing w:after="0" w:line="281" w:lineRule="auto"/>
        <w:rPr>
          <w:sz w:val="20"/>
          <w:szCs w:val="20"/>
          <w:color w:val="auto"/>
        </w:rPr>
      </w:pPr>
      <w:r>
        <w:rPr>
          <w:rFonts w:ascii="Arial" w:cs="Arial" w:eastAsia="Arial" w:hAnsi="Arial"/>
          <w:sz w:val="18"/>
          <w:szCs w:val="18"/>
          <w:b w:val="1"/>
          <w:bCs w:val="1"/>
          <w:color w:val="auto"/>
        </w:rPr>
        <w:t xml:space="preserve">“Copyright License” </w:t>
      </w:r>
      <w:r>
        <w:rPr>
          <w:rFonts w:ascii="Arial" w:cs="Arial" w:eastAsia="Arial" w:hAnsi="Arial"/>
          <w:sz w:val="18"/>
          <w:szCs w:val="18"/>
          <w:color w:val="auto"/>
        </w:rPr>
        <w:t>means any written agreement granting to any of You any right to use any Copyright or Copyright registration in which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now hold or hereafter acquire any interest.</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90"/>
          </w:cols>
          <w:pgMar w:left="450" w:top="275" w:right="459" w:bottom="1440" w:gutter="0" w:footer="0" w:header="0"/>
        </w:sectPr>
      </w:pPr>
    </w:p>
    <w:bookmarkStart w:id="645" w:name="page646"/>
    <w:bookmarkEnd w:id="645"/>
    <w:p>
      <w:pPr>
        <w:ind w:left="10"/>
        <w:spacing w:after="0" w:line="29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“Copyrights” </w:t>
      </w:r>
      <w:r>
        <w:rPr>
          <w:rFonts w:ascii="Arial" w:cs="Arial" w:eastAsia="Arial" w:hAnsi="Arial"/>
          <w:sz w:val="16"/>
          <w:szCs w:val="16"/>
          <w:color w:val="auto"/>
        </w:rPr>
        <w:t>means all of the following now owned or acquired by any of You or in which any of You now hold or acquire any interest: (i) all</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and copyright rights, whether registered or unregistered, held pursuant to the laws of the United States, any State thereof, or of any other country, or pursuant to any convention or treaty; (ii) all registrations of, applications for registration. and recordings of any copyright rights in the United States Copyright Office or in any similar office or agency of the United States, any State thereof or any other country; (iii) all continuations, renewals or extensions of any copyrights and any registrations thereof; and (iv) any copyright registrations to be issued under any pending applications.</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any event that, with the passage of time or notice or both would, unless cured or waived, become an Event of Default.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has the meaning given to it in Section 7.</w:t>
      </w:r>
    </w:p>
    <w:p>
      <w:pPr>
        <w:spacing w:after="0" w:line="225" w:lineRule="exact"/>
        <w:rPr>
          <w:sz w:val="20"/>
          <w:szCs w:val="20"/>
          <w:color w:val="auto"/>
        </w:rPr>
      </w:pPr>
    </w:p>
    <w:p>
      <w:pPr>
        <w:ind w:left="10" w:right="120"/>
        <w:spacing w:after="0" w:line="281" w:lineRule="auto"/>
        <w:rPr>
          <w:sz w:val="20"/>
          <w:szCs w:val="20"/>
          <w:color w:val="auto"/>
        </w:rPr>
      </w:pPr>
      <w:r>
        <w:rPr>
          <w:rFonts w:ascii="Arial" w:cs="Arial" w:eastAsia="Arial" w:hAnsi="Arial"/>
          <w:sz w:val="18"/>
          <w:szCs w:val="18"/>
          <w:b w:val="1"/>
          <w:bCs w:val="1"/>
          <w:color w:val="auto"/>
        </w:rPr>
        <w:t xml:space="preserve">“Deposit Accounts” </w:t>
      </w:r>
      <w:r>
        <w:rPr>
          <w:rFonts w:ascii="Arial" w:cs="Arial" w:eastAsia="Arial" w:hAnsi="Arial"/>
          <w:sz w:val="18"/>
          <w:szCs w:val="18"/>
          <w:color w:val="auto"/>
        </w:rPr>
        <w:t>means any “deposit accounts,” as such term is defined in the UCC, now owned or acquired by any of You or in which any of You</w:t>
      </w:r>
      <w:r>
        <w:rPr>
          <w:rFonts w:ascii="Arial" w:cs="Arial" w:eastAsia="Arial" w:hAnsi="Arial"/>
          <w:sz w:val="18"/>
          <w:szCs w:val="18"/>
          <w:b w:val="1"/>
          <w:bCs w:val="1"/>
          <w:color w:val="auto"/>
        </w:rPr>
        <w:t xml:space="preserve"> </w:t>
      </w:r>
      <w:r>
        <w:rPr>
          <w:rFonts w:ascii="Arial" w:cs="Arial" w:eastAsia="Arial" w:hAnsi="Arial"/>
          <w:sz w:val="18"/>
          <w:szCs w:val="18"/>
          <w:color w:val="auto"/>
        </w:rPr>
        <w:t>now hold or acquire any interest.</w:t>
      </w:r>
    </w:p>
    <w:p>
      <w:pPr>
        <w:spacing w:after="0" w:line="163"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means any “documents,” as such term is defined in the UCC, now owned or acquired by any of You or in which any of You now hold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any interest.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“End of Term Payment”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left="10" w:right="100"/>
        <w:spacing w:after="0" w:line="266" w:lineRule="auto"/>
        <w:rPr>
          <w:sz w:val="20"/>
          <w:szCs w:val="20"/>
          <w:color w:val="auto"/>
        </w:rPr>
      </w:pPr>
      <w:r>
        <w:rPr>
          <w:rFonts w:ascii="Arial" w:cs="Arial" w:eastAsia="Arial" w:hAnsi="Arial"/>
          <w:sz w:val="18"/>
          <w:szCs w:val="18"/>
          <w:b w:val="1"/>
          <w:bCs w:val="1"/>
          <w:color w:val="auto"/>
        </w:rPr>
        <w:t xml:space="preserve">“Equipment” </w:t>
      </w:r>
      <w:r>
        <w:rPr>
          <w:rFonts w:ascii="Arial" w:cs="Arial" w:eastAsia="Arial" w:hAnsi="Arial"/>
          <w:sz w:val="18"/>
          <w:szCs w:val="18"/>
          <w:color w:val="auto"/>
        </w:rPr>
        <w:t>means any “equipment,” as such term is defined in the UCC, and any and all additions, upgrades, substitutions and replacements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thereof, together with all attachments, components, parts, accessions and accessories installed thereon or affixed thereto, now owned or hereafter acquired by any of You or in which any of You now hold or acquire any interest.</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has the meaning given to it in Section 14.</w:t>
      </w:r>
    </w:p>
    <w:p>
      <w:pPr>
        <w:spacing w:after="0" w:line="225" w:lineRule="exact"/>
        <w:rPr>
          <w:sz w:val="20"/>
          <w:szCs w:val="20"/>
          <w:color w:val="auto"/>
        </w:rPr>
      </w:pPr>
    </w:p>
    <w:p>
      <w:pPr>
        <w:jc w:val="both"/>
        <w:ind w:left="10" w:right="60"/>
        <w:spacing w:after="0" w:line="266" w:lineRule="auto"/>
        <w:rPr>
          <w:sz w:val="20"/>
          <w:szCs w:val="20"/>
          <w:color w:val="auto"/>
        </w:rPr>
      </w:pPr>
      <w:r>
        <w:rPr>
          <w:rFonts w:ascii="Arial" w:cs="Arial" w:eastAsia="Arial" w:hAnsi="Arial"/>
          <w:sz w:val="18"/>
          <w:szCs w:val="18"/>
          <w:b w:val="1"/>
          <w:bCs w:val="1"/>
          <w:color w:val="auto"/>
        </w:rPr>
        <w:t xml:space="preserve">“Excluded Agreements” </w:t>
      </w:r>
      <w:r>
        <w:rPr>
          <w:rFonts w:ascii="Arial" w:cs="Arial" w:eastAsia="Arial" w:hAnsi="Arial"/>
          <w:sz w:val="18"/>
          <w:szCs w:val="18"/>
          <w:color w:val="auto"/>
        </w:rPr>
        <w:t>means (i) the Warrant Agreement; and (ii) any stock purchase agreement, options, or other warrants to acquire, 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rights of, any capital stock or other equity security, or any common stock, preferred stock, or equity security issued to or purchased by Us or Our nominee or assignee</w:t>
      </w:r>
      <w:r>
        <w:rPr>
          <w:rFonts w:ascii="Arial" w:cs="Arial" w:eastAsia="Arial" w:hAnsi="Arial"/>
          <w:sz w:val="18"/>
          <w:szCs w:val="18"/>
          <w:b w:val="1"/>
          <w:bCs w:val="1"/>
          <w:color w:val="auto"/>
        </w:rPr>
        <w:t>.</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“Facility Fee”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left="10" w:right="260"/>
        <w:spacing w:after="0" w:line="266" w:lineRule="auto"/>
        <w:rPr>
          <w:sz w:val="20"/>
          <w:szCs w:val="20"/>
          <w:color w:val="auto"/>
        </w:rPr>
      </w:pPr>
      <w:r>
        <w:rPr>
          <w:rFonts w:ascii="Arial" w:cs="Arial" w:eastAsia="Arial" w:hAnsi="Arial"/>
          <w:sz w:val="18"/>
          <w:szCs w:val="18"/>
          <w:b w:val="1"/>
          <w:bCs w:val="1"/>
          <w:color w:val="auto"/>
        </w:rPr>
        <w:t xml:space="preserve">“Fixtures” </w:t>
      </w:r>
      <w:r>
        <w:rPr>
          <w:rFonts w:ascii="Arial" w:cs="Arial" w:eastAsia="Arial" w:hAnsi="Arial"/>
          <w:sz w:val="18"/>
          <w:szCs w:val="18"/>
          <w:color w:val="auto"/>
        </w:rPr>
        <w:t>means any “fixtures,” as such term is defined in the UCC, together with any of Your right, title and interest in and to all extensions,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betterments, renewals, substitutes, and replacements thereof, and all additions and appurtenances thereto any, now owned or hereafter acquired by any of You or in which any of You now hold or acquire any interest.</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as in effect from time to time.</w:t>
      </w:r>
    </w:p>
    <w:p>
      <w:pPr>
        <w:spacing w:after="0" w:line="225" w:lineRule="exact"/>
        <w:rPr>
          <w:sz w:val="20"/>
          <w:szCs w:val="20"/>
          <w:color w:val="auto"/>
        </w:rPr>
      </w:pPr>
    </w:p>
    <w:p>
      <w:pPr>
        <w:ind w:left="10" w:right="100"/>
        <w:spacing w:after="0" w:line="276" w:lineRule="auto"/>
        <w:rPr>
          <w:sz w:val="20"/>
          <w:szCs w:val="20"/>
          <w:color w:val="auto"/>
        </w:rPr>
      </w:pPr>
      <w:r>
        <w:rPr>
          <w:rFonts w:ascii="Arial" w:cs="Arial" w:eastAsia="Arial" w:hAnsi="Arial"/>
          <w:sz w:val="17"/>
          <w:szCs w:val="17"/>
          <w:b w:val="1"/>
          <w:bCs w:val="1"/>
          <w:color w:val="auto"/>
        </w:rPr>
        <w:t xml:space="preserve">“General Intangibles” </w:t>
      </w:r>
      <w:r>
        <w:rPr>
          <w:rFonts w:ascii="Arial" w:cs="Arial" w:eastAsia="Arial" w:hAnsi="Arial"/>
          <w:sz w:val="17"/>
          <w:szCs w:val="17"/>
          <w:color w:val="auto"/>
        </w:rPr>
        <w:t>means any “general intangibles,” as such term is defined in the UCC, and, in any event, includes proprietary or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(other than Intellectual Property); business records and materials (other than Intellectual Property); customer lists; interests in partnerships, joint ventures, corporations, limited liability companies and other business associations; permits; claims in or under insurance policies (including unearned premiums and retrospective premium adjustments); and rights to receive tax refunds and other payments and rights of indemnification, now owned or acquired by any of You or in which any of You may now or hereafter have any interest.</w:t>
      </w:r>
    </w:p>
    <w:p>
      <w:pPr>
        <w:spacing w:after="0" w:line="171" w:lineRule="exact"/>
        <w:rPr>
          <w:sz w:val="20"/>
          <w:szCs w:val="20"/>
          <w:color w:val="auto"/>
        </w:rPr>
      </w:pPr>
    </w:p>
    <w:p>
      <w:pPr>
        <w:ind w:left="10" w:right="140"/>
        <w:spacing w:after="0" w:line="281" w:lineRule="auto"/>
        <w:rPr>
          <w:sz w:val="20"/>
          <w:szCs w:val="20"/>
          <w:color w:val="auto"/>
        </w:rPr>
      </w:pPr>
      <w:r>
        <w:rPr>
          <w:rFonts w:ascii="Arial" w:cs="Arial" w:eastAsia="Arial" w:hAnsi="Arial"/>
          <w:sz w:val="18"/>
          <w:szCs w:val="18"/>
          <w:b w:val="1"/>
          <w:bCs w:val="1"/>
          <w:color w:val="auto"/>
        </w:rPr>
        <w:t xml:space="preserve">“Goods” </w:t>
      </w:r>
      <w:r>
        <w:rPr>
          <w:rFonts w:ascii="Arial" w:cs="Arial" w:eastAsia="Arial" w:hAnsi="Arial"/>
          <w:sz w:val="18"/>
          <w:szCs w:val="18"/>
          <w:color w:val="auto"/>
        </w:rPr>
        <w:t>means any “goods,” as such term is defined in the UCC, now owned or hereafter acquired by any of You or in which any of You now hold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any interest.</w:t>
      </w:r>
    </w:p>
    <w:p>
      <w:pPr>
        <w:spacing w:after="0" w:line="163" w:lineRule="exact"/>
        <w:rPr>
          <w:sz w:val="20"/>
          <w:szCs w:val="20"/>
          <w:color w:val="auto"/>
        </w:rPr>
      </w:pPr>
    </w:p>
    <w:p>
      <w:pPr>
        <w:ind w:left="10" w:right="180"/>
        <w:spacing w:after="0" w:line="281" w:lineRule="auto"/>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any Person who from time to time may guaranty or provide collateral or other credit support for all or any portion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means, of any Person, at any date, without duplication and without regard to whether matured or unmatured, absolute or contingent:</w:t>
      </w:r>
    </w:p>
    <w:p>
      <w:pPr>
        <w:spacing w:after="0" w:line="50" w:lineRule="exact"/>
        <w:rPr>
          <w:sz w:val="20"/>
          <w:szCs w:val="20"/>
          <w:color w:val="auto"/>
        </w:rPr>
      </w:pPr>
    </w:p>
    <w:p>
      <w:pPr>
        <w:ind w:left="10" w:right="100" w:hanging="10"/>
        <w:spacing w:after="0" w:line="251" w:lineRule="auto"/>
        <w:tabs>
          <w:tab w:leader="none" w:pos="225" w:val="left"/>
        </w:tabs>
        <w:numPr>
          <w:ilvl w:val="0"/>
          <w:numId w:val="669"/>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(ii) all obligations of such Person evidenced by bonds, debentures, notes, or other similar instruments; (iii) all obligations of such Person to pay the deferred purchase price of property or services;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 arise out of or in connection with the sale of the same or substantially similar securities; (vii) all obligations of such Person to purchase, redeem, exchange, convert or otherwise acquire for value any capital stock of such Person or any warrants, rights or options to acquire such capital stock, now or hereafter outstanding, except to the</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90"/>
          </w:cols>
          <w:pgMar w:left="450" w:top="270" w:right="459" w:bottom="1440" w:gutter="0" w:footer="0" w:header="0"/>
        </w:sectPr>
      </w:pPr>
    </w:p>
    <w:bookmarkStart w:id="646" w:name="page647"/>
    <w:bookmarkEnd w:id="646"/>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(A) such obligations remain performable solely at the option of such Person or (B) any such exchange or conversion is made solely for such capital stock; (viii) all obligations to repurchase assets previously sold (including any obligation to repurchase any accounts or chattel paper under any factoring, receivables purchase, or similar arrangement); (ix) obligations of such Person under interest rate swap, cap, collar or similar hedging arrangements; and (x) all obligations of others of any type described in clause (i) through clause (ix) above guaranteed by such Person.</w:t>
      </w:r>
    </w:p>
    <w:p>
      <w:pPr>
        <w:spacing w:after="0" w:line="152"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means any “instrument,” as such term is defined in the UCC, now owned or hereafter acquired by any of You or in which any of You</w:t>
      </w:r>
      <w:r>
        <w:rPr>
          <w:rFonts w:ascii="Arial" w:cs="Arial" w:eastAsia="Arial" w:hAnsi="Arial"/>
          <w:sz w:val="18"/>
          <w:szCs w:val="18"/>
          <w:b w:val="1"/>
          <w:bCs w:val="1"/>
          <w:color w:val="auto"/>
        </w:rPr>
        <w:t xml:space="preserve"> </w:t>
      </w:r>
      <w:r>
        <w:rPr>
          <w:rFonts w:ascii="Arial" w:cs="Arial" w:eastAsia="Arial" w:hAnsi="Arial"/>
          <w:sz w:val="18"/>
          <w:szCs w:val="18"/>
          <w:color w:val="auto"/>
        </w:rPr>
        <w:t>now hold or acquire any interest.</w:t>
      </w:r>
    </w:p>
    <w:p>
      <w:pPr>
        <w:spacing w:after="0" w:line="16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means all Copyrights; Trademarks; Patents; Licenses; source codes; trade secrets; inventions (whether or not patented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patentable); technical information, processes, designs, knowledge and know-how; data bases; models; drawings; websites, domain names, and URL’s, and all applications therefor and reissues, extensions, or renewals thereof; together with the rights to sue for past, present, or future infringement of Intellectual Property and the goodwill associated with the foregoing.</w:t>
      </w:r>
    </w:p>
    <w:p>
      <w:pPr>
        <w:spacing w:after="0" w:line="18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means any “inventory,” as such term is defined in the UCC, now owned or acquired by any of You or in which any of You now hold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any interest, and, in any event, shall include, without limitation, all Goods and personal property that are held by or on any of Your behalf for sale or lease or are furnished or are to be furnished under a contract of service or that constitute raw materials, work in process or materials used or consumed or to be used or consumed in any of Your businesses, or the processing, packaging, promotion, delivery or shipping of the same, and all finished goods, whether or not the same is in transit or in any of Your constructive, actual or exclusive possession or is held by others for any of Your account, including, without limitation, all property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190"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color w:val="auto"/>
        </w:rPr>
        <w:t>means any beneficial ownership (including stock, partnership or limited liability company interest or other securities) of any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loan, advance or capital contribution to any Person.</w:t>
      </w:r>
    </w:p>
    <w:p>
      <w:pPr>
        <w:spacing w:after="0" w:line="16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Property” </w:t>
      </w:r>
      <w:r>
        <w:rPr>
          <w:rFonts w:ascii="Arial" w:cs="Arial" w:eastAsia="Arial" w:hAnsi="Arial"/>
          <w:sz w:val="18"/>
          <w:szCs w:val="18"/>
          <w:color w:val="auto"/>
        </w:rPr>
        <w:t>means any “investment property,” as such term is defined in the UCC, and includes any certificated security,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money market funds, bonds, mutual funds, and U.S. Treasury bills and notes now owned or hereafter acquired by any of You or in which any of You now hold or acquire any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“Joinder Agreement” </w:t>
      </w:r>
      <w:r>
        <w:rPr>
          <w:rFonts w:ascii="Arial" w:cs="Arial" w:eastAsia="Arial" w:hAnsi="Arial"/>
          <w:sz w:val="18"/>
          <w:szCs w:val="18"/>
          <w:color w:val="auto"/>
        </w:rPr>
        <w:t>means a joinder agreement in substantially the form attached as</w:t>
      </w:r>
      <w:r>
        <w:rPr>
          <w:rFonts w:ascii="Arial" w:cs="Arial" w:eastAsia="Arial" w:hAnsi="Arial"/>
          <w:sz w:val="18"/>
          <w:szCs w:val="18"/>
          <w:b w:val="1"/>
          <w:bCs w:val="1"/>
          <w:color w:val="auto"/>
        </w:rPr>
        <w:t xml:space="preserve"> Exhibit E</w:t>
      </w:r>
      <w:r>
        <w:rPr>
          <w:rFonts w:ascii="Arial" w:cs="Arial" w:eastAsia="Arial" w:hAnsi="Arial"/>
          <w:sz w:val="18"/>
          <w:szCs w:val="18"/>
          <w:color w:val="auto"/>
        </w:rPr>
        <w:t>.</w:t>
      </w:r>
    </w:p>
    <w:p>
      <w:pPr>
        <w:spacing w:after="0" w:line="225"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color w:val="auto"/>
        </w:rPr>
        <w:t xml:space="preserve">“Letter of Credit Rights” </w:t>
      </w:r>
      <w:r>
        <w:rPr>
          <w:rFonts w:ascii="Arial" w:cs="Arial" w:eastAsia="Arial" w:hAnsi="Arial"/>
          <w:sz w:val="18"/>
          <w:szCs w:val="18"/>
          <w:color w:val="auto"/>
        </w:rPr>
        <w:t>means any “letter of credit rights,” as such term is defined in the UCC, now owned or acquired by any of You or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any of You now hold or acquire any interest, including any right to payment under any letter of credit.</w:t>
      </w:r>
    </w:p>
    <w:p>
      <w:pPr>
        <w:spacing w:after="0" w:line="163"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b w:val="1"/>
          <w:bCs w:val="1"/>
          <w:color w:val="auto"/>
        </w:rPr>
        <w:t xml:space="preserve">“License” </w:t>
      </w:r>
      <w:r>
        <w:rPr>
          <w:rFonts w:ascii="Arial" w:cs="Arial" w:eastAsia="Arial" w:hAnsi="Arial"/>
          <w:sz w:val="18"/>
          <w:szCs w:val="18"/>
          <w:color w:val="auto"/>
        </w:rPr>
        <w:t>means any Copyright License, Patent License, Trademark License or other license of rights or interests now held or acquired by any of You</w:t>
      </w:r>
      <w:r>
        <w:rPr>
          <w:rFonts w:ascii="Arial" w:cs="Arial" w:eastAsia="Arial" w:hAnsi="Arial"/>
          <w:sz w:val="18"/>
          <w:szCs w:val="18"/>
          <w:b w:val="1"/>
          <w:bCs w:val="1"/>
          <w:color w:val="auto"/>
        </w:rPr>
        <w:t xml:space="preserve"> </w:t>
      </w:r>
      <w:r>
        <w:rPr>
          <w:rFonts w:ascii="Arial" w:cs="Arial" w:eastAsia="Arial" w:hAnsi="Arial"/>
          <w:sz w:val="18"/>
          <w:szCs w:val="18"/>
          <w:color w:val="auto"/>
        </w:rPr>
        <w:t>or in which any of You now hold or acquire any interest and any renewals or extensions thereof.</w:t>
      </w:r>
    </w:p>
    <w:p>
      <w:pPr>
        <w:spacing w:after="0" w:line="163"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 xml:space="preserve">“Lien” </w:t>
      </w:r>
      <w:r>
        <w:rPr>
          <w:rFonts w:ascii="Arial" w:cs="Arial" w:eastAsia="Arial" w:hAnsi="Arial"/>
          <w:sz w:val="17"/>
          <w:szCs w:val="17"/>
          <w:color w:val="auto"/>
        </w:rPr>
        <w:t>means any mortgage, deed of trust, pledge, hypothecation, assignment for security, security interest, encumbrance, levy, lien or charge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6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color w:val="auto"/>
        </w:rPr>
        <w:t xml:space="preserve">“Loan Documents” </w:t>
      </w:r>
      <w:r>
        <w:rPr>
          <w:rFonts w:ascii="Arial" w:cs="Arial" w:eastAsia="Arial" w:hAnsi="Arial"/>
          <w:sz w:val="18"/>
          <w:szCs w:val="18"/>
          <w:color w:val="auto"/>
        </w:rPr>
        <w:t>means this Agreement, the Promissory Notes, all UCC Financing Statements, and any other documents executed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Secured Obligations or the transactions contemplated hereby, including those documents described on the Schedule of Documents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as the same may from time to time be amended, modified, supplemented or restated;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Loan Documents shall not include any of the Excluded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“Loan Term”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adverse effect on (i) the business, operations, properties, prospects, assets or condition (financial or otherwise) of any of You or all of You as a whole, (ii) the ability of any of You to perform the Secured Obligations in accordance with the terms of the Loan Documents or Our ability to enforce any of Our rights and remedies with respect to the Secured Obligations in accordance with the terms of the Loan Documents, or (iii) the Collateral or Our Liens on the Collateral or the priority of such Liens.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647" w:name="page648"/>
    <w:bookmarkEnd w:id="647"/>
    <w:p>
      <w:pPr>
        <w:ind w:left="1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Merger Event</w:t>
      </w:r>
      <w:r>
        <w:rPr>
          <w:rFonts w:ascii="Arial" w:cs="Arial" w:eastAsia="Arial" w:hAnsi="Arial"/>
          <w:sz w:val="17"/>
          <w:szCs w:val="17"/>
          <w:color w:val="auto"/>
        </w:rPr>
        <w:t>” means (i) any reorganization, consolidation or merger (or similar transaction or series of transactions) by any of Your or any of Your subsidiaries, with or into any other Person; (ii) any transaction, including the sale or exchange of outstanding shares of Your capital stock, or the capital stock of any of Your Subsidiaries, in which the holders of such outstanding capital stock of the affected corporation immediately before consummation of such transaction or series of related transactions do not, immediately after consummation of such transaction or series of related transactions, retain capital stock representing at least 50.0% of the voting power of the surviving corporation of such transaction or series of related transactions (or the parent corporation of such surviving corporation if such surviving corporation is wholly owned by such parent corporation), in each case without regard to whether You or any of Your subsidiaries are the surviving corporation, or (iii) the sale, license or other disposition of all or substantially all of Your assets, or the assets of any of Your subsidiaries.</w:t>
      </w:r>
    </w:p>
    <w:p>
      <w:pPr>
        <w:spacing w:after="0" w:line="177" w:lineRule="exact"/>
        <w:rPr>
          <w:sz w:val="20"/>
          <w:szCs w:val="20"/>
          <w:color w:val="auto"/>
        </w:rPr>
      </w:pPr>
    </w:p>
    <w:p>
      <w:pPr>
        <w:ind w:left="10" w:right="2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Next Round</w:t>
      </w:r>
      <w:r>
        <w:rPr>
          <w:rFonts w:ascii="Arial" w:cs="Arial" w:eastAsia="Arial" w:hAnsi="Arial"/>
          <w:sz w:val="18"/>
          <w:szCs w:val="18"/>
          <w:color w:val="auto"/>
        </w:rPr>
        <w:t>” means the first equity financing, or extension of an existing round of equity financing, occurring after the Closing Date, in which You issue preferred stock for aggregate gross cash proceeds of at least Two Million Dollars ($2,000,000) (with aggregate proceeds to include the amounts that the investors in such financing have committed to invest, in accordance with the terms of the financing documents after the initial closing under such documents and to exclude any amounts receivable upon, or attributable to, conversion or cancellation of indebtedness), whether in a single or multiple closings and whether in related or unrelated financings.</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United States Department of the Treasury’s Office of Foreign Assets Control.</w:t>
      </w:r>
    </w:p>
    <w:p>
      <w:pPr>
        <w:spacing w:after="0" w:line="225" w:lineRule="exact"/>
        <w:rPr>
          <w:sz w:val="20"/>
          <w:szCs w:val="20"/>
          <w:color w:val="auto"/>
        </w:rPr>
      </w:pPr>
    </w:p>
    <w:p>
      <w:pPr>
        <w:ind w:left="10" w:right="60"/>
        <w:spacing w:after="0" w:line="281" w:lineRule="auto"/>
        <w:rPr>
          <w:sz w:val="20"/>
          <w:szCs w:val="20"/>
          <w:color w:val="auto"/>
        </w:rPr>
      </w:pPr>
      <w:r>
        <w:rPr>
          <w:rFonts w:ascii="Arial" w:cs="Arial" w:eastAsia="Arial" w:hAnsi="Arial"/>
          <w:sz w:val="18"/>
          <w:szCs w:val="18"/>
          <w:b w:val="1"/>
          <w:bCs w:val="1"/>
          <w:color w:val="auto"/>
        </w:rPr>
        <w:t xml:space="preserve">“Part 1 Milestone” </w:t>
      </w:r>
      <w:r>
        <w:rPr>
          <w:rFonts w:ascii="Arial" w:cs="Arial" w:eastAsia="Arial" w:hAnsi="Arial"/>
          <w:sz w:val="18"/>
          <w:szCs w:val="18"/>
          <w:color w:val="auto"/>
        </w:rPr>
        <w:t>means since the Closing Date You have entered into subordinated convertible debt financing with Your current investors,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Lightspeed Ventures, in which You have received net proceeds equal to Ten Million Dollars ($10,000,000).</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“Parts” </w:t>
      </w:r>
      <w:r>
        <w:rPr>
          <w:rFonts w:ascii="Arial" w:cs="Arial" w:eastAsia="Arial" w:hAnsi="Arial"/>
          <w:sz w:val="18"/>
          <w:szCs w:val="18"/>
          <w:color w:val="auto"/>
        </w:rPr>
        <w:t>has the meaning given to it in Section 3.</w:t>
      </w:r>
    </w:p>
    <w:p>
      <w:pPr>
        <w:spacing w:after="0" w:line="225" w:lineRule="exact"/>
        <w:rPr>
          <w:sz w:val="20"/>
          <w:szCs w:val="20"/>
          <w:color w:val="auto"/>
        </w:rPr>
      </w:pPr>
    </w:p>
    <w:p>
      <w:pPr>
        <w:ind w:left="10" w:right="8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w:t>
      </w:r>
      <w:r>
        <w:rPr>
          <w:rFonts w:ascii="Arial" w:cs="Arial" w:eastAsia="Arial" w:hAnsi="Arial"/>
          <w:sz w:val="18"/>
          <w:szCs w:val="18"/>
          <w:color w:val="auto"/>
        </w:rPr>
        <w:t>” means any written agreement granting to You any right with respect to any invention or Patent in which You now hold or acquire any interest.</w:t>
      </w:r>
    </w:p>
    <w:p>
      <w:pPr>
        <w:spacing w:after="0" w:line="163" w:lineRule="exact"/>
        <w:rPr>
          <w:sz w:val="20"/>
          <w:szCs w:val="20"/>
          <w:color w:val="auto"/>
        </w:rPr>
      </w:pPr>
    </w:p>
    <w:p>
      <w:pPr>
        <w:ind w:left="10" w:right="20"/>
        <w:spacing w:after="0" w:line="258" w:lineRule="auto"/>
        <w:rPr>
          <w:sz w:val="20"/>
          <w:szCs w:val="20"/>
          <w:color w:val="auto"/>
        </w:rPr>
      </w:pPr>
      <w:r>
        <w:rPr>
          <w:rFonts w:ascii="Arial" w:cs="Arial" w:eastAsia="Arial" w:hAnsi="Arial"/>
          <w:sz w:val="18"/>
          <w:szCs w:val="18"/>
          <w:b w:val="1"/>
          <w:bCs w:val="1"/>
          <w:color w:val="auto"/>
        </w:rPr>
        <w:t xml:space="preserve">“Patents” </w:t>
      </w:r>
      <w:r>
        <w:rPr>
          <w:rFonts w:ascii="Arial" w:cs="Arial" w:eastAsia="Arial" w:hAnsi="Arial"/>
          <w:sz w:val="18"/>
          <w:szCs w:val="18"/>
          <w:color w:val="auto"/>
        </w:rPr>
        <w:t>means all of the following now owned or acquired by any of You or in which any of You now hold or acquire any interest: (a) all patents,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corresponding thereto, issued or registered in the United States or any other county, (b) all applications for patents, or rights corresponding thereto in, the United States or any other country; (c) all reissues, reexaminations, continuations, divisions, continuations-in-part, or extensions of the foregoing patents and/or applications; (d) all patents to be issued under any of the foregoing applications; and (e) all foreign counterparts of the foregoing patents and/or applications.</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“Patriot Act” </w:t>
      </w:r>
      <w:r>
        <w:rPr>
          <w:rFonts w:ascii="Arial" w:cs="Arial" w:eastAsia="Arial" w:hAnsi="Arial"/>
          <w:sz w:val="18"/>
          <w:szCs w:val="18"/>
          <w:color w:val="auto"/>
        </w:rPr>
        <w:t>means the USA PATRIOT Improvement and Reauthorization Act of 2005.</w:t>
      </w:r>
    </w:p>
    <w:p>
      <w:pPr>
        <w:spacing w:after="0" w:line="225" w:lineRule="exact"/>
        <w:rPr>
          <w:sz w:val="20"/>
          <w:szCs w:val="20"/>
          <w:color w:val="auto"/>
        </w:rPr>
      </w:pPr>
    </w:p>
    <w:p>
      <w:pPr>
        <w:ind w:left="10" w:right="340"/>
        <w:spacing w:after="0" w:line="293" w:lineRule="auto"/>
        <w:rPr>
          <w:sz w:val="20"/>
          <w:szCs w:val="20"/>
          <w:color w:val="auto"/>
        </w:rPr>
      </w:pPr>
      <w:r>
        <w:rPr>
          <w:rFonts w:ascii="Arial" w:cs="Arial" w:eastAsia="Arial" w:hAnsi="Arial"/>
          <w:sz w:val="16"/>
          <w:szCs w:val="16"/>
          <w:b w:val="1"/>
          <w:bCs w:val="1"/>
          <w:color w:val="auto"/>
        </w:rPr>
        <w:t xml:space="preserve">“Permitted Indebtedness” </w:t>
      </w:r>
      <w:r>
        <w:rPr>
          <w:rFonts w:ascii="Arial" w:cs="Arial" w:eastAsia="Arial" w:hAnsi="Arial"/>
          <w:sz w:val="16"/>
          <w:szCs w:val="16"/>
          <w:color w:val="auto"/>
        </w:rPr>
        <w:t>means (a) Indebtedness of any of You in favor of Us; (b) Indebtedness existing at the Closing Date and disclosed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 (c) Indebtedness incurred for the acquisition of services, supplies or inventory on normal trade credit in the ordinary course of business;</w:t>
      </w:r>
    </w:p>
    <w:p>
      <w:pPr>
        <w:spacing w:after="0" w:line="1" w:lineRule="exact"/>
        <w:rPr>
          <w:sz w:val="20"/>
          <w:szCs w:val="20"/>
          <w:color w:val="auto"/>
        </w:rPr>
      </w:pPr>
    </w:p>
    <w:p>
      <w:pPr>
        <w:ind w:left="10" w:hanging="10"/>
        <w:spacing w:after="0" w:line="269" w:lineRule="auto"/>
        <w:tabs>
          <w:tab w:leader="none" w:pos="264" w:val="left"/>
        </w:tabs>
        <w:numPr>
          <w:ilvl w:val="0"/>
          <w:numId w:val="670"/>
        </w:numPr>
        <w:rPr>
          <w:rFonts w:ascii="Arial" w:cs="Arial" w:eastAsia="Arial" w:hAnsi="Arial"/>
          <w:sz w:val="17"/>
          <w:szCs w:val="17"/>
          <w:color w:val="auto"/>
        </w:rPr>
      </w:pPr>
      <w:r>
        <w:rPr>
          <w:rFonts w:ascii="Arial" w:cs="Arial" w:eastAsia="Arial" w:hAnsi="Arial"/>
          <w:sz w:val="17"/>
          <w:szCs w:val="17"/>
          <w:color w:val="auto"/>
        </w:rPr>
        <w:t>Indebtedness not to exceed Nine Million Dollars ($9,000,000) in the aggregate incurred during the term hereof, secured by a Lien described in clause (vii) of the defined term “Permitted Liens”; provided that such Indebtedness does not exceed the purchase price of the specific Equipment financed with such Indebtedness; (e) Indebtedness under the Working Capital Loan Facility so long as the aggregate outstanding amount thereof does not at any time exceed Five Million Dollars ($5,000,000) and subject to an intercreditor agreement acceptable to Us; (f) Subordinated Indebtedness, (g) extensions, refinancings, modifications, amendments and restatements of any item of Permitted Indebtedness (a) though (f) above, provided that the principal amount thereof is not increased; and (h) Indebtedness consisting of intercompany journal entries made in connection with cost sharing or transfer pricing transactions, provided that all such transactions are cashless.</w:t>
      </w:r>
    </w:p>
    <w:p>
      <w:pPr>
        <w:spacing w:after="0" w:line="175" w:lineRule="exact"/>
        <w:rPr>
          <w:sz w:val="20"/>
          <w:szCs w:val="20"/>
          <w:color w:val="auto"/>
        </w:rPr>
      </w:pPr>
    </w:p>
    <w:p>
      <w:pPr>
        <w:ind w:left="10" w:right="100"/>
        <w:spacing w:after="0" w:line="289" w:lineRule="auto"/>
        <w:rPr>
          <w:sz w:val="20"/>
          <w:szCs w:val="20"/>
          <w:color w:val="auto"/>
        </w:rPr>
      </w:pPr>
      <w:r>
        <w:rPr>
          <w:rFonts w:ascii="Arial" w:cs="Arial" w:eastAsia="Arial" w:hAnsi="Arial"/>
          <w:sz w:val="16"/>
          <w:szCs w:val="16"/>
          <w:b w:val="1"/>
          <w:bCs w:val="1"/>
          <w:color w:val="auto"/>
        </w:rPr>
        <w:t xml:space="preserve">“Permitted Investment” </w:t>
      </w:r>
      <w:r>
        <w:rPr>
          <w:rFonts w:ascii="Arial" w:cs="Arial" w:eastAsia="Arial" w:hAnsi="Arial"/>
          <w:sz w:val="16"/>
          <w:szCs w:val="16"/>
          <w:color w:val="auto"/>
        </w:rPr>
        <w:t>means (a) Investments that are in existence on the Closing Date and are approved in writing by Us; (b) Investments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 (c) Investments in marketable obligations of the United States of America and in open market commercial paper given the highest credit rating by a national credit agency and maturing not more than one year from the creation thereof; (d) so long as no Event of Default has occurred and is continuing, temporary advances to employees to cover incidental expenses to be incurred in the ordinary course of business, in an aggregate outstanding amount not to exceed $50,000 at any time; (e) Investments (including debt obligations) received in connection with the bankruptcy or reorganization of customers or suppliers and in settlement of delinquent obligations of, and other disputes with, customers or suppliers arising in the ordinary course of business; (f) indebtedness consisting of intercompany loans and advances</w:t>
      </w:r>
    </w:p>
    <w:p>
      <w:pPr>
        <w:spacing w:after="0" w:line="10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90"/>
          </w:cols>
          <w:pgMar w:left="450" w:top="271" w:right="459" w:bottom="1440" w:gutter="0" w:footer="0" w:header="0"/>
        </w:sectPr>
      </w:pPr>
    </w:p>
    <w:bookmarkStart w:id="648" w:name="page649"/>
    <w:bookmarkEnd w:id="648"/>
    <w:p>
      <w:pPr>
        <w:ind w:left="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made by any of You to any Subsidiary (1) described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(2) made after the Closing Date in an aggregate amount pursuant to this clause (ii), for all Subsidiaries not to exceed $100,000 during any fiscal year; provided, that: (A) such Subsidiary shall have executed and delivered to You, prior to any such indebtedness being incurred, a demand note (each, an “</w:t>
      </w:r>
      <w:r>
        <w:rPr>
          <w:rFonts w:ascii="Arial" w:cs="Arial" w:eastAsia="Arial" w:hAnsi="Arial"/>
          <w:sz w:val="17"/>
          <w:szCs w:val="17"/>
          <w:b w:val="1"/>
          <w:bCs w:val="1"/>
          <w:color w:val="auto"/>
        </w:rPr>
        <w:t>Intercompany Note</w:t>
      </w:r>
      <w:r>
        <w:rPr>
          <w:rFonts w:ascii="Arial" w:cs="Arial" w:eastAsia="Arial" w:hAnsi="Arial"/>
          <w:sz w:val="17"/>
          <w:szCs w:val="17"/>
          <w:color w:val="auto"/>
        </w:rPr>
        <w:t>”) to evidence any such intercompany indebtedness owing at any time by such Subsidiary to You, which Intercompany Note shall be in form and substance reasonably satisfactory to Us and shall be pledged and delivered to Us as additional Collateral for the Secured Obligations; (B) each of You and such Subsidiary shall record all intercompany transactions on its books and records in a manner reasonably satisfactory to Us; (C) at the time any such intercompany loan or advance is made by You to such Subsidiary and after giving effect thereto, each of You and such Subsidiary shall be Solvent; and (D) no Default or Event of Default would occur and be continuing after giving effect to any such proposed intercompany loan, and (g) Investments consisting of intercompany receivables, corresponding to amounts in item (h) of the definition of Permitted Indebtedness, consisting of intercompany journal entries made in connection with cost sharing or transfer pricing transactions, provided that all such transactions are cashless.</w:t>
      </w:r>
    </w:p>
    <w:p>
      <w:pPr>
        <w:spacing w:after="0" w:line="179" w:lineRule="exact"/>
        <w:rPr>
          <w:sz w:val="20"/>
          <w:szCs w:val="20"/>
          <w:color w:val="auto"/>
        </w:rPr>
      </w:pPr>
    </w:p>
    <w:p>
      <w:pPr>
        <w:ind w:left="10" w:right="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xml:space="preserve">” means any and all of the following: (i) Liens in Our favor; (ii) Liens for taxes, fees, assessments or other governmental charges or levies, either not delinquent or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have priority over any of Our Liens and You maintain adequate reserves in accordance with GAAP; (iii) Liens securing claims or demands of materialmen, artisans, mechanics, carriers, warehousemen, landlords and other like Persons arising in the ordinary course of Your business and imposed without action of such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thereof is not yet required and that such Liens do not have priority over any of Our Liens; (iv) Liens arising from judgments, decrees or attachments in circumstances which do not constitute an Event of Default hereunder; (v) the following deposits, to the extent made in the ordinary course of Your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(vi) Liens on insurance proceeds in favor of insurance companies granted solely as security for financed premiums; (vii) purchase money Liens (including capital leases) securing Indebtedness not to exceed Nine Million Dollars ($9,000,000) (A) on Equipment acquired or held by any of You, incurred for financing the acquisition of that Equipment, or (B) existing on Equipment when acquired by You, so long as, in each case, the Lien is confined to the specific Equipment and the proceeds of the Equipment; (viii) Liens in favor of the Working Capital Lender arising under the Working Capital Loan Facility;</w:t>
      </w:r>
    </w:p>
    <w:p>
      <w:pPr>
        <w:spacing w:after="0" w:line="3" w:lineRule="exact"/>
        <w:rPr>
          <w:sz w:val="20"/>
          <w:szCs w:val="20"/>
          <w:color w:val="auto"/>
        </w:rPr>
      </w:pPr>
    </w:p>
    <w:p>
      <w:pPr>
        <w:ind w:left="10" w:right="40" w:hanging="10"/>
        <w:spacing w:after="0" w:line="269" w:lineRule="auto"/>
        <w:tabs>
          <w:tab w:leader="none" w:pos="314" w:val="left"/>
        </w:tabs>
        <w:numPr>
          <w:ilvl w:val="0"/>
          <w:numId w:val="671"/>
        </w:numPr>
        <w:rPr>
          <w:rFonts w:ascii="Arial" w:cs="Arial" w:eastAsia="Arial" w:hAnsi="Arial"/>
          <w:sz w:val="17"/>
          <w:szCs w:val="17"/>
          <w:color w:val="auto"/>
        </w:rPr>
      </w:pPr>
      <w:r>
        <w:rPr>
          <w:rFonts w:ascii="Arial" w:cs="Arial" w:eastAsia="Arial" w:hAnsi="Arial"/>
          <w:sz w:val="17"/>
          <w:szCs w:val="17"/>
          <w:color w:val="auto"/>
        </w:rPr>
        <w:t xml:space="preserve">Liens in favor of customs and revenue authorities arising as a matter of law to secure payments of custom duties in connection with the importation of goods; (x) Liens in favor of financial institutions arising in connection with deposit or securities accounts held at such financial institutions, provided that such Liens only secure fees and service charges and customary chargebacks or reversals of credits associated with such accounts; (xi) Liens existing on the Closing Date and disclosed on </w:t>
      </w:r>
      <w:r>
        <w:rPr>
          <w:rFonts w:ascii="Arial" w:cs="Arial" w:eastAsia="Arial" w:hAnsi="Arial"/>
          <w:sz w:val="17"/>
          <w:szCs w:val="17"/>
          <w:u w:val="single" w:color="auto"/>
          <w:color w:val="auto"/>
        </w:rPr>
        <w:t>Schedule 1</w:t>
      </w:r>
      <w:r>
        <w:rPr>
          <w:rFonts w:ascii="Arial" w:cs="Arial" w:eastAsia="Arial" w:hAnsi="Arial"/>
          <w:sz w:val="17"/>
          <w:szCs w:val="17"/>
          <w:color w:val="auto"/>
        </w:rPr>
        <w:t>; and (xi) Liens incurred in connection with the extension, renewal or refinancing of the Indebtedness secured by Liens of the type described in clauses (i), (vi), (vii) and (viii)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75" w:lineRule="exact"/>
        <w:rPr>
          <w:sz w:val="20"/>
          <w:szCs w:val="20"/>
          <w:color w:val="auto"/>
        </w:rPr>
      </w:pPr>
    </w:p>
    <w:p>
      <w:pPr>
        <w:ind w:left="10" w:right="320"/>
        <w:spacing w:after="0" w:line="266"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sole proprietorship, partnership, joint venture, trust, unincorporated organization, association, corporation,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institution, public benefit corporation, other entity or government (whether federal, state, county, city, municipal, local, foreign, or otherwise, including any instrumentality, division, agency, body or department thereof).</w:t>
      </w:r>
    </w:p>
    <w:p>
      <w:pPr>
        <w:spacing w:after="0" w:line="175" w:lineRule="exact"/>
        <w:rPr>
          <w:sz w:val="20"/>
          <w:szCs w:val="20"/>
          <w:color w:val="auto"/>
        </w:rPr>
      </w:pPr>
    </w:p>
    <w:p>
      <w:pPr>
        <w:ind w:left="10" w:right="80"/>
        <w:spacing w:after="0" w:line="289" w:lineRule="auto"/>
        <w:rPr>
          <w:sz w:val="20"/>
          <w:szCs w:val="20"/>
          <w:color w:val="auto"/>
        </w:rPr>
      </w:pPr>
      <w:r>
        <w:rPr>
          <w:rFonts w:ascii="Arial" w:cs="Arial" w:eastAsia="Arial" w:hAnsi="Arial"/>
          <w:sz w:val="16"/>
          <w:szCs w:val="16"/>
          <w:b w:val="1"/>
          <w:bCs w:val="1"/>
          <w:color w:val="auto"/>
        </w:rPr>
        <w:t xml:space="preserve">“Proceeds” </w:t>
      </w:r>
      <w:r>
        <w:rPr>
          <w:rFonts w:ascii="Arial" w:cs="Arial" w:eastAsia="Arial" w:hAnsi="Arial"/>
          <w:sz w:val="16"/>
          <w:szCs w:val="16"/>
          <w:color w:val="auto"/>
        </w:rPr>
        <w:t>means “proceeds,” as such term is defined in the UCC and, in any event, shall include, without limitation, (a) any and all Accounts, Chattel</w:t>
      </w:r>
      <w:r>
        <w:rPr>
          <w:rFonts w:ascii="Arial" w:cs="Arial" w:eastAsia="Arial" w:hAnsi="Arial"/>
          <w:sz w:val="16"/>
          <w:szCs w:val="16"/>
          <w:b w:val="1"/>
          <w:bCs w:val="1"/>
          <w:color w:val="auto"/>
        </w:rPr>
        <w:t xml:space="preserve"> </w:t>
      </w:r>
      <w:r>
        <w:rPr>
          <w:rFonts w:ascii="Arial" w:cs="Arial" w:eastAsia="Arial" w:hAnsi="Arial"/>
          <w:sz w:val="16"/>
          <w:szCs w:val="16"/>
          <w:color w:val="auto"/>
        </w:rPr>
        <w:t>Paper, Instruments, Cash or other proceeds payable to any of You from time to time in respect of the Collateral, (b) any and all proceeds of any insurance, indemnity, warranty or guaranty payable to any of You from time to time with respect to any of the Collateral, (c) any and all payments (in any form whatsoever) made or due and payable to any of You from time to time in connection with any requisition, confiscation, condemnation, seizure or forfeiture of all or any part of the Collateral by any governmental authority (or any Person acting under color of governmental authority), (d) the proceeds, damages, or recovery based on any claim of any of You against third parties (i) for past, present or future infringement of any Copyright, Copyright License,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10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10"/>
          </w:cols>
          <w:pgMar w:left="450" w:top="274" w:right="439" w:bottom="1440" w:gutter="0" w:footer="0" w:header="0"/>
        </w:sectPr>
      </w:pPr>
    </w:p>
    <w:bookmarkStart w:id="649" w:name="page650"/>
    <w:bookmarkEnd w:id="649"/>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“Promissory Note” </w:t>
      </w:r>
      <w:r>
        <w:rPr>
          <w:rFonts w:ascii="Arial" w:cs="Arial" w:eastAsia="Arial" w:hAnsi="Arial"/>
          <w:sz w:val="18"/>
          <w:szCs w:val="18"/>
          <w:color w:val="auto"/>
        </w:rPr>
        <w:t>has the meaning given to it in Section 2.</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“PT” </w:t>
      </w:r>
      <w:r>
        <w:rPr>
          <w:rFonts w:ascii="Arial" w:cs="Arial" w:eastAsia="Arial" w:hAnsi="Arial"/>
          <w:sz w:val="18"/>
          <w:szCs w:val="18"/>
          <w:color w:val="auto"/>
        </w:rPr>
        <w:t>means Pacific Time.</w:t>
      </w:r>
    </w:p>
    <w:p>
      <w:pPr>
        <w:spacing w:after="0" w:line="225" w:lineRule="exact"/>
        <w:rPr>
          <w:sz w:val="20"/>
          <w:szCs w:val="20"/>
          <w:color w:val="auto"/>
        </w:rPr>
      </w:pPr>
    </w:p>
    <w:p>
      <w:pPr>
        <w:ind w:left="10" w:right="80"/>
        <w:spacing w:after="0" w:line="312" w:lineRule="auto"/>
        <w:rPr>
          <w:sz w:val="20"/>
          <w:szCs w:val="20"/>
          <w:color w:val="auto"/>
        </w:rPr>
      </w:pPr>
      <w:r>
        <w:rPr>
          <w:rFonts w:ascii="Arial" w:cs="Arial" w:eastAsia="Arial" w:hAnsi="Arial"/>
          <w:sz w:val="17"/>
          <w:szCs w:val="17"/>
          <w:b w:val="1"/>
          <w:bCs w:val="1"/>
          <w:color w:val="auto"/>
        </w:rPr>
        <w:t xml:space="preserve">“Receivables” </w:t>
      </w:r>
      <w:r>
        <w:rPr>
          <w:rFonts w:ascii="Arial" w:cs="Arial" w:eastAsia="Arial" w:hAnsi="Arial"/>
          <w:sz w:val="17"/>
          <w:szCs w:val="17"/>
          <w:color w:val="auto"/>
        </w:rPr>
        <w:t>means (i) all of any of the Accounts, Instruments, Documents, Cash, Chattel Paper, Supporting Obligations, letters of credit, proceeds of</w:t>
      </w:r>
      <w:r>
        <w:rPr>
          <w:rFonts w:ascii="Arial" w:cs="Arial" w:eastAsia="Arial" w:hAnsi="Arial"/>
          <w:sz w:val="17"/>
          <w:szCs w:val="17"/>
          <w:b w:val="1"/>
          <w:bCs w:val="1"/>
          <w:color w:val="auto"/>
        </w:rPr>
        <w:t xml:space="preserve"> </w:t>
      </w:r>
      <w:r>
        <w:rPr>
          <w:rFonts w:ascii="Arial" w:cs="Arial" w:eastAsia="Arial" w:hAnsi="Arial"/>
          <w:sz w:val="17"/>
          <w:szCs w:val="17"/>
          <w:color w:val="auto"/>
        </w:rPr>
        <w:t>a letter of credit, and Letter of Credit Rights of any of You, and (ii) all customer lists, software, and related business records.</w:t>
      </w:r>
    </w:p>
    <w:p>
      <w:pPr>
        <w:spacing w:after="0" w:line="139"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“Revolving Loan” </w:t>
      </w:r>
      <w:r>
        <w:rPr>
          <w:rFonts w:ascii="Arial" w:cs="Arial" w:eastAsia="Arial" w:hAnsi="Arial"/>
          <w:sz w:val="18"/>
          <w:szCs w:val="18"/>
          <w:color w:val="auto"/>
        </w:rPr>
        <w:t>means the loans in the maximum principal amount as stated in the Table of Terms under the caption “Commitment Amount”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You by Us pursuant to the terms of this Agreement.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 xml:space="preserve">“Revolving Loan Maturity Date” </w:t>
      </w:r>
      <w:r>
        <w:rPr>
          <w:rFonts w:ascii="Arial" w:cs="Arial" w:eastAsia="Arial" w:hAnsi="Arial"/>
          <w:sz w:val="16"/>
          <w:szCs w:val="16"/>
          <w:color w:val="auto"/>
        </w:rPr>
        <w:t>means the earlier of (a) the date set forth on the Table of Terms under the caption “Revolving Loan Maturity Date”,</w:t>
      </w:r>
    </w:p>
    <w:p>
      <w:pPr>
        <w:spacing w:after="0" w:line="50" w:lineRule="exact"/>
        <w:rPr>
          <w:sz w:val="20"/>
          <w:szCs w:val="20"/>
          <w:color w:val="auto"/>
        </w:rPr>
      </w:pPr>
    </w:p>
    <w:p>
      <w:pPr>
        <w:ind w:left="10" w:right="20" w:hanging="10"/>
        <w:spacing w:after="0" w:line="260" w:lineRule="auto"/>
        <w:tabs>
          <w:tab w:leader="none" w:pos="264"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date of termination of Our obligation to permit the Revolving Loan to remain outstanding, and (c) the date of indefeasible payment in full by You of the Revolving Loan.</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“Right To Invest” </w:t>
      </w:r>
      <w:r>
        <w:rPr>
          <w:rFonts w:ascii="Arial" w:cs="Arial" w:eastAsia="Arial" w:hAnsi="Arial"/>
          <w:sz w:val="18"/>
          <w:szCs w:val="18"/>
          <w:color w:val="auto"/>
        </w:rPr>
        <w:t>has the meaning set forth in the Table of Terms.</w:t>
      </w:r>
    </w:p>
    <w:p>
      <w:pPr>
        <w:spacing w:after="0" w:line="225" w:lineRule="exact"/>
        <w:rPr>
          <w:sz w:val="20"/>
          <w:szCs w:val="20"/>
          <w:color w:val="auto"/>
        </w:rPr>
      </w:pPr>
    </w:p>
    <w:p>
      <w:pPr>
        <w:ind w:left="1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Obligations</w:t>
      </w:r>
      <w:r>
        <w:rPr>
          <w:rFonts w:ascii="Arial" w:cs="Arial" w:eastAsia="Arial" w:hAnsi="Arial"/>
          <w:sz w:val="17"/>
          <w:szCs w:val="17"/>
          <w:color w:val="auto"/>
        </w:rPr>
        <w:t xml:space="preserve">” means Your joint and several obligations to repay to Us all Advances (whether or not evidenced by any Promissory Note), together with all principal, interest, fees, costs, professional fees and expenses, and other liabilities or obligations for monetary amounts owed by any of You to Us, including the indemnity and insurance obligations in Sections 10, 13 and 20 hereof and including such amounts as may accrue or be incurred before or after default or workout or the commencement of any liquidation, dissolution, bankruptcy, receivership or reorganization by or against any of You, whether due or to become due, matured or unmatured, liquidated or unliquidated, contingent or non-contingent, and all covenants and duties of any kind or nature, present or future, arising under this Agreement, the Promissory Notes, or any of the other Loan Documents, as the same may from time to time be amended, modified, supplemented or restated, whether or not such obligations are partially or fully secured by the value of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Secured Obligations shall not include any of the Indebtedness or obligations of any of You arising under or in connection with the Excluded Agreements.</w:t>
      </w:r>
    </w:p>
    <w:p>
      <w:pPr>
        <w:spacing w:after="0" w:line="179" w:lineRule="exact"/>
        <w:rPr>
          <w:sz w:val="20"/>
          <w:szCs w:val="20"/>
          <w:color w:val="auto"/>
        </w:rPr>
      </w:pPr>
    </w:p>
    <w:p>
      <w:pPr>
        <w:ind w:left="10" w:right="60"/>
        <w:spacing w:after="0" w:line="271" w:lineRule="auto"/>
        <w:rPr>
          <w:sz w:val="20"/>
          <w:szCs w:val="20"/>
          <w:color w:val="auto"/>
        </w:rPr>
      </w:pPr>
      <w:r>
        <w:rPr>
          <w:rFonts w:ascii="Arial" w:cs="Arial" w:eastAsia="Arial" w:hAnsi="Arial"/>
          <w:sz w:val="17"/>
          <w:szCs w:val="17"/>
          <w:b w:val="1"/>
          <w:bCs w:val="1"/>
          <w:color w:val="auto"/>
        </w:rPr>
        <w:t xml:space="preserve">“Solvent” </w:t>
      </w:r>
      <w:r>
        <w:rPr>
          <w:rFonts w:ascii="Arial" w:cs="Arial" w:eastAsia="Arial" w:hAnsi="Arial"/>
          <w:sz w:val="17"/>
          <w:szCs w:val="17"/>
          <w:color w:val="auto"/>
        </w:rPr>
        <w:t>means, with respect to any Person on a particular date, that on such date (a) the fair value of the property of such Person is greater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spacing w:after="0" w:line="177" w:lineRule="exact"/>
        <w:rPr>
          <w:sz w:val="20"/>
          <w:szCs w:val="20"/>
          <w:color w:val="auto"/>
        </w:rPr>
      </w:pPr>
    </w:p>
    <w:p>
      <w:pPr>
        <w:ind w:left="10" w:right="40"/>
        <w:spacing w:after="0" w:line="258" w:lineRule="auto"/>
        <w:rPr>
          <w:sz w:val="20"/>
          <w:szCs w:val="20"/>
          <w:color w:val="auto"/>
        </w:rPr>
      </w:pPr>
      <w:r>
        <w:rPr>
          <w:rFonts w:ascii="Arial" w:cs="Arial" w:eastAsia="Arial" w:hAnsi="Arial"/>
          <w:sz w:val="18"/>
          <w:szCs w:val="18"/>
          <w:b w:val="1"/>
          <w:bCs w:val="1"/>
          <w:color w:val="auto"/>
        </w:rPr>
        <w:t xml:space="preserve">“Subordinated Indebtedness” </w:t>
      </w:r>
      <w:r>
        <w:rPr>
          <w:rFonts w:ascii="Arial" w:cs="Arial" w:eastAsia="Arial" w:hAnsi="Arial"/>
          <w:sz w:val="18"/>
          <w:szCs w:val="18"/>
          <w:color w:val="auto"/>
        </w:rPr>
        <w:t>means Indebtedness (i) approved by Us and (ii) subordinated to the Secured Obligations on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to Us, including without limiting the generality of the foregoing, subordination of such Indebtedness in right of payment to the prior payment in full of the Secured Obligations, the subordination of the priority of any Lien at any time securing such Indebtedness to Our Liens in Your assets and properties, and the subordination of the rights of the holder of such Indebtedness to enforce its junior Lien following an Event of Default hereunder pursuant to a written subordination agreement approved by Us.</w:t>
      </w:r>
    </w:p>
    <w:p>
      <w:pPr>
        <w:spacing w:after="0" w:line="182" w:lineRule="exact"/>
        <w:rPr>
          <w:sz w:val="20"/>
          <w:szCs w:val="20"/>
          <w:color w:val="auto"/>
        </w:rPr>
      </w:pPr>
    </w:p>
    <w:p>
      <w:pPr>
        <w:ind w:left="10" w:right="8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Person of which more than 50% of the voting stock or other equity interests is owned or controlled, directly or indirectly, by such Person or one or more Affiliates of such Person.</w:t>
      </w:r>
    </w:p>
    <w:p>
      <w:pPr>
        <w:spacing w:after="0" w:line="163"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 xml:space="preserve">“Supporting Obligations” </w:t>
      </w:r>
      <w:r>
        <w:rPr>
          <w:rFonts w:ascii="Arial" w:cs="Arial" w:eastAsia="Arial" w:hAnsi="Arial"/>
          <w:sz w:val="18"/>
          <w:szCs w:val="18"/>
          <w:color w:val="auto"/>
        </w:rPr>
        <w:t>means any “supporting obligations,” as such term is defined in the UCC, now owned or acquired by any of You or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any of You now hold or hereafter acquire any interest.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“Table of Terms” </w:t>
      </w:r>
      <w:r>
        <w:rPr>
          <w:rFonts w:ascii="Arial" w:cs="Arial" w:eastAsia="Arial" w:hAnsi="Arial"/>
          <w:sz w:val="18"/>
          <w:szCs w:val="18"/>
          <w:color w:val="auto"/>
        </w:rPr>
        <w:t>means the table of terms on Pages 1 and 2 of this Agreement.</w:t>
      </w:r>
    </w:p>
    <w:p>
      <w:pPr>
        <w:spacing w:after="0" w:line="225" w:lineRule="exact"/>
        <w:rPr>
          <w:sz w:val="20"/>
          <w:szCs w:val="20"/>
          <w:color w:val="auto"/>
        </w:rPr>
      </w:pPr>
    </w:p>
    <w:p>
      <w:pPr>
        <w:ind w:left="10" w:right="80"/>
        <w:spacing w:after="0" w:line="281" w:lineRule="auto"/>
        <w:rPr>
          <w:sz w:val="20"/>
          <w:szCs w:val="20"/>
          <w:color w:val="auto"/>
        </w:rPr>
      </w:pPr>
      <w:r>
        <w:rPr>
          <w:rFonts w:ascii="Arial" w:cs="Arial" w:eastAsia="Arial" w:hAnsi="Arial"/>
          <w:sz w:val="18"/>
          <w:szCs w:val="18"/>
          <w:b w:val="1"/>
          <w:bCs w:val="1"/>
          <w:color w:val="auto"/>
        </w:rPr>
        <w:t xml:space="preserve">“Trademark License” </w:t>
      </w:r>
      <w:r>
        <w:rPr>
          <w:rFonts w:ascii="Arial" w:cs="Arial" w:eastAsia="Arial" w:hAnsi="Arial"/>
          <w:sz w:val="18"/>
          <w:szCs w:val="18"/>
          <w:color w:val="auto"/>
        </w:rPr>
        <w:t>means any written agreement granting to You any right to use any Trademark or Trademark registration now owned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any of You or in which any of You now hold or hereafter acquire any interest.</w:t>
      </w:r>
    </w:p>
    <w:p>
      <w:pPr>
        <w:spacing w:after="0" w:line="163" w:lineRule="exact"/>
        <w:rPr>
          <w:sz w:val="20"/>
          <w:szCs w:val="20"/>
          <w:color w:val="auto"/>
        </w:rPr>
      </w:pPr>
    </w:p>
    <w:p>
      <w:pPr>
        <w:jc w:val="both"/>
        <w:ind w:left="10" w:right="460"/>
        <w:spacing w:after="0" w:line="260" w:lineRule="auto"/>
        <w:rPr>
          <w:sz w:val="20"/>
          <w:szCs w:val="20"/>
          <w:color w:val="auto"/>
        </w:rPr>
      </w:pPr>
      <w:r>
        <w:rPr>
          <w:rFonts w:ascii="Arial" w:cs="Arial" w:eastAsia="Arial" w:hAnsi="Arial"/>
          <w:sz w:val="18"/>
          <w:szCs w:val="18"/>
          <w:b w:val="1"/>
          <w:bCs w:val="1"/>
          <w:color w:val="auto"/>
        </w:rPr>
        <w:t xml:space="preserve">“Trademarks” </w:t>
      </w:r>
      <w:r>
        <w:rPr>
          <w:rFonts w:ascii="Arial" w:cs="Arial" w:eastAsia="Arial" w:hAnsi="Arial"/>
          <w:sz w:val="18"/>
          <w:szCs w:val="18"/>
          <w:color w:val="auto"/>
        </w:rPr>
        <w:t>means all of the following property now owned or hereafter acquired by any of You or in which any of You now hold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any interest: (a) all trademarks, trade names, corporate names, business names, trade styles, service marks, logos, other source or business identifiers, prints and labels on which any of the foregoing have appeared or appear, designs and general intangibles of like nature, now existing or hereafter adopted or acquired,</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10"/>
          </w:cols>
          <w:pgMar w:left="450" w:top="270" w:right="439" w:bottom="1440" w:gutter="0" w:footer="0" w:header="0"/>
        </w:sectPr>
      </w:pPr>
    </w:p>
    <w:bookmarkStart w:id="650" w:name="page651"/>
    <w:bookmarkEnd w:id="650"/>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“Trading with the Enemy Act” </w:t>
      </w:r>
      <w:r>
        <w:rPr>
          <w:rFonts w:ascii="Arial" w:cs="Arial" w:eastAsia="Arial" w:hAnsi="Arial"/>
          <w:sz w:val="18"/>
          <w:szCs w:val="18"/>
          <w:color w:val="auto"/>
        </w:rPr>
        <w:t>means the Trading with the Enemy Act of the United States of America (50 U.S.C. App. §§ 1 et seq.).</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“UCC” </w:t>
      </w:r>
      <w:r>
        <w:rPr>
          <w:rFonts w:ascii="Arial" w:cs="Arial" w:eastAsia="Arial" w:hAnsi="Arial"/>
          <w:sz w:val="18"/>
          <w:szCs w:val="18"/>
          <w:color w:val="auto"/>
        </w:rPr>
        <w:t>means the Uniform Commercial Code as the same is, from time to time, in effect in the State of California; provided, that in the event that,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mandatory provisions of law, any or all of the attachment, perfection or priority of, or remedies with respect to, Secured Party’s Lien on any Collateral is governed by the Uniform Commercial Code as the same is, from time to time, in effect in a jurisdiction other than the State of California, the term “UCC” shall mean the Uniform Commercial Code as in effect, from time to time, in such other jurisdiction solely for purposes of the provisions thereof relating to such attachment, perfection, priority or remedies and for purposes of definitions related to such provisions. Unless otherwise defined herein or in the other Loan Documents terms that are defined in the UCC and used herein or in the other Loan Documents shall have the meanings given to them in the UCC.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“Upon Request and Additional Approval” </w:t>
      </w:r>
      <w:r>
        <w:rPr>
          <w:rFonts w:ascii="Arial" w:cs="Arial" w:eastAsia="Arial" w:hAnsi="Arial"/>
          <w:sz w:val="18"/>
          <w:szCs w:val="18"/>
          <w:color w:val="auto"/>
        </w:rPr>
        <w:t>has the meaning given to it in Section 3.</w:t>
      </w:r>
    </w:p>
    <w:p>
      <w:pPr>
        <w:spacing w:after="0" w:line="225"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b w:val="1"/>
          <w:bCs w:val="1"/>
          <w:color w:val="auto"/>
        </w:rPr>
        <w:t xml:space="preserve">“Warrant Agreement” </w:t>
      </w:r>
      <w:r>
        <w:rPr>
          <w:rFonts w:ascii="Arial" w:cs="Arial" w:eastAsia="Arial" w:hAnsi="Arial"/>
          <w:sz w:val="18"/>
          <w:szCs w:val="18"/>
          <w:color w:val="auto"/>
        </w:rPr>
        <w:t>means the Warrant Agreement dated the date hereof between the Parties issued in connection with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warrant agreement between the Parties issued in connection with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“Working Capital Lender” </w:t>
      </w:r>
      <w:r>
        <w:rPr>
          <w:rFonts w:ascii="Arial" w:cs="Arial" w:eastAsia="Arial" w:hAnsi="Arial"/>
          <w:sz w:val="18"/>
          <w:szCs w:val="18"/>
          <w:color w:val="auto"/>
        </w:rPr>
        <w:t>has the meaning given to it in Section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“Working Capital Loan Facility” </w:t>
      </w:r>
      <w:r>
        <w:rPr>
          <w:rFonts w:ascii="Arial" w:cs="Arial" w:eastAsia="Arial" w:hAnsi="Arial"/>
          <w:sz w:val="18"/>
          <w:szCs w:val="18"/>
          <w:color w:val="auto"/>
        </w:rPr>
        <w:t>has the meaning given to it in Section 8.</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Unless otherwise specified, all references in this Agreement or any Annex or Schedule hereto to a “Section,” “subsection,” “Exhibit,” “Annex,” or “Schedule” shall refer to the corresponding Section, subsection, Exhibit, Annex, or Schedule in or to this Agreement. The terms “herein,” “hereof” and “hereunder” and other words of similar import refer to this Agreement as a whole, including all Exhibits, Annexes and Schedules, and not to any particular Section, subsection or other subdivision.</w:t>
      </w:r>
    </w:p>
    <w:p>
      <w:pPr>
        <w:spacing w:after="0" w:line="18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this Agreement and the Loan Documents) or, in the case of governmental Persons, Persons succeeding to the relevant functions of such Persons; and all references to statutes and related regulations shall include any amendments of the same and any successor statutes and regulations.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Signatures to Follow</w:t>
      </w:r>
      <w:r>
        <w:rPr>
          <w:rFonts w:ascii="Arial" w:cs="Arial" w:eastAsia="Arial" w:hAnsi="Arial"/>
          <w:sz w:val="18"/>
          <w:szCs w:val="18"/>
          <w:b w:val="1"/>
          <w:b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60" w:top="275" w:right="439" w:bottom="1440" w:gutter="0" w:footer="0" w:header="0"/>
        </w:sectPr>
      </w:pPr>
    </w:p>
    <w:bookmarkStart w:id="651" w:name="page652"/>
    <w:bookmarkEnd w:id="6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Agreement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BORROWER:</w:t>
            </w:r>
          </w:p>
        </w:tc>
        <w:tc>
          <w:tcPr>
            <w:tcW w:w="2340" w:type="dxa"/>
            <w:vAlign w:val="bottom"/>
          </w:tcPr>
          <w:p>
            <w:pPr>
              <w:ind w:left="1260"/>
              <w:spacing w:after="0"/>
              <w:rPr>
                <w:sz w:val="20"/>
                <w:szCs w:val="20"/>
                <w:color w:val="auto"/>
              </w:rPr>
            </w:pPr>
            <w:r>
              <w:rPr>
                <w:rFonts w:ascii="Arial" w:cs="Arial" w:eastAsia="Arial" w:hAnsi="Arial"/>
                <w:sz w:val="18"/>
                <w:szCs w:val="18"/>
                <w:b w:val="1"/>
                <w:bCs w:val="1"/>
                <w:color w:val="auto"/>
              </w:rPr>
              <w:t>You:</w:t>
            </w:r>
          </w:p>
        </w:tc>
        <w:tc>
          <w:tcPr>
            <w:tcW w:w="4620" w:type="dxa"/>
            <w:vAlign w:val="bottom"/>
          </w:tcPr>
          <w:p>
            <w:pPr>
              <w:spacing w:after="0"/>
              <w:rPr>
                <w:sz w:val="20"/>
                <w:szCs w:val="20"/>
                <w:color w:val="auto"/>
              </w:rPr>
            </w:pPr>
            <w:r>
              <w:rPr>
                <w:rFonts w:ascii="Arial" w:cs="Arial" w:eastAsia="Arial" w:hAnsi="Arial"/>
                <w:sz w:val="18"/>
                <w:szCs w:val="18"/>
                <w:b w:val="1"/>
                <w:bCs w:val="1"/>
                <w:color w:val="auto"/>
              </w:rPr>
              <w:t>PERSONALIS, INC.</w:t>
            </w:r>
          </w:p>
        </w:tc>
      </w:tr>
      <w:tr>
        <w:trPr>
          <w:trHeight w:val="432"/>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West</w:t>
            </w:r>
          </w:p>
        </w:tc>
      </w:tr>
      <w:tr>
        <w:trPr>
          <w:trHeight w:val="439"/>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Print 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West</w:t>
            </w:r>
          </w:p>
        </w:tc>
      </w:tr>
      <w:tr>
        <w:trPr>
          <w:trHeight w:val="439"/>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50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Accepted in Menlo Park, California:</w:t>
            </w:r>
          </w:p>
        </w:tc>
        <w:tc>
          <w:tcPr>
            <w:tcW w:w="23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79"/>
        </w:trPr>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LENDER:</w:t>
            </w: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b w:val="1"/>
                <w:bCs w:val="1"/>
                <w:color w:val="auto"/>
              </w:rPr>
              <w:t>Us:</w:t>
            </w:r>
          </w:p>
        </w:tc>
        <w:tc>
          <w:tcPr>
            <w:tcW w:w="4620" w:type="dxa"/>
            <w:vAlign w:val="bottom"/>
          </w:tcPr>
          <w:p>
            <w:pPr>
              <w:spacing w:after="0"/>
              <w:rPr>
                <w:sz w:val="20"/>
                <w:szCs w:val="20"/>
                <w:color w:val="auto"/>
              </w:rPr>
            </w:pPr>
            <w:r>
              <w:rPr>
                <w:rFonts w:ascii="Arial" w:cs="Arial" w:eastAsia="Arial" w:hAnsi="Arial"/>
                <w:sz w:val="18"/>
                <w:szCs w:val="18"/>
                <w:b w:val="1"/>
                <w:bCs w:val="1"/>
                <w:color w:val="auto"/>
              </w:rPr>
              <w:t>TRIPLEPOINT CAPITAL LLC</w:t>
            </w:r>
          </w:p>
        </w:tc>
      </w:tr>
      <w:tr>
        <w:trPr>
          <w:trHeight w:val="432"/>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Sajal Srivastava</w:t>
            </w:r>
          </w:p>
        </w:tc>
      </w:tr>
      <w:tr>
        <w:trPr>
          <w:trHeight w:val="439"/>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Print 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Sajal Srivastava</w:t>
            </w:r>
          </w:p>
        </w:tc>
      </w:tr>
      <w:tr>
        <w:trPr>
          <w:trHeight w:val="439"/>
        </w:trPr>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ind w:left="126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PLAIN ENGLISH REVOLVING LOAN AND SECURITY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60" w:top="271" w:right="439" w:bottom="1440" w:gutter="0" w:footer="0" w:header="0"/>
        </w:sectPr>
      </w:pPr>
    </w:p>
    <w:bookmarkStart w:id="652" w:name="page653"/>
    <w:bookmarkEnd w:id="652"/>
    <w:p>
      <w:pPr>
        <w:jc w:val="right"/>
        <w:ind w:right="33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Exhibits and Schedules</w:t>
      </w:r>
    </w:p>
    <w:p>
      <w:pPr>
        <w:sectPr>
          <w:pgSz w:w="11900" w:h="16838" w:orient="portrait"/>
          <w:cols w:equalWidth="0" w:num="1">
            <w:col w:w="9999"/>
          </w:cols>
          <w:pgMar w:left="460" w:top="274" w:right="1440" w:bottom="1440" w:gutter="0" w:footer="0" w:header="0"/>
        </w:sectPr>
      </w:pPr>
    </w:p>
    <w:p>
      <w:pPr>
        <w:spacing w:after="0" w:line="275" w:lineRule="exact"/>
        <w:rPr>
          <w:sz w:val="20"/>
          <w:szCs w:val="20"/>
          <w:color w:val="auto"/>
        </w:rPr>
      </w:pPr>
    </w:p>
    <w:p>
      <w:pPr>
        <w:spacing w:after="0" w:line="458" w:lineRule="auto"/>
        <w:rPr>
          <w:sz w:val="20"/>
          <w:szCs w:val="20"/>
          <w:color w:val="auto"/>
        </w:rPr>
      </w:pPr>
      <w:r>
        <w:rPr>
          <w:rFonts w:ascii="Arial" w:cs="Arial" w:eastAsia="Arial" w:hAnsi="Arial"/>
          <w:sz w:val="15"/>
          <w:szCs w:val="15"/>
          <w:color w:val="auto"/>
        </w:rPr>
        <w:t>Exhibit A Exhibit B Exhibit C Exhibit D Exhibit E Schedule 1 Schedule 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Advance Request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Perfection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Compliance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Form of Joinder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Indebtedness and Liens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of Documents</w:t>
      </w:r>
    </w:p>
    <w:p>
      <w:pPr>
        <w:spacing w:after="0" w:line="157" w:lineRule="exact"/>
        <w:rPr>
          <w:sz w:val="20"/>
          <w:szCs w:val="20"/>
          <w:color w:val="auto"/>
        </w:rPr>
      </w:pPr>
    </w:p>
    <w:p>
      <w:pPr>
        <w:sectPr>
          <w:pgSz w:w="11900" w:h="16838" w:orient="portrait"/>
          <w:cols w:equalWidth="0" w:num="2">
            <w:col w:w="780" w:space="540"/>
            <w:col w:w="8679"/>
          </w:cols>
          <w:pgMar w:left="460" w:top="274" w:right="1440" w:bottom="1440" w:gutter="0" w:footer="0" w:header="0"/>
          <w:type w:val="continuous"/>
        </w:sectPr>
      </w:pPr>
    </w:p>
    <w:p>
      <w:pPr>
        <w:ind w:left="540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999"/>
          </w:cols>
          <w:pgMar w:left="460" w:top="274" w:right="1440" w:bottom="1440" w:gutter="0" w:footer="0" w:header="0"/>
          <w:type w:val="continuous"/>
        </w:sectPr>
      </w:pPr>
    </w:p>
    <w:bookmarkStart w:id="653" w:name="page654"/>
    <w:bookmarkEnd w:id="6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171450</wp:posOffset>
            </wp:positionV>
            <wp:extent cx="2047240" cy="5137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047240"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PLAIN ENGLISH REVOLING LOAN PROMISSORY NOTE</w:t>
      </w:r>
    </w:p>
    <w:p>
      <w:pPr>
        <w:spacing w:after="0" w:line="229" w:lineRule="exact"/>
        <w:rPr>
          <w:sz w:val="20"/>
          <w:szCs w:val="20"/>
          <w:color w:val="auto"/>
        </w:rPr>
      </w:pPr>
    </w:p>
    <w:p>
      <w:pPr>
        <w:spacing w:after="0"/>
        <w:tabs>
          <w:tab w:leader="none" w:pos="5440" w:val="left"/>
          <w:tab w:leader="none" w:pos="5980" w:val="left"/>
        </w:tabs>
        <w:rPr>
          <w:sz w:val="20"/>
          <w:szCs w:val="20"/>
          <w:color w:val="auto"/>
        </w:rPr>
      </w:pPr>
      <w:r>
        <w:rPr>
          <w:rFonts w:ascii="Arial" w:cs="Arial" w:eastAsia="Arial" w:hAnsi="Arial"/>
          <w:sz w:val="18"/>
          <w:szCs w:val="18"/>
          <w:color w:val="auto"/>
        </w:rPr>
        <w:t>This is a Plain English Revolving Loan Promissory Note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by and between TRIPLEPOINT CAPITAL LLC, as lender,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-10160</wp:posOffset>
            </wp:positionV>
            <wp:extent cx="8845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PERSONALIS, INC. and any other Person that executes a Joinder Agreement to become a borrower under the Loan Agreement, as borrowers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The words “We”, “Us”, and “Our”, refer to TRIPLEPOINT CAPITAL LLC. Unless otherwise specified, the words “You” and “Your” refer to PERSONALIS, INC. and any other Person that executes a Joinder Agreement to become a borrower under the Loan Agreement, and not any individual, and PERSONALIS, INC. and any other Person that executes a Joinder Agreement to become a borrower under the Loan Agreement, shall be jointly and severally liable for any and all of Your agreements and obligations under this Promissory Note. The words “Parties” refers to each of and all of TRIPLEPOINT CAPITAL LLC, PERSONALIS, INC. and any other Person that executes a Joinder Agreement to become a borrower under the Loan Agreement.</w:t>
      </w:r>
    </w:p>
    <w:p>
      <w:pPr>
        <w:spacing w:after="0" w:line="19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This Promissory Note is the Promissory Note referred to in, and is executed and delivered in connection with, the Plain English Revolving Loan and Security Agreement dated as of June 28, 2017 by and between the Parties, as the same may from time to time be amended, modified or supplemented in accordance with its terms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and is entitled to the benefit and security of that Loan Agreement and the other documents executed in connection with all principal, interest, fees or other liabilities owed by You under the Loan Agreement and other Loan Documents (as defined in the Loan Agreement). All terms defined in the Loan Agreement shall have the same definitions when used herein, unless otherwise defined herein.</w:t>
      </w:r>
    </w:p>
    <w:p>
      <w:pPr>
        <w:spacing w:after="0" w:line="17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13"/>
          </w:tcPr>
          <w:p>
            <w:pPr>
              <w:jc w:val="center"/>
              <w:ind w:right="660"/>
              <w:spacing w:after="0"/>
              <w:rPr>
                <w:sz w:val="20"/>
                <w:szCs w:val="20"/>
                <w:color w:val="auto"/>
              </w:rPr>
            </w:pPr>
            <w:r>
              <w:rPr>
                <w:rFonts w:ascii="Arial" w:cs="Arial" w:eastAsia="Arial" w:hAnsi="Arial"/>
                <w:sz w:val="14"/>
                <w:szCs w:val="14"/>
                <w:b w:val="1"/>
                <w:bCs w:val="1"/>
                <w:color w:val="auto"/>
              </w:rPr>
              <w:t>PROMISSORY NOTE INFORMATION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Facility Name</w:t>
            </w:r>
          </w:p>
        </w:tc>
        <w:tc>
          <w:tcPr>
            <w:tcW w:w="1820" w:type="dxa"/>
            <w:vAlign w:val="bottom"/>
            <w:gridSpan w:val="2"/>
          </w:tcPr>
          <w:p>
            <w:pPr>
              <w:spacing w:after="0"/>
              <w:rPr>
                <w:sz w:val="24"/>
                <w:szCs w:val="24"/>
                <w:color w:val="auto"/>
              </w:rPr>
            </w:pPr>
          </w:p>
        </w:tc>
        <w:tc>
          <w:tcPr>
            <w:tcW w:w="140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3"/>
              </w:rPr>
              <w:t>Facility Number</w:t>
            </w:r>
          </w:p>
        </w:tc>
        <w:tc>
          <w:tcPr>
            <w:tcW w:w="1020" w:type="dxa"/>
            <w:vAlign w:val="bottom"/>
          </w:tcPr>
          <w:p>
            <w:pPr>
              <w:spacing w:after="0"/>
              <w:rPr>
                <w:sz w:val="24"/>
                <w:szCs w:val="24"/>
                <w:color w:val="auto"/>
              </w:rPr>
            </w:pPr>
          </w:p>
        </w:tc>
        <w:tc>
          <w:tcPr>
            <w:tcW w:w="2220" w:type="dxa"/>
            <w:vAlign w:val="bottom"/>
            <w:gridSpan w:val="15"/>
          </w:tcPr>
          <w:p>
            <w:pPr>
              <w:jc w:val="center"/>
              <w:ind w:right="170"/>
              <w:spacing w:after="0"/>
              <w:rPr>
                <w:sz w:val="20"/>
                <w:szCs w:val="20"/>
                <w:color w:val="auto"/>
              </w:rPr>
            </w:pPr>
            <w:r>
              <w:rPr>
                <w:rFonts w:ascii="Arial" w:cs="Arial" w:eastAsia="Arial" w:hAnsi="Arial"/>
                <w:sz w:val="18"/>
                <w:szCs w:val="18"/>
                <w:b w:val="1"/>
                <w:bCs w:val="1"/>
                <w:color w:val="auto"/>
                <w:w w:val="90"/>
              </w:rPr>
              <w:t>Promissory Note Number</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Principal Amount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240" w:type="dxa"/>
            <w:vAlign w:val="bottom"/>
            <w:gridSpan w:val="5"/>
          </w:tcPr>
          <w:p>
            <w:pPr>
              <w:jc w:val="center"/>
              <w:ind w:right="1480"/>
              <w:spacing w:after="0"/>
              <w:rPr>
                <w:sz w:val="20"/>
                <w:szCs w:val="20"/>
                <w:color w:val="auto"/>
              </w:rPr>
            </w:pPr>
            <w:r>
              <w:rPr>
                <w:rFonts w:ascii="Arial" w:cs="Arial" w:eastAsia="Arial" w:hAnsi="Arial"/>
                <w:sz w:val="18"/>
                <w:szCs w:val="18"/>
                <w:color w:val="auto"/>
                <w:w w:val="95"/>
              </w:rPr>
              <w:t>Revolving Loan Facility</w:t>
            </w:r>
          </w:p>
        </w:tc>
        <w:tc>
          <w:tcPr>
            <w:tcW w:w="1400" w:type="dxa"/>
            <w:vAlign w:val="bottom"/>
            <w:gridSpan w:val="7"/>
          </w:tcPr>
          <w:p>
            <w:pPr>
              <w:jc w:val="center"/>
              <w:ind w:right="140"/>
              <w:spacing w:after="0"/>
              <w:rPr>
                <w:sz w:val="20"/>
                <w:szCs w:val="20"/>
                <w:color w:val="auto"/>
              </w:rPr>
            </w:pPr>
            <w:r>
              <w:rPr>
                <w:rFonts w:ascii="Arial" w:cs="Arial" w:eastAsia="Arial" w:hAnsi="Arial"/>
                <w:sz w:val="18"/>
                <w:szCs w:val="18"/>
                <w:color w:val="auto"/>
                <w:w w:val="88"/>
              </w:rPr>
              <w:t>1115-RV-01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12"/>
          </w:tcPr>
          <w:p>
            <w:pPr>
              <w:ind w:left="20"/>
              <w:spacing w:after="0"/>
              <w:rPr>
                <w:sz w:val="20"/>
                <w:szCs w:val="20"/>
                <w:color w:val="auto"/>
              </w:rPr>
            </w:pPr>
            <w:r>
              <w:rPr>
                <w:rFonts w:ascii="Arial" w:cs="Arial" w:eastAsia="Arial" w:hAnsi="Arial"/>
                <w:sz w:val="18"/>
                <w:szCs w:val="18"/>
                <w:color w:val="auto"/>
              </w:rPr>
              <w:t>1115-RV-0  -0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Arial" w:cs="Arial" w:eastAsia="Arial" w:hAnsi="Arial"/>
                <w:sz w:val="18"/>
                <w:szCs w:val="18"/>
                <w:color w:val="auto"/>
              </w:rPr>
              <w:t>Up to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40" w:type="dxa"/>
            <w:vAlign w:val="bottom"/>
          </w:tcPr>
          <w:p>
            <w:pPr>
              <w:spacing w:after="0"/>
              <w:rPr>
                <w:sz w:val="24"/>
                <w:szCs w:val="24"/>
                <w:color w:val="auto"/>
              </w:rPr>
            </w:pPr>
          </w:p>
        </w:tc>
        <w:tc>
          <w:tcPr>
            <w:tcW w:w="290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85"/>
              </w:rPr>
              <w:t>Revolving Loan</w:t>
            </w:r>
          </w:p>
        </w:tc>
        <w:tc>
          <w:tcPr>
            <w:tcW w:w="260" w:type="dxa"/>
            <w:vAlign w:val="bottom"/>
          </w:tcPr>
          <w:p>
            <w:pPr>
              <w:spacing w:after="0"/>
              <w:rPr>
                <w:sz w:val="24"/>
                <w:szCs w:val="24"/>
                <w:color w:val="auto"/>
              </w:rPr>
            </w:pPr>
          </w:p>
        </w:tc>
        <w:tc>
          <w:tcPr>
            <w:tcW w:w="11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6"/>
              </w:rPr>
              <w:t>Loan Term</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10"/>
          </w:tcPr>
          <w:p>
            <w:pPr>
              <w:jc w:val="center"/>
              <w:ind w:right="650"/>
              <w:spacing w:after="0"/>
              <w:rPr>
                <w:sz w:val="20"/>
                <w:szCs w:val="20"/>
                <w:color w:val="auto"/>
              </w:rPr>
            </w:pPr>
            <w:r>
              <w:rPr>
                <w:rFonts w:ascii="Arial" w:cs="Arial" w:eastAsia="Arial" w:hAnsi="Arial"/>
                <w:sz w:val="18"/>
                <w:szCs w:val="18"/>
                <w:b w:val="1"/>
                <w:bCs w:val="1"/>
                <w:color w:val="auto"/>
                <w:w w:val="91"/>
              </w:rPr>
              <w:t>Interest Rate</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End of Term Payment</w:t>
            </w:r>
          </w:p>
        </w:tc>
        <w:tc>
          <w:tcPr>
            <w:tcW w:w="0" w:type="dxa"/>
            <w:vAlign w:val="bottom"/>
          </w:tcPr>
          <w:p>
            <w:pPr>
              <w:spacing w:after="0"/>
              <w:rPr>
                <w:sz w:val="1"/>
                <w:szCs w:val="1"/>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780" w:type="dxa"/>
            <w:vAlign w:val="bottom"/>
            <w:tcBorders>
              <w:left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120" w:type="dxa"/>
            <w:vAlign w:val="bottom"/>
            <w:gridSpan w:val="3"/>
          </w:tcPr>
          <w:p>
            <w:pPr>
              <w:jc w:val="center"/>
              <w:ind w:right="40"/>
              <w:spacing w:after="0" w:line="196" w:lineRule="exact"/>
              <w:rPr>
                <w:sz w:val="20"/>
                <w:szCs w:val="20"/>
                <w:color w:val="auto"/>
              </w:rPr>
            </w:pPr>
            <w:r>
              <w:rPr>
                <w:rFonts w:ascii="Arial" w:cs="Arial" w:eastAsia="Arial" w:hAnsi="Arial"/>
                <w:sz w:val="18"/>
                <w:szCs w:val="18"/>
                <w:b w:val="1"/>
                <w:bCs w:val="1"/>
                <w:color w:val="auto"/>
                <w:w w:val="94"/>
              </w:rPr>
              <w:t>Maturity Date</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8"/>
                <w:szCs w:val="18"/>
                <w:color w:val="auto"/>
                <w:w w:val="94"/>
              </w:rPr>
              <w:t>months</w:t>
            </w:r>
          </w:p>
        </w:tc>
        <w:tc>
          <w:tcPr>
            <w:tcW w:w="340" w:type="dxa"/>
            <w:vAlign w:val="bottom"/>
            <w:gridSpan w:val="2"/>
            <w:vMerge w:val="restart"/>
          </w:tcPr>
          <w:p>
            <w:pPr>
              <w:spacing w:after="0"/>
              <w:rPr>
                <w:sz w:val="17"/>
                <w:szCs w:val="17"/>
                <w:color w:val="auto"/>
              </w:rPr>
            </w:pPr>
          </w:p>
        </w:tc>
        <w:tc>
          <w:tcPr>
            <w:tcW w:w="1960" w:type="dxa"/>
            <w:vAlign w:val="bottom"/>
            <w:gridSpan w:val="7"/>
            <w:vMerge w:val="restart"/>
          </w:tcPr>
          <w:p>
            <w:pPr>
              <w:ind w:left="780"/>
              <w:spacing w:after="0"/>
              <w:rPr>
                <w:sz w:val="20"/>
                <w:szCs w:val="20"/>
                <w:color w:val="auto"/>
              </w:rPr>
            </w:pPr>
            <w:r>
              <w:rPr>
                <w:rFonts w:ascii="Arial" w:cs="Arial" w:eastAsia="Arial" w:hAnsi="Arial"/>
                <w:sz w:val="18"/>
                <w:szCs w:val="18"/>
                <w:color w:val="auto"/>
                <w:w w:val="90"/>
              </w:rPr>
              <w:t>Prime Rate plus</w:t>
            </w:r>
          </w:p>
        </w:tc>
        <w:tc>
          <w:tcPr>
            <w:tcW w:w="180" w:type="dxa"/>
            <w:vAlign w:val="bottom"/>
            <w:vMerge w:val="restart"/>
          </w:tcPr>
          <w:p>
            <w:pPr>
              <w:spacing w:after="0"/>
              <w:rPr>
                <w:sz w:val="17"/>
                <w:szCs w:val="17"/>
                <w:color w:val="auto"/>
              </w:rPr>
            </w:pPr>
          </w:p>
        </w:tc>
        <w:tc>
          <w:tcPr>
            <w:tcW w:w="1100" w:type="dxa"/>
            <w:vAlign w:val="bottom"/>
            <w:gridSpan w:val="8"/>
            <w:vMerge w:val="restart"/>
          </w:tcPr>
          <w:p>
            <w:pPr>
              <w:spacing w:after="0"/>
              <w:rPr>
                <w:sz w:val="20"/>
                <w:szCs w:val="20"/>
                <w:color w:val="auto"/>
              </w:rPr>
            </w:pPr>
            <w:r>
              <w:rPr>
                <w:rFonts w:ascii="Arial" w:cs="Arial" w:eastAsia="Arial" w:hAnsi="Arial"/>
                <w:sz w:val="18"/>
                <w:szCs w:val="18"/>
                <w:color w:val="auto"/>
                <w:w w:val="91"/>
              </w:rPr>
              <w:t>%, however, in</w:t>
            </w:r>
          </w:p>
        </w:tc>
        <w:tc>
          <w:tcPr>
            <w:tcW w:w="140" w:type="dxa"/>
            <w:vAlign w:val="bottom"/>
          </w:tcPr>
          <w:p>
            <w:pPr>
              <w:spacing w:after="0"/>
              <w:rPr>
                <w:sz w:val="17"/>
                <w:szCs w:val="17"/>
                <w:color w:val="auto"/>
              </w:rPr>
            </w:pPr>
          </w:p>
        </w:tc>
        <w:tc>
          <w:tcPr>
            <w:tcW w:w="2320" w:type="dxa"/>
            <w:vAlign w:val="bottom"/>
            <w:gridSpan w:val="7"/>
            <w:vMerge w:val="restart"/>
          </w:tcPr>
          <w:p>
            <w:pPr>
              <w:jc w:val="center"/>
              <w:spacing w:after="0"/>
              <w:rPr>
                <w:sz w:val="20"/>
                <w:szCs w:val="20"/>
                <w:color w:val="auto"/>
              </w:rPr>
            </w:pPr>
            <w:r>
              <w:rPr>
                <w:rFonts w:ascii="Arial" w:cs="Arial" w:eastAsia="Arial" w:hAnsi="Arial"/>
                <w:sz w:val="18"/>
                <w:szCs w:val="18"/>
                <w:color w:val="auto"/>
                <w:w w:val="90"/>
              </w:rPr>
              <w:t>5.5% of the highest outstanding</w:t>
            </w: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0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16"/>
          </w:tcPr>
          <w:p>
            <w:pPr>
              <w:jc w:val="center"/>
              <w:ind w:left="670"/>
              <w:spacing w:after="0" w:line="196" w:lineRule="exact"/>
              <w:rPr>
                <w:sz w:val="20"/>
                <w:szCs w:val="20"/>
                <w:color w:val="auto"/>
              </w:rPr>
            </w:pPr>
            <w:r>
              <w:rPr>
                <w:rFonts w:ascii="Arial" w:cs="Arial" w:eastAsia="Arial" w:hAnsi="Arial"/>
                <w:sz w:val="18"/>
                <w:szCs w:val="18"/>
                <w:color w:val="auto"/>
                <w:w w:val="88"/>
              </w:rPr>
              <w:t>no event shall the Prime Rate be</w:t>
            </w:r>
          </w:p>
        </w:tc>
        <w:tc>
          <w:tcPr>
            <w:tcW w:w="140" w:type="dxa"/>
            <w:vAlign w:val="bottom"/>
          </w:tcPr>
          <w:p>
            <w:pPr>
              <w:spacing w:after="0"/>
              <w:rPr>
                <w:sz w:val="17"/>
                <w:szCs w:val="17"/>
                <w:color w:val="auto"/>
              </w:rPr>
            </w:pPr>
          </w:p>
        </w:tc>
        <w:tc>
          <w:tcPr>
            <w:tcW w:w="2320" w:type="dxa"/>
            <w:vAlign w:val="bottom"/>
            <w:gridSpan w:val="7"/>
          </w:tcPr>
          <w:p>
            <w:pPr>
              <w:jc w:val="center"/>
              <w:spacing w:after="0" w:line="196" w:lineRule="exact"/>
              <w:rPr>
                <w:sz w:val="20"/>
                <w:szCs w:val="20"/>
                <w:color w:val="auto"/>
              </w:rPr>
            </w:pPr>
            <w:r>
              <w:rPr>
                <w:rFonts w:ascii="Arial" w:cs="Arial" w:eastAsia="Arial" w:hAnsi="Arial"/>
                <w:sz w:val="18"/>
                <w:szCs w:val="18"/>
                <w:color w:val="auto"/>
                <w:w w:val="91"/>
              </w:rPr>
              <w:t>principal balance during the</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w w:val="85"/>
              </w:rPr>
              <w:t>less than</w:t>
            </w:r>
          </w:p>
        </w:tc>
        <w:tc>
          <w:tcPr>
            <w:tcW w:w="3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center"/>
              <w:ind w:right="460"/>
              <w:spacing w:after="0" w:line="196" w:lineRule="exact"/>
              <w:rPr>
                <w:sz w:val="20"/>
                <w:szCs w:val="20"/>
                <w:color w:val="auto"/>
              </w:rPr>
            </w:pPr>
            <w:r>
              <w:rPr>
                <w:rFonts w:ascii="Arial" w:cs="Arial" w:eastAsia="Arial" w:hAnsi="Arial"/>
                <w:sz w:val="18"/>
                <w:szCs w:val="18"/>
                <w:color w:val="auto"/>
                <w:w w:val="91"/>
              </w:rPr>
              <w:t>Loan Term.</w:t>
            </w: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CONTACT INFORMATION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gridSpan w:val="3"/>
          </w:tcPr>
          <w:p>
            <w:pPr>
              <w:jc w:val="center"/>
              <w:ind w:right="1780"/>
              <w:spacing w:after="0"/>
              <w:rPr>
                <w:sz w:val="20"/>
                <w:szCs w:val="20"/>
                <w:color w:val="auto"/>
              </w:rPr>
            </w:pPr>
            <w:r>
              <w:rPr>
                <w:rFonts w:ascii="Arial" w:cs="Arial" w:eastAsia="Arial" w:hAnsi="Arial"/>
                <w:sz w:val="18"/>
                <w:szCs w:val="18"/>
                <w:b w:val="1"/>
                <w:bCs w:val="1"/>
                <w:color w:val="auto"/>
                <w:w w:val="89"/>
              </w:rPr>
              <w:t>Name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7"/>
              </w:rPr>
              <w:t>Address For Notices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88"/>
              </w:rPr>
              <w:t>Contact Person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Borders>
              <w:right w:val="single" w:sz="8" w:color="auto"/>
            </w:tcBorders>
            <w:gridSpan w:val="3"/>
            <w:shd w:val="clear" w:color="auto" w:fill="00000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40" w:type="dxa"/>
            <w:vAlign w:val="bottom"/>
          </w:tcPr>
          <w:p>
            <w:pPr>
              <w:spacing w:after="0"/>
              <w:rPr>
                <w:sz w:val="24"/>
                <w:szCs w:val="24"/>
                <w:color w:val="auto"/>
              </w:rPr>
            </w:pPr>
          </w:p>
        </w:tc>
        <w:tc>
          <w:tcPr>
            <w:tcW w:w="2900" w:type="dxa"/>
            <w:vAlign w:val="bottom"/>
            <w:gridSpan w:val="4"/>
          </w:tcPr>
          <w:p>
            <w:pPr>
              <w:jc w:val="center"/>
              <w:ind w:right="1100"/>
              <w:spacing w:after="0"/>
              <w:rPr>
                <w:sz w:val="20"/>
                <w:szCs w:val="20"/>
                <w:color w:val="auto"/>
              </w:rPr>
            </w:pPr>
            <w:r>
              <w:rPr>
                <w:rFonts w:ascii="Arial" w:cs="Arial" w:eastAsia="Arial" w:hAnsi="Arial"/>
                <w:sz w:val="18"/>
                <w:szCs w:val="18"/>
                <w:color w:val="auto"/>
                <w:w w:val="95"/>
              </w:rPr>
              <w:t>TriplePoint Capital LLC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9"/>
          </w:tcPr>
          <w:p>
            <w:pPr>
              <w:jc w:val="center"/>
              <w:ind w:left="176"/>
              <w:spacing w:after="0"/>
              <w:rPr>
                <w:sz w:val="20"/>
                <w:szCs w:val="20"/>
                <w:color w:val="auto"/>
              </w:rPr>
            </w:pPr>
            <w:r>
              <w:rPr>
                <w:rFonts w:ascii="Arial" w:cs="Arial" w:eastAsia="Arial" w:hAnsi="Arial"/>
                <w:sz w:val="18"/>
                <w:szCs w:val="18"/>
                <w:color w:val="auto"/>
                <w:w w:val="90"/>
              </w:rPr>
              <w:t>2755 Sand Hill Rd., Ste. 150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9"/>
          </w:tcPr>
          <w:p>
            <w:pPr>
              <w:jc w:val="center"/>
              <w:ind w:right="720"/>
              <w:spacing w:after="0"/>
              <w:rPr>
                <w:sz w:val="20"/>
                <w:szCs w:val="20"/>
                <w:color w:val="auto"/>
              </w:rPr>
            </w:pPr>
            <w:r>
              <w:rPr>
                <w:rFonts w:ascii="Arial" w:cs="Arial" w:eastAsia="Arial" w:hAnsi="Arial"/>
                <w:sz w:val="18"/>
                <w:szCs w:val="18"/>
                <w:color w:val="auto"/>
                <w:w w:val="89"/>
              </w:rPr>
              <w:t>Sajal Srivastava, President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8"/>
          </w:tcPr>
          <w:p>
            <w:pPr>
              <w:jc w:val="center"/>
              <w:ind w:right="60"/>
              <w:spacing w:after="0"/>
              <w:rPr>
                <w:sz w:val="20"/>
                <w:szCs w:val="20"/>
                <w:color w:val="auto"/>
              </w:rPr>
            </w:pPr>
            <w:r>
              <w:rPr>
                <w:rFonts w:ascii="Arial" w:cs="Arial" w:eastAsia="Arial" w:hAnsi="Arial"/>
                <w:sz w:val="18"/>
                <w:szCs w:val="18"/>
                <w:color w:val="auto"/>
                <w:w w:val="92"/>
              </w:rPr>
              <w:t>Menlo Park, CA 94025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8"/>
          </w:tcPr>
          <w:p>
            <w:pPr>
              <w:jc w:val="center"/>
              <w:ind w:right="980"/>
              <w:spacing w:after="0"/>
              <w:rPr>
                <w:sz w:val="20"/>
                <w:szCs w:val="20"/>
                <w:color w:val="auto"/>
              </w:rPr>
            </w:pPr>
            <w:r>
              <w:rPr>
                <w:rFonts w:ascii="Arial" w:cs="Arial" w:eastAsia="Arial" w:hAnsi="Arial"/>
                <w:sz w:val="18"/>
                <w:szCs w:val="18"/>
                <w:color w:val="auto"/>
                <w:w w:val="91"/>
              </w:rPr>
              <w:t>Tel: (650) 233-2102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7"/>
          </w:tcPr>
          <w:p>
            <w:pPr>
              <w:jc w:val="center"/>
              <w:ind w:right="280"/>
              <w:spacing w:after="0"/>
              <w:rPr>
                <w:sz w:val="20"/>
                <w:szCs w:val="20"/>
                <w:color w:val="auto"/>
              </w:rPr>
            </w:pPr>
            <w:r>
              <w:rPr>
                <w:rFonts w:ascii="Arial" w:cs="Arial" w:eastAsia="Arial" w:hAnsi="Arial"/>
                <w:sz w:val="18"/>
                <w:szCs w:val="18"/>
                <w:color w:val="auto"/>
                <w:w w:val="92"/>
              </w:rPr>
              <w:t>Tel: (650) 854-2090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8"/>
          </w:tcPr>
          <w:p>
            <w:pPr>
              <w:jc w:val="center"/>
              <w:ind w:right="980"/>
              <w:spacing w:after="0"/>
              <w:rPr>
                <w:sz w:val="20"/>
                <w:szCs w:val="20"/>
                <w:color w:val="auto"/>
              </w:rPr>
            </w:pPr>
            <w:r>
              <w:rPr>
                <w:rFonts w:ascii="Arial" w:cs="Arial" w:eastAsia="Arial" w:hAnsi="Arial"/>
                <w:sz w:val="18"/>
                <w:szCs w:val="18"/>
                <w:color w:val="auto"/>
                <w:w w:val="90"/>
              </w:rPr>
              <w:t>Fax: (650) 854-1850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7"/>
          </w:tcPr>
          <w:p>
            <w:pPr>
              <w:jc w:val="center"/>
              <w:ind w:right="280"/>
              <w:spacing w:after="0"/>
              <w:rPr>
                <w:sz w:val="20"/>
                <w:szCs w:val="20"/>
                <w:color w:val="auto"/>
              </w:rPr>
            </w:pPr>
            <w:r>
              <w:rPr>
                <w:rFonts w:ascii="Arial" w:cs="Arial" w:eastAsia="Arial" w:hAnsi="Arial"/>
                <w:sz w:val="18"/>
                <w:szCs w:val="18"/>
                <w:color w:val="auto"/>
                <w:w w:val="91"/>
              </w:rPr>
              <w:t>Fax: (650) 854-1850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10"/>
          </w:tcPr>
          <w:p>
            <w:pPr>
              <w:jc w:val="center"/>
              <w:ind w:right="320"/>
              <w:spacing w:after="0"/>
              <w:rPr>
                <w:sz w:val="20"/>
                <w:szCs w:val="20"/>
                <w:color w:val="auto"/>
              </w:rPr>
            </w:pPr>
            <w:r>
              <w:rPr>
                <w:rFonts w:ascii="Arial" w:cs="Arial" w:eastAsia="Arial" w:hAnsi="Arial"/>
                <w:sz w:val="18"/>
                <w:szCs w:val="18"/>
                <w:color w:val="auto"/>
                <w:w w:val="93"/>
              </w:rPr>
              <w:t>email: legal@triplepointcapital.com</w:t>
            </w: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470"/>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69" w:right="479" w:bottom="1440" w:gutter="0" w:footer="0" w:header="0"/>
        </w:sectPr>
      </w:pPr>
    </w:p>
    <w:bookmarkStart w:id="654" w:name="page655"/>
    <w:bookmarkEnd w:id="6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207"/>
        </w:trPr>
        <w:tc>
          <w:tcPr>
            <w:tcW w:w="23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Customer Name</w:t>
            </w:r>
          </w:p>
        </w:tc>
        <w:tc>
          <w:tcPr>
            <w:tcW w:w="3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Central Billing Address</w:t>
            </w:r>
          </w:p>
        </w:tc>
        <w:tc>
          <w:tcPr>
            <w:tcW w:w="36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Contact Person</w:t>
            </w:r>
          </w:p>
        </w:tc>
      </w:tr>
      <w:tr>
        <w:trPr>
          <w:trHeight w:val="343"/>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Personalis, Inc.</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1330 O’Brien Drive</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Name, Title</w:t>
            </w:r>
          </w:p>
        </w:tc>
        <w:tc>
          <w:tcPr>
            <w:tcW w:w="9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Menlo Park, CA 94025</w:t>
            </w:r>
          </w:p>
        </w:tc>
        <w:tc>
          <w:tcPr>
            <w:tcW w:w="3620" w:type="dxa"/>
            <w:vAlign w:val="bottom"/>
            <w:gridSpan w:val="3"/>
          </w:tcPr>
          <w:p>
            <w:pPr>
              <w:jc w:val="center"/>
              <w:ind w:left="470"/>
              <w:spacing w:after="0"/>
              <w:rPr>
                <w:sz w:val="20"/>
                <w:szCs w:val="20"/>
                <w:color w:val="auto"/>
              </w:rPr>
            </w:pPr>
            <w:r>
              <w:rPr>
                <w:rFonts w:ascii="Arial" w:cs="Arial" w:eastAsia="Arial" w:hAnsi="Arial"/>
                <w:sz w:val="18"/>
                <w:szCs w:val="18"/>
                <w:color w:val="auto"/>
                <w:w w:val="94"/>
              </w:rPr>
              <w:t>Carol Tillis, VP Finance &amp; Administration</w:t>
            </w:r>
          </w:p>
        </w:tc>
      </w:tr>
      <w:tr>
        <w:trPr>
          <w:trHeight w:val="216"/>
        </w:trPr>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Tel: (650) 752-1330</w:t>
            </w:r>
          </w:p>
        </w:tc>
      </w:tr>
      <w:tr>
        <w:trPr>
          <w:trHeight w:val="216"/>
        </w:trPr>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Fax: (650) 752-1301</w:t>
            </w:r>
          </w:p>
        </w:tc>
      </w:tr>
      <w:tr>
        <w:trPr>
          <w:trHeight w:val="230"/>
        </w:trPr>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20" w:type="dxa"/>
            <w:vAlign w:val="bottom"/>
            <w:gridSpan w:val="3"/>
          </w:tcPr>
          <w:p>
            <w:pPr>
              <w:jc w:val="center"/>
              <w:ind w:left="490"/>
              <w:spacing w:after="0"/>
              <w:rPr>
                <w:sz w:val="20"/>
                <w:szCs w:val="20"/>
                <w:color w:val="auto"/>
              </w:rPr>
            </w:pPr>
            <w:r>
              <w:rPr>
                <w:rFonts w:ascii="Arial" w:cs="Arial" w:eastAsia="Arial" w:hAnsi="Arial"/>
                <w:sz w:val="18"/>
                <w:szCs w:val="18"/>
                <w:color w:val="auto"/>
                <w:w w:val="93"/>
              </w:rPr>
              <w:t>email: carol.tillis@personalis.com</w:t>
            </w:r>
          </w:p>
        </w:tc>
      </w:tr>
    </w:tbl>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Each of You, jointly and severally, hereby promise to pay to the order of TRIPLEPOINT CAPITAL LLC or the 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Promissory Note at 2755 Sand Hill Road, Ste. 150, Menlo Park, CA, 94025 or such other place of payment as the holder of this Promissory Note may specify from time to time in writing, in lawful money of the United States of America, the aggregate unpaid principal amount of all Advances made</w:t>
      </w:r>
    </w:p>
    <w:tbl>
      <w:tblPr>
        <w:tblLayout w:type="fixed"/>
        <w:tblInd w:w="0" w:type="dxa"/>
        <w:tblCellMar>
          <w:top w:w="0" w:type="dxa"/>
          <w:left w:w="0" w:type="dxa"/>
          <w:bottom w:w="0" w:type="dxa"/>
          <w:right w:w="0" w:type="dxa"/>
        </w:tblCellMar>
      </w:tblPr>
      <w:tr>
        <w:trPr>
          <w:trHeight w:val="177"/>
        </w:trPr>
        <w:tc>
          <w:tcPr>
            <w:tcW w:w="8720" w:type="dxa"/>
            <w:vAlign w:val="bottom"/>
            <w:gridSpan w:val="3"/>
          </w:tcPr>
          <w:p>
            <w:pPr>
              <w:spacing w:after="0" w:line="176" w:lineRule="exact"/>
              <w:rPr>
                <w:sz w:val="20"/>
                <w:szCs w:val="20"/>
                <w:color w:val="auto"/>
              </w:rPr>
            </w:pPr>
            <w:r>
              <w:rPr>
                <w:rFonts w:ascii="Arial" w:cs="Arial" w:eastAsia="Arial" w:hAnsi="Arial"/>
                <w:sz w:val="18"/>
                <w:szCs w:val="18"/>
                <w:color w:val="auto"/>
                <w:w w:val="91"/>
              </w:rPr>
              <w:t>by Us to You in accordance with the terms and conditions of the Loan Agreement, up to a maximum principal amount of</w:t>
            </w:r>
          </w:p>
        </w:tc>
        <w:tc>
          <w:tcPr>
            <w:tcW w:w="1260" w:type="dxa"/>
            <w:vAlign w:val="bottom"/>
            <w:tcBorders>
              <w:bottom w:val="single" w:sz="8" w:color="auto"/>
            </w:tcBorders>
          </w:tcPr>
          <w:p>
            <w:pPr>
              <w:spacing w:after="0"/>
              <w:rPr>
                <w:sz w:val="15"/>
                <w:szCs w:val="15"/>
                <w:color w:val="auto"/>
              </w:rPr>
            </w:pPr>
          </w:p>
        </w:tc>
        <w:tc>
          <w:tcPr>
            <w:tcW w:w="580" w:type="dxa"/>
            <w:vAlign w:val="bottom"/>
          </w:tcPr>
          <w:p>
            <w:pPr>
              <w:ind w:left="40"/>
              <w:spacing w:after="0" w:line="176" w:lineRule="exact"/>
              <w:rPr>
                <w:sz w:val="20"/>
                <w:szCs w:val="20"/>
                <w:color w:val="auto"/>
              </w:rPr>
            </w:pPr>
            <w:r>
              <w:rPr>
                <w:rFonts w:ascii="Arial" w:cs="Arial" w:eastAsia="Arial" w:hAnsi="Arial"/>
                <w:sz w:val="18"/>
                <w:szCs w:val="18"/>
                <w:color w:val="auto"/>
                <w:w w:val="92"/>
              </w:rPr>
              <w:t>Dollars</w:t>
            </w:r>
          </w:p>
        </w:tc>
      </w:tr>
      <w:tr>
        <w:trPr>
          <w:trHeight w:val="196"/>
        </w:trPr>
        <w:tc>
          <w:tcPr>
            <w:tcW w:w="140" w:type="dxa"/>
            <w:vAlign w:val="bottom"/>
          </w:tcPr>
          <w:p>
            <w:pPr>
              <w:spacing w:after="0" w:line="196" w:lineRule="exact"/>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tcPr>
          <w:p>
            <w:pPr>
              <w:spacing w:after="0"/>
              <w:rPr>
                <w:sz w:val="17"/>
                <w:szCs w:val="17"/>
                <w:color w:val="auto"/>
              </w:rPr>
            </w:pPr>
          </w:p>
        </w:tc>
        <w:tc>
          <w:tcPr>
            <w:tcW w:w="9520" w:type="dxa"/>
            <w:vAlign w:val="bottom"/>
            <w:gridSpan w:val="3"/>
          </w:tcPr>
          <w:p>
            <w:pPr>
              <w:spacing w:after="0" w:line="196" w:lineRule="exact"/>
              <w:rPr>
                <w:sz w:val="20"/>
                <w:szCs w:val="20"/>
                <w:color w:val="auto"/>
              </w:rPr>
            </w:pPr>
            <w:r>
              <w:rPr>
                <w:rFonts w:ascii="Arial" w:cs="Arial" w:eastAsia="Arial" w:hAnsi="Arial"/>
                <w:sz w:val="18"/>
                <w:szCs w:val="18"/>
                <w:color w:val="auto"/>
                <w:w w:val="89"/>
              </w:rPr>
              <w:t>) or so much thereof as may be advanced and remains unpaid together with interest at the rate and on the dates provided in the Loan</w:t>
            </w:r>
          </w:p>
        </w:tc>
      </w:tr>
    </w:tbl>
    <w:p>
      <w:pPr>
        <w:spacing w:after="0" w:line="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Agreement from the date of this Promissory Note to the Revolving Loan Maturity. In addition to Your final payment, You will pay Us an amount equal to the End of Term Payment as set forth on Page 1 of this Promissory Note and as more fully described in the Loan Agreement. Interest shall be computed daily on the basis of a year consisting of 360 days for the actual number of days occurring in the period for which such interest is payable. Any payments made under this Promissory Note shall be available for re-borrowing.</w:t>
      </w:r>
    </w:p>
    <w:p>
      <w:pPr>
        <w:spacing w:after="0" w:line="1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aggregate outstanding principal balance of this Promissory Note shall be due and payable in full in immediately available funds on the Maturity Date, if not sooner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waive presentment and demand for payment, notice of dishonor, protest and notice of protest under the UCC or any applicable law.</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will not, directly or indirectly, use the proceeds of any Advance(s) under this Promissory Note, or lend, contribute or otherwise make available such proceeds to any Subsidiary, Affiliate, joint venture partner or other Person, to fund any activities or business of or with any Person, or in any country or territory, that, at the time of such funding, is the subject of any sanctions administered by OFAC, or in any other manner that would result in a violation of OFAC sanctions by any Person, including any Person participating in any capacity in any Advance(s) under this Promissory Note.</w:t>
      </w:r>
    </w:p>
    <w:p>
      <w:pPr>
        <w:spacing w:after="0" w:line="1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Promissory Note has been negotiated and delivered to Us and is payable in the State of California. This Promissory Note shall be governed by and construed and enforced in accordance with, the laws of the State of California, excluding any conflicts of law rules or principles that would cause the application of the laws of any other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52" w:lineRule="exact"/>
        <w:rPr>
          <w:sz w:val="20"/>
          <w:szCs w:val="20"/>
          <w:color w:val="auto"/>
        </w:rPr>
      </w:pPr>
    </w:p>
    <w:p>
      <w:pPr>
        <w:ind w:left="4640"/>
        <w:spacing w:after="0"/>
        <w:tabs>
          <w:tab w:leader="none" w:pos="5720" w:val="left"/>
        </w:tabs>
        <w:rPr>
          <w:sz w:val="20"/>
          <w:szCs w:val="20"/>
          <w:color w:val="auto"/>
        </w:rPr>
      </w:pPr>
      <w:r>
        <w:rPr>
          <w:rFonts w:ascii="Arial" w:cs="Arial" w:eastAsia="Arial" w:hAnsi="Arial"/>
          <w:sz w:val="18"/>
          <w:szCs w:val="18"/>
          <w:b w:val="1"/>
          <w:bCs w:val="1"/>
          <w:color w:val="auto"/>
        </w:rPr>
        <w:t>YOU:</w:t>
      </w:r>
      <w:r>
        <w:rPr>
          <w:sz w:val="20"/>
          <w:szCs w:val="20"/>
          <w:color w:val="auto"/>
        </w:rPr>
        <w:tab/>
      </w:r>
      <w:r>
        <w:rPr>
          <w:rFonts w:ascii="Arial" w:cs="Arial" w:eastAsia="Arial" w:hAnsi="Arial"/>
          <w:sz w:val="18"/>
          <w:szCs w:val="18"/>
          <w:b w:val="1"/>
          <w:bCs w:val="1"/>
          <w:color w:val="auto"/>
        </w:rPr>
        <w:t>PERSONALIS, INC.</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250952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250952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250952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258" w:right="479" w:bottom="1440" w:gutter="0" w:footer="0" w:header="0"/>
        </w:sectPr>
      </w:pPr>
    </w:p>
    <w:bookmarkStart w:id="655" w:name="page656"/>
    <w:bookmarkEnd w:id="65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54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rPr>
              <w:t>EXHIBIT B</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54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8"/>
              </w:rPr>
              <w:t>ADVANCE REQUEST</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520" w:type="dxa"/>
            <w:vAlign w:val="bottom"/>
          </w:tcPr>
          <w:p>
            <w:pPr>
              <w:ind w:left="240"/>
              <w:spacing w:after="0"/>
              <w:rPr>
                <w:sz w:val="20"/>
                <w:szCs w:val="20"/>
                <w:color w:val="auto"/>
              </w:rPr>
            </w:pPr>
            <w:r>
              <w:rPr>
                <w:rFonts w:ascii="Arial" w:cs="Arial" w:eastAsia="Arial" w:hAnsi="Arial"/>
                <w:sz w:val="18"/>
                <w:szCs w:val="18"/>
                <w:color w:val="auto"/>
              </w:rPr>
              <w:t>TRIPLEPOINT CAPITAL LLC</w:t>
            </w:r>
          </w:p>
        </w:tc>
        <w:tc>
          <w:tcPr>
            <w:tcW w:w="5540" w:type="dxa"/>
            <w:vAlign w:val="bottom"/>
            <w:gridSpan w:val="3"/>
          </w:tcPr>
          <w:p>
            <w:pPr>
              <w:ind w:left="3620"/>
              <w:spacing w:after="0"/>
              <w:rPr>
                <w:sz w:val="20"/>
                <w:szCs w:val="20"/>
                <w:color w:val="auto"/>
              </w:rPr>
            </w:pPr>
            <w:r>
              <w:rPr>
                <w:rFonts w:ascii="Arial" w:cs="Arial" w:eastAsia="Arial" w:hAnsi="Arial"/>
                <w:sz w:val="18"/>
                <w:szCs w:val="18"/>
                <w:b w:val="1"/>
                <w:bCs w:val="1"/>
                <w:color w:val="auto"/>
              </w:rPr>
              <w:t>Date:</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2755 Sand Hill Road Ste 150</w:t>
            </w:r>
          </w:p>
        </w:tc>
        <w:tc>
          <w:tcPr>
            <w:tcW w:w="40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Menlo Park, CA 94025</w:t>
            </w: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Attention: Customer Administrations</w:t>
            </w: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Fax (650) 854-1850</w:t>
            </w:r>
          </w:p>
        </w:tc>
        <w:tc>
          <w:tcPr>
            <w:tcW w:w="4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9520" w:type="dxa"/>
            <w:vAlign w:val="bottom"/>
            <w:gridSpan w:val="5"/>
          </w:tcPr>
          <w:p>
            <w:pPr>
              <w:spacing w:after="0"/>
              <w:rPr>
                <w:sz w:val="20"/>
                <w:szCs w:val="20"/>
                <w:color w:val="auto"/>
              </w:rPr>
            </w:pPr>
            <w:r>
              <w:rPr>
                <w:rFonts w:ascii="Arial" w:cs="Arial" w:eastAsia="Arial" w:hAnsi="Arial"/>
                <w:sz w:val="18"/>
                <w:szCs w:val="18"/>
                <w:color w:val="auto"/>
                <w:w w:val="94"/>
              </w:rPr>
              <w:t>PERSONALIS, INC. (“We” or “Us”), hereby request from TRIPLEPOINT CAPITAL LLC (“You”) an Advance in the amount of ($</w:t>
            </w: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3"/>
              </w:rPr>
              <w:t>) on</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889"/>
        <w:spacing w:after="0" w:line="277" w:lineRule="auto"/>
        <w:tabs>
          <w:tab w:leader="none" w:pos="121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(at least five (5) Business Days from today) pursuant to the Plain English Revolving Loan and Security Agreement between the Parties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-182245</wp:posOffset>
            </wp:positionV>
            <wp:extent cx="74231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instruct You to please:</w:t>
      </w:r>
    </w:p>
    <w:p>
      <w:pPr>
        <w:spacing w:after="0" w:line="256" w:lineRule="exact"/>
        <w:rPr>
          <w:sz w:val="20"/>
          <w:szCs w:val="20"/>
          <w:color w:val="auto"/>
        </w:rPr>
      </w:pPr>
    </w:p>
    <w:p>
      <w:pPr>
        <w:ind w:left="880" w:right="8100" w:hanging="445"/>
        <w:spacing w:after="0" w:line="375" w:lineRule="auto"/>
        <w:tabs>
          <w:tab w:leader="none" w:pos="8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Issue a check payable to Us or</w:t>
      </w:r>
    </w:p>
    <w:p>
      <w:pPr>
        <w:ind w:left="880" w:hanging="445"/>
        <w:spacing w:after="0"/>
        <w:tabs>
          <w:tab w:leader="none" w:pos="8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Transfer Funds to 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-421640</wp:posOffset>
            </wp:positionV>
            <wp:extent cx="45656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456565" cy="825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-10160</wp:posOffset>
            </wp:positionV>
            <wp:extent cx="45656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2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Account Name: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represent, warrant and certify that:</w:t>
      </w:r>
    </w:p>
    <w:p>
      <w:pPr>
        <w:spacing w:after="0" w:line="130" w:lineRule="exact"/>
        <w:rPr>
          <w:sz w:val="20"/>
          <w:szCs w:val="20"/>
          <w:color w:val="auto"/>
        </w:rPr>
      </w:pPr>
    </w:p>
    <w:p>
      <w:pPr>
        <w:ind w:left="860" w:right="480" w:hanging="330"/>
        <w:spacing w:after="0" w:line="277" w:lineRule="auto"/>
        <w:tabs>
          <w:tab w:leader="none" w:pos="86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No event or circumstance has occurred or exists which individually or together with any other event or circumstance, has had or could reasonably be expected to have a Material Adverse Effect;</w:t>
      </w:r>
    </w:p>
    <w:p>
      <w:pPr>
        <w:spacing w:after="0" w:line="75" w:lineRule="exact"/>
        <w:rPr>
          <w:rFonts w:ascii="Arial" w:cs="Arial" w:eastAsia="Arial" w:hAnsi="Arial"/>
          <w:sz w:val="18"/>
          <w:szCs w:val="18"/>
          <w:color w:val="auto"/>
        </w:rPr>
      </w:pPr>
    </w:p>
    <w:p>
      <w:pPr>
        <w:ind w:left="860" w:hanging="330"/>
        <w:spacing w:after="0" w:line="255" w:lineRule="auto"/>
        <w:tabs>
          <w:tab w:leader="none" w:pos="86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Loan Agreement and in the associated Plain English Warrant Agreement are and shall be true, complete and correct in all material respects on and as of the date the requested Advance is funded with the same effect as though made on and as of such date, except to the extent such representations and warranties expressly relate to an earlier date (in which case, those representations and warranties remain true, complete and correct in all material respects as of such date), provided, however, that such materiality qualifiers shall not be applicable to any representations and warranties that already are qualified or modified by materiality in the text thereof;</w:t>
      </w:r>
    </w:p>
    <w:p>
      <w:pPr>
        <w:spacing w:after="0" w:line="96" w:lineRule="exact"/>
        <w:rPr>
          <w:rFonts w:ascii="Arial" w:cs="Arial" w:eastAsia="Arial" w:hAnsi="Arial"/>
          <w:sz w:val="18"/>
          <w:szCs w:val="18"/>
          <w:color w:val="auto"/>
        </w:rPr>
      </w:pPr>
    </w:p>
    <w:p>
      <w:pPr>
        <w:ind w:left="860" w:hanging="330"/>
        <w:spacing w:after="0"/>
        <w:tabs>
          <w:tab w:leader="none" w:pos="86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We are in compliance with all covenants set forth in Section 12 of the Loan Agreement.</w:t>
      </w:r>
    </w:p>
    <w:p>
      <w:pPr>
        <w:spacing w:after="0" w:line="130" w:lineRule="exact"/>
        <w:rPr>
          <w:rFonts w:ascii="Arial" w:cs="Arial" w:eastAsia="Arial" w:hAnsi="Arial"/>
          <w:sz w:val="18"/>
          <w:szCs w:val="18"/>
          <w:color w:val="auto"/>
        </w:rPr>
      </w:pPr>
    </w:p>
    <w:p>
      <w:pPr>
        <w:ind w:left="860" w:right="360" w:hanging="330"/>
        <w:spacing w:after="0" w:line="277" w:lineRule="auto"/>
        <w:tabs>
          <w:tab w:leader="none" w:pos="86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We are in compliance with all the terms and provisions set forth in any document related to this Advance (including, without limitation, Sections 4 and 5 of the Loan Agreement);</w:t>
      </w:r>
    </w:p>
    <w:p>
      <w:pPr>
        <w:spacing w:after="0" w:line="75" w:lineRule="exact"/>
        <w:rPr>
          <w:rFonts w:ascii="Arial" w:cs="Arial" w:eastAsia="Arial" w:hAnsi="Arial"/>
          <w:sz w:val="18"/>
          <w:szCs w:val="18"/>
          <w:color w:val="auto"/>
        </w:rPr>
      </w:pPr>
    </w:p>
    <w:p>
      <w:pPr>
        <w:ind w:left="860" w:right="580" w:hanging="330"/>
        <w:spacing w:after="0" w:line="307" w:lineRule="auto"/>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As of the date hereof and the date of the funding of the requested Advance, no fact or condition exists that would (or would, with the passage of time, the giving of notice, or both, would) constitute an Event of Default under the Loan Agreement;</w:t>
      </w:r>
    </w:p>
    <w:p>
      <w:pPr>
        <w:spacing w:after="0" w:line="52" w:lineRule="exact"/>
        <w:rPr>
          <w:rFonts w:ascii="Arial" w:cs="Arial" w:eastAsia="Arial" w:hAnsi="Arial"/>
          <w:sz w:val="17"/>
          <w:szCs w:val="17"/>
          <w:color w:val="auto"/>
        </w:rPr>
      </w:pPr>
    </w:p>
    <w:p>
      <w:pPr>
        <w:ind w:left="860" w:right="180" w:hanging="330"/>
        <w:spacing w:after="0" w:line="277" w:lineRule="auto"/>
        <w:tabs>
          <w:tab w:leader="none" w:pos="86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We understand and acknowledge that You have the right to review the financial information supporting this representation and based upon such review in Your sole discretion You may decline to fund the requested Advance; and</w:t>
      </w:r>
    </w:p>
    <w:p>
      <w:pPr>
        <w:spacing w:after="0" w:line="75" w:lineRule="exact"/>
        <w:rPr>
          <w:sz w:val="20"/>
          <w:szCs w:val="20"/>
          <w:color w:val="auto"/>
        </w:rPr>
      </w:pPr>
    </w:p>
    <w:p>
      <w:pPr>
        <w:ind w:left="520"/>
        <w:spacing w:after="0"/>
        <w:tabs>
          <w:tab w:leader="none" w:pos="840" w:val="left"/>
          <w:tab w:leader="none" w:pos="4740" w:val="left"/>
          <w:tab w:leader="none" w:pos="5240" w:val="left"/>
        </w:tabs>
        <w:rPr>
          <w:sz w:val="20"/>
          <w:szCs w:val="20"/>
          <w:color w:val="auto"/>
        </w:rPr>
      </w:pPr>
      <w:r>
        <w:rPr>
          <w:rFonts w:ascii="Arial" w:cs="Arial" w:eastAsia="Arial" w:hAnsi="Arial"/>
          <w:sz w:val="18"/>
          <w:szCs w:val="18"/>
          <w:color w:val="auto"/>
        </w:rPr>
        <w:t>•</w:t>
        <w:tab/>
        <w:t>The Certificate of Perfection executed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is true and correct as of the date of this Advance Request. [Attach an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-10160</wp:posOffset>
            </wp:positionV>
            <wp:extent cx="8845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Certificate of Perfection as needed and insert the date that the Certificate of Perfection was executed on].</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60" w:top="270" w:right="459" w:bottom="1440" w:gutter="0" w:footer="0" w:header="0"/>
        </w:sectPr>
      </w:pPr>
    </w:p>
    <w:bookmarkStart w:id="656" w:name="page657"/>
    <w:bookmarkEnd w:id="656"/>
    <w:p>
      <w:pPr>
        <w:spacing w:after="0"/>
        <w:tabs>
          <w:tab w:leader="none" w:pos="1220" w:val="left"/>
          <w:tab w:leader="none" w:pos="2620" w:val="left"/>
          <w:tab w:leader="none" w:pos="3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-10160</wp:posOffset>
            </wp:positionV>
            <wp:extent cx="11430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-10160</wp:posOffset>
            </wp:positionV>
            <wp:extent cx="85598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8" w:lineRule="exact"/>
        <w:rPr>
          <w:sz w:val="20"/>
          <w:szCs w:val="20"/>
          <w:color w:val="auto"/>
        </w:rPr>
      </w:pPr>
    </w:p>
    <w:p>
      <w:pPr>
        <w:ind w:left="4200"/>
        <w:spacing w:after="0"/>
        <w:tabs>
          <w:tab w:leader="none" w:pos="5280" w:val="left"/>
        </w:tabs>
        <w:rPr>
          <w:sz w:val="20"/>
          <w:szCs w:val="20"/>
          <w:color w:val="auto"/>
        </w:rPr>
      </w:pPr>
      <w:r>
        <w:rPr>
          <w:rFonts w:ascii="Arial" w:cs="Arial" w:eastAsia="Arial" w:hAnsi="Arial"/>
          <w:sz w:val="18"/>
          <w:szCs w:val="18"/>
          <w:b w:val="1"/>
          <w:bCs w:val="1"/>
          <w:color w:val="auto"/>
        </w:rPr>
        <w:t>YOU:</w:t>
      </w:r>
      <w:r>
        <w:rPr>
          <w:sz w:val="20"/>
          <w:szCs w:val="20"/>
          <w:color w:val="auto"/>
        </w:rPr>
        <w:tab/>
      </w:r>
      <w:r>
        <w:rPr>
          <w:rFonts w:ascii="Arial" w:cs="Arial" w:eastAsia="Arial" w:hAnsi="Arial"/>
          <w:sz w:val="18"/>
          <w:szCs w:val="18"/>
          <w:b w:val="1"/>
          <w:bCs w:val="1"/>
          <w:color w:val="auto"/>
        </w:rPr>
        <w:t>PERSONALIS, INC.</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14605</wp:posOffset>
            </wp:positionV>
            <wp:extent cx="250952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2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14605</wp:posOffset>
            </wp:positionV>
            <wp:extent cx="250952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2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14605</wp:posOffset>
            </wp:positionV>
            <wp:extent cx="250952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color w:val="auto"/>
        </w:rPr>
        <w:t>[SIGNATURE PAGE TO ADVANCE REQUEST]</w:t>
      </w:r>
    </w:p>
    <w:p>
      <w:pPr>
        <w:spacing w:after="0" w:line="17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559"/>
          </w:cols>
          <w:pgMar w:left="900" w:top="274" w:right="1440" w:bottom="1440" w:gutter="0" w:footer="0" w:header="0"/>
        </w:sectPr>
      </w:pPr>
    </w:p>
    <w:bookmarkStart w:id="657" w:name="page658"/>
    <w:bookmarkEnd w:id="657"/>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ERFECTION</w:t>
      </w:r>
    </w:p>
    <w:p>
      <w:pPr>
        <w:spacing w:after="0" w:line="229" w:lineRule="exact"/>
        <w:rPr>
          <w:sz w:val="20"/>
          <w:szCs w:val="20"/>
          <w:color w:val="auto"/>
        </w:rPr>
      </w:pPr>
    </w:p>
    <w:p>
      <w:pPr>
        <w:ind w:left="10"/>
        <w:spacing w:after="0" w:line="255" w:lineRule="auto"/>
        <w:rPr>
          <w:sz w:val="20"/>
          <w:szCs w:val="20"/>
          <w:color w:val="auto"/>
        </w:rPr>
      </w:pPr>
      <w:r>
        <w:rPr>
          <w:rFonts w:ascii="Arial" w:cs="Arial" w:eastAsia="Arial" w:hAnsi="Arial"/>
          <w:sz w:val="18"/>
          <w:szCs w:val="18"/>
          <w:color w:val="auto"/>
        </w:rPr>
        <w:t>This Certificate of Perfection shall reference that certain Plain English Revolving Loan and Security Agreement dated as of June 28, 2017 by and between TRIPLEPOINT CAPITAL LLC, PERSONALIS, INC. and any other Person that executes a Joinder Agreement to become a borrower thereunder (the “Loan Agreement”). All terms not defined in this Certificate of Perfection shall have the same meanings as in the Loan Agreement. Pursuant to the terms of the Loan Agreement, each of PERSONALIS, INC. and any other Person that executes a Joinder Agreement to become a borrower under the Loan Agreement hereby certifies, represents and warrants the following as of the date set forth below the signature to this Certificate of Perfection:</w:t>
      </w:r>
    </w:p>
    <w:p>
      <w:pPr>
        <w:spacing w:after="0" w:line="218" w:lineRule="exact"/>
        <w:rPr>
          <w:sz w:val="20"/>
          <w:szCs w:val="20"/>
          <w:color w:val="auto"/>
        </w:rPr>
      </w:pPr>
    </w:p>
    <w:p>
      <w:pPr>
        <w:ind w:left="430" w:hanging="430"/>
        <w:spacing w:after="0"/>
        <w:tabs>
          <w:tab w:leader="none" w:pos="430" w:val="left"/>
        </w:tabs>
        <w:numPr>
          <w:ilvl w:val="0"/>
          <w:numId w:val="676"/>
        </w:numPr>
        <w:rPr>
          <w:rFonts w:ascii="Arial" w:cs="Arial" w:eastAsia="Arial" w:hAnsi="Arial"/>
          <w:sz w:val="18"/>
          <w:szCs w:val="18"/>
          <w:b w:val="1"/>
          <w:bCs w:val="1"/>
          <w:color w:val="auto"/>
        </w:rPr>
      </w:pPr>
      <w:r>
        <w:rPr>
          <w:rFonts w:ascii="Arial" w:cs="Arial" w:eastAsia="Arial" w:hAnsi="Arial"/>
          <w:sz w:val="18"/>
          <w:szCs w:val="18"/>
          <w:color w:val="auto"/>
        </w:rPr>
        <w:t>Our current names and organizational status are as follows:</w:t>
      </w:r>
    </w:p>
    <w:p>
      <w:pPr>
        <w:spacing w:after="0" w:line="252"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Type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Organization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Federal Employer Tax</w:t>
      </w:r>
    </w:p>
    <w:p>
      <w:pPr>
        <w:spacing w:after="0" w:line="2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13970</wp:posOffset>
            </wp:positionV>
            <wp:extent cx="227012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6"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Type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Organization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Federal Employer Tax</w:t>
      </w:r>
    </w:p>
    <w:p>
      <w:pPr>
        <w:spacing w:after="0" w:line="2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13970</wp:posOffset>
            </wp:positionV>
            <wp:extent cx="227012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244" w:lineRule="exact"/>
        <w:rPr>
          <w:sz w:val="20"/>
          <w:szCs w:val="20"/>
          <w:color w:val="auto"/>
        </w:rPr>
      </w:pPr>
    </w:p>
    <w:p>
      <w:pPr>
        <w:ind w:left="430" w:right="200" w:hanging="430"/>
        <w:spacing w:after="0" w:line="277" w:lineRule="auto"/>
        <w:tabs>
          <w:tab w:leader="none" w:pos="430" w:val="left"/>
        </w:tabs>
        <w:numPr>
          <w:ilvl w:val="0"/>
          <w:numId w:val="677"/>
        </w:numPr>
        <w:rPr>
          <w:rFonts w:ascii="Arial" w:cs="Arial" w:eastAsia="Arial" w:hAnsi="Arial"/>
          <w:sz w:val="18"/>
          <w:szCs w:val="18"/>
          <w:b w:val="1"/>
          <w:bCs w:val="1"/>
          <w:color w:val="auto"/>
        </w:rPr>
      </w:pPr>
      <w:r>
        <w:rPr>
          <w:rFonts w:ascii="Arial" w:cs="Arial" w:eastAsia="Arial" w:hAnsi="Arial"/>
          <w:sz w:val="18"/>
          <w:szCs w:val="18"/>
          <w:color w:val="auto"/>
        </w:rPr>
        <w:t>Five (5) years prior to the date of this Certificate of Perfection, We did not do business under any other name or organization or form except the following:</w:t>
      </w:r>
    </w:p>
    <w:p>
      <w:pPr>
        <w:spacing w:after="0" w:line="1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Type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Organization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Federal Employer Tax</w:t>
      </w:r>
    </w:p>
    <w:p>
      <w:pPr>
        <w:spacing w:after="0" w:line="2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13970</wp:posOffset>
            </wp:positionV>
            <wp:extent cx="227012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96"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Dates of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227012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241" w:lineRule="exact"/>
        <w:rPr>
          <w:sz w:val="20"/>
          <w:szCs w:val="20"/>
          <w:color w:val="auto"/>
        </w:rPr>
      </w:pPr>
    </w:p>
    <w:p>
      <w:pPr>
        <w:ind w:left="10"/>
        <w:spacing w:after="0"/>
        <w:tabs>
          <w:tab w:leader="none" w:pos="409" w:val="left"/>
          <w:tab w:leader="none" w:pos="3029"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color w:val="auto"/>
        </w:rPr>
        <w:t>Our fiscal year ends on</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-7620</wp:posOffset>
            </wp:positionV>
            <wp:extent cx="57086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1"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70"/>
          </w:cols>
          <w:pgMar w:left="450" w:top="271" w:right="479" w:bottom="1440" w:gutter="0" w:footer="0" w:header="0"/>
        </w:sectPr>
      </w:pPr>
    </w:p>
    <w:bookmarkStart w:id="658" w:name="page659"/>
    <w:bookmarkEnd w:id="658"/>
    <w:p>
      <w:pPr>
        <w:ind w:left="430" w:hanging="430"/>
        <w:spacing w:after="0"/>
        <w:tabs>
          <w:tab w:leader="none" w:pos="430" w:val="left"/>
        </w:tabs>
        <w:numPr>
          <w:ilvl w:val="0"/>
          <w:numId w:val="6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current locations and the locations of all the Collateral are:</w:t>
      </w:r>
    </w:p>
    <w:p>
      <w:pPr>
        <w:spacing w:after="0" w:line="252"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Chief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-121920</wp:posOffset>
            </wp:positionV>
            <wp:extent cx="2518410" cy="29146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2518410" cy="291465"/>
                    </a:xfrm>
                    <a:prstGeom prst="rect">
                      <a:avLst/>
                    </a:prstGeom>
                    <a:noFill/>
                  </pic:spPr>
                </pic:pic>
              </a:graphicData>
            </a:graphic>
          </wp:anchor>
        </w:drawing>
      </w:r>
    </w:p>
    <w:p>
      <w:pPr>
        <w:spacing w:after="0" w:line="31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-121920</wp:posOffset>
            </wp:positionV>
            <wp:extent cx="2518410" cy="29146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518410" cy="291465"/>
                    </a:xfrm>
                    <a:prstGeom prst="rect">
                      <a:avLst/>
                    </a:prstGeom>
                    <a:noFill/>
                  </pic:spPr>
                </pic:pic>
              </a:graphicData>
            </a:graphic>
          </wp:anchor>
        </w:drawing>
      </w:r>
    </w:p>
    <w:p>
      <w:pPr>
        <w:spacing w:after="0" w:line="31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Locations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-121920</wp:posOffset>
            </wp:positionV>
            <wp:extent cx="2518410" cy="29146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518410" cy="291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30" w:hanging="430"/>
        <w:spacing w:after="0"/>
        <w:tabs>
          <w:tab w:leader="none" w:pos="430" w:val="left"/>
        </w:tabs>
        <w:numPr>
          <w:ilvl w:val="0"/>
          <w:numId w:val="679"/>
        </w:numPr>
        <w:rPr>
          <w:rFonts w:ascii="Arial" w:cs="Arial" w:eastAsia="Arial" w:hAnsi="Arial"/>
          <w:sz w:val="18"/>
          <w:szCs w:val="18"/>
          <w:b w:val="1"/>
          <w:bCs w:val="1"/>
          <w:color w:val="auto"/>
        </w:rPr>
      </w:pPr>
      <w:r>
        <w:rPr>
          <w:rFonts w:ascii="Arial" w:cs="Arial" w:eastAsia="Arial" w:hAnsi="Arial"/>
          <w:sz w:val="18"/>
          <w:szCs w:val="18"/>
          <w:color w:val="auto"/>
        </w:rPr>
        <w:t>The following is a list of any and all of Our Affiliates and subsidiaries:</w:t>
      </w:r>
    </w:p>
    <w:p>
      <w:pPr>
        <w:spacing w:after="0" w:line="252"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50952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Type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50952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50952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Organization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50952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97"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Federal Employer Tax</w:t>
      </w:r>
    </w:p>
    <w:p>
      <w:pPr>
        <w:spacing w:after="0" w:line="23"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13970</wp:posOffset>
            </wp:positionV>
            <wp:extent cx="250952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96" w:lineRule="exact"/>
        <w:rPr>
          <w:sz w:val="20"/>
          <w:szCs w:val="20"/>
          <w:color w:val="auto"/>
        </w:rPr>
      </w:pPr>
    </w:p>
    <w:p>
      <w:pPr>
        <w:ind w:left="1770"/>
        <w:spacing w:after="0"/>
        <w:rPr>
          <w:sz w:val="20"/>
          <w:szCs w:val="20"/>
          <w:color w:val="auto"/>
        </w:rPr>
      </w:pPr>
      <w:r>
        <w:rPr>
          <w:rFonts w:ascii="Arial" w:cs="Arial" w:eastAsia="Arial" w:hAnsi="Arial"/>
          <w:sz w:val="18"/>
          <w:szCs w:val="18"/>
          <w:color w:val="auto"/>
        </w:rPr>
        <w:t>Your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50952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45" w:lineRule="exact"/>
        <w:rPr>
          <w:sz w:val="20"/>
          <w:szCs w:val="20"/>
          <w:color w:val="auto"/>
        </w:rPr>
      </w:pPr>
    </w:p>
    <w:p>
      <w:pPr>
        <w:ind w:left="430" w:hanging="430"/>
        <w:spacing w:after="0" w:line="277" w:lineRule="auto"/>
        <w:tabs>
          <w:tab w:leader="none" w:pos="430" w:val="left"/>
        </w:tabs>
        <w:numPr>
          <w:ilvl w:val="0"/>
          <w:numId w:val="680"/>
        </w:numPr>
        <w:rPr>
          <w:rFonts w:ascii="Arial" w:cs="Arial" w:eastAsia="Arial" w:hAnsi="Arial"/>
          <w:sz w:val="18"/>
          <w:szCs w:val="18"/>
          <w:b w:val="1"/>
          <w:bCs w:val="1"/>
          <w:color w:val="auto"/>
        </w:rPr>
      </w:pPr>
      <w:r>
        <w:rPr>
          <w:rFonts w:ascii="Arial" w:cs="Arial" w:eastAsia="Arial" w:hAnsi="Arial"/>
          <w:sz w:val="18"/>
          <w:szCs w:val="18"/>
          <w:color w:val="auto"/>
        </w:rPr>
        <w:t>We currently maintain Deposit Accounts, other accounts holding Investment Property owned by Us, and electronic accounts (such as PayPal or similar accounts) as follows:</w:t>
      </w:r>
    </w:p>
    <w:p>
      <w:pPr>
        <w:spacing w:after="0" w:line="192" w:lineRule="exact"/>
        <w:rPr>
          <w:sz w:val="20"/>
          <w:szCs w:val="20"/>
          <w:color w:val="auto"/>
        </w:rPr>
      </w:pPr>
    </w:p>
    <w:p>
      <w:pPr>
        <w:ind w:left="1270"/>
        <w:spacing w:after="0"/>
        <w:tabs>
          <w:tab w:leader="none" w:pos="5469" w:val="left"/>
          <w:tab w:leader="none" w:pos="8989" w:val="left"/>
        </w:tabs>
        <w:rPr>
          <w:sz w:val="20"/>
          <w:szCs w:val="20"/>
          <w:color w:val="auto"/>
        </w:rPr>
      </w:pPr>
      <w:r>
        <w:rPr>
          <w:rFonts w:ascii="Arial" w:cs="Arial" w:eastAsia="Arial" w:hAnsi="Arial"/>
          <w:sz w:val="14"/>
          <w:szCs w:val="14"/>
          <w:u w:val="single" w:color="auto"/>
          <w:color w:val="auto"/>
        </w:rPr>
        <w:t>Bank Name/Address</w:t>
      </w:r>
      <w:r>
        <w:rPr>
          <w:sz w:val="20"/>
          <w:szCs w:val="20"/>
          <w:color w:val="auto"/>
        </w:rPr>
        <w:tab/>
      </w:r>
      <w:r>
        <w:rPr>
          <w:rFonts w:ascii="Arial" w:cs="Arial" w:eastAsia="Arial" w:hAnsi="Arial"/>
          <w:sz w:val="14"/>
          <w:szCs w:val="14"/>
          <w:u w:val="single" w:color="auto"/>
          <w:color w:val="auto"/>
        </w:rPr>
        <w:t>Account Holder Name</w:t>
      </w:r>
      <w:r>
        <w:rPr>
          <w:sz w:val="20"/>
          <w:szCs w:val="20"/>
          <w:color w:val="auto"/>
        </w:rPr>
        <w:tab/>
      </w:r>
      <w:r>
        <w:rPr>
          <w:rFonts w:ascii="Arial" w:cs="Arial" w:eastAsia="Arial" w:hAnsi="Arial"/>
          <w:sz w:val="13"/>
          <w:szCs w:val="13"/>
          <w:u w:val="single" w:color="auto"/>
          <w:color w:val="auto"/>
        </w:rPr>
        <w:t>Account (Type &amp;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
        <w:spacing w:after="0"/>
        <w:tabs>
          <w:tab w:leader="none" w:pos="409" w:val="left"/>
          <w:tab w:leader="none" w:pos="5429"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color w:val="auto"/>
        </w:rPr>
        <w:t>We currently have the following commercial tort claims: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-7620</wp:posOffset>
            </wp:positionV>
            <wp:extent cx="57086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14" w:lineRule="exact"/>
        <w:rPr>
          <w:sz w:val="20"/>
          <w:szCs w:val="20"/>
          <w:color w:val="auto"/>
        </w:rPr>
      </w:pPr>
    </w:p>
    <w:p>
      <w:pPr>
        <w:ind w:left="430" w:right="260" w:hanging="430"/>
        <w:spacing w:after="0" w:line="277" w:lineRule="auto"/>
        <w:tabs>
          <w:tab w:leader="none" w:pos="430" w:val="left"/>
        </w:tabs>
        <w:numPr>
          <w:ilvl w:val="0"/>
          <w:numId w:val="681"/>
        </w:numPr>
        <w:rPr>
          <w:rFonts w:ascii="Arial" w:cs="Arial" w:eastAsia="Arial" w:hAnsi="Arial"/>
          <w:sz w:val="18"/>
          <w:szCs w:val="18"/>
          <w:b w:val="1"/>
          <w:bCs w:val="1"/>
          <w:color w:val="auto"/>
        </w:rPr>
      </w:pPr>
      <w:r>
        <w:rPr>
          <w:rFonts w:ascii="Arial" w:cs="Arial" w:eastAsia="Arial" w:hAnsi="Arial"/>
          <w:sz w:val="18"/>
          <w:szCs w:val="18"/>
          <w:color w:val="auto"/>
        </w:rPr>
        <w:t>Attached is a current listing of all Patents, Patent Applications, Patent Licenses, Trademarks, Trademark Applications, Trademark Licenses, Copyright Registrations, Copyright Applications for Registration and Copyright Licenses of any of Us.</w:t>
      </w:r>
    </w:p>
    <w:p>
      <w:pPr>
        <w:spacing w:after="0" w:line="170" w:lineRule="exact"/>
        <w:rPr>
          <w:sz w:val="20"/>
          <w:szCs w:val="20"/>
          <w:color w:val="auto"/>
        </w:rPr>
      </w:pPr>
    </w:p>
    <w:p>
      <w:pPr>
        <w:jc w:val="center"/>
        <w:ind w:right="-269"/>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7" w:lineRule="exact"/>
        <w:rPr>
          <w:sz w:val="20"/>
          <w:szCs w:val="20"/>
          <w:color w:val="auto"/>
        </w:rPr>
      </w:pPr>
    </w:p>
    <w:p>
      <w:pPr>
        <w:jc w:val="center"/>
        <w:ind w:right="-26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30"/>
          </w:cols>
          <w:pgMar w:left="450" w:top="274" w:right="719" w:bottom="1440" w:gutter="0" w:footer="0" w:header="0"/>
        </w:sectPr>
      </w:pPr>
    </w:p>
    <w:bookmarkStart w:id="659" w:name="page660"/>
    <w:bookmarkEnd w:id="659"/>
    <w:p>
      <w:pPr>
        <w:jc w:val="right"/>
        <w:ind w:right="7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PERSONALIS,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18440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18440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18440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18440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TO CERTIFICATE OF PERFECTION]</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019"/>
          </w:cols>
          <w:pgMar w:left="1440" w:top="271" w:right="1440" w:bottom="1440" w:gutter="0" w:footer="0" w:header="0"/>
        </w:sectPr>
      </w:pPr>
    </w:p>
    <w:bookmarkStart w:id="660" w:name="page661"/>
    <w:bookmarkEnd w:id="66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4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1"/>
        </w:trPr>
        <w:tc>
          <w:tcPr>
            <w:tcW w:w="9040" w:type="dxa"/>
            <w:vAlign w:val="bottom"/>
          </w:tcPr>
          <w:p>
            <w:pPr>
              <w:spacing w:after="0"/>
              <w:rPr>
                <w:sz w:val="20"/>
                <w:szCs w:val="20"/>
                <w:color w:val="auto"/>
              </w:rPr>
            </w:pPr>
            <w:r>
              <w:rPr>
                <w:rFonts w:ascii="Arial" w:cs="Arial" w:eastAsia="Arial" w:hAnsi="Arial"/>
                <w:sz w:val="18"/>
                <w:szCs w:val="18"/>
                <w:color w:val="auto"/>
                <w:w w:val="91"/>
              </w:rPr>
              <w:t>This Certificate of Compliance shall reference that certain Plain English Revolving Loan and Security Agreement dated as of</w:t>
            </w:r>
          </w:p>
        </w:tc>
        <w:tc>
          <w:tcPr>
            <w:tcW w:w="90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99"/>
              </w:rPr>
              <w:t>, 20   , by</w:t>
            </w:r>
          </w:p>
        </w:tc>
      </w:tr>
      <w:tr>
        <w:trPr>
          <w:trHeight w:val="20"/>
        </w:trPr>
        <w:tc>
          <w:tcPr>
            <w:tcW w:w="9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and between TRIPLEPOINT CAPITAL LLC, PERSONALIS, INC. and any other Person that executes a Joinder Agreement to become a borrower thereunder (the “Loan Agreement”). All terms not defined in this Certificate of Compliance shall have the same meanings as in the Loan Agreement. Pursuant to the terms of the Loan Agreement, each of PERSONALIS, INC. and any other Person that executes a Joinder Agreement to become a borrower under the Loan Agreement hereby certifies, the following as of the date set forth below the signature to this Certificate of Compliance:</w:t>
      </w:r>
    </w:p>
    <w:p>
      <w:pPr>
        <w:spacing w:after="0" w:line="62" w:lineRule="exact"/>
        <w:rPr>
          <w:sz w:val="20"/>
          <w:szCs w:val="20"/>
          <w:color w:val="auto"/>
        </w:rPr>
      </w:pPr>
    </w:p>
    <w:p>
      <w:pPr>
        <w:ind w:left="860" w:hanging="330"/>
        <w:spacing w:after="0" w:line="277" w:lineRule="auto"/>
        <w:tabs>
          <w:tab w:leader="none" w:pos="86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Each of Us is in compliance as of the date of this Certificate of Compliance with all required covenants unless otherwise noted and attached to this Certificate of Compliance.</w:t>
      </w:r>
    </w:p>
    <w:p>
      <w:pPr>
        <w:spacing w:after="0" w:line="75" w:lineRule="exact"/>
        <w:rPr>
          <w:rFonts w:ascii="Arial" w:cs="Arial" w:eastAsia="Arial" w:hAnsi="Arial"/>
          <w:sz w:val="18"/>
          <w:szCs w:val="18"/>
          <w:color w:val="auto"/>
        </w:rPr>
      </w:pPr>
    </w:p>
    <w:p>
      <w:pPr>
        <w:ind w:left="860" w:right="120" w:hanging="330"/>
        <w:spacing w:after="0" w:line="286" w:lineRule="auto"/>
        <w:tabs>
          <w:tab w:leader="none" w:pos="86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Except as noted an attached disclosure schedule, as of the date of this Certificate of Compliance all representations and warranties in the Loan Agreement are true and correct in all material respects except to the extent such representations and warranties expressly relate to an earlier date (in which case, those representations and warranties remain true as of such date).</w:t>
      </w:r>
    </w:p>
    <w:p>
      <w:pPr>
        <w:spacing w:after="0" w:line="5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Disclosure schedule with respect to the representations and warranties in the Loan Agreement:</w:t>
      </w:r>
    </w:p>
    <w:p>
      <w:pPr>
        <w:spacing w:after="0" w:line="9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40" w:type="dxa"/>
            <w:vAlign w:val="bottom"/>
          </w:tcPr>
          <w:p>
            <w:pPr>
              <w:ind w:left="40"/>
              <w:spacing w:after="0"/>
              <w:rPr>
                <w:sz w:val="20"/>
                <w:szCs w:val="20"/>
                <w:color w:val="auto"/>
              </w:rPr>
            </w:pPr>
            <w:r>
              <w:rPr>
                <w:rFonts w:ascii="Arial" w:cs="Arial" w:eastAsia="Arial" w:hAnsi="Arial"/>
                <w:sz w:val="18"/>
                <w:szCs w:val="18"/>
                <w:color w:val="auto"/>
              </w:rPr>
              <w:t>None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40" w:type="dxa"/>
            <w:vAlign w:val="bottom"/>
          </w:tcPr>
          <w:p>
            <w:pPr>
              <w:ind w:left="40"/>
              <w:spacing w:after="0"/>
              <w:rPr>
                <w:sz w:val="20"/>
                <w:szCs w:val="20"/>
                <w:color w:val="auto"/>
              </w:rPr>
            </w:pPr>
            <w:r>
              <w:rPr>
                <w:rFonts w:ascii="Arial" w:cs="Arial" w:eastAsia="Arial" w:hAnsi="Arial"/>
                <w:sz w:val="18"/>
                <w:szCs w:val="18"/>
                <w:color w:val="auto"/>
              </w:rPr>
              <w:t>See attached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gridSpan w:val="3"/>
          </w:tcPr>
          <w:p>
            <w:pPr>
              <w:ind w:left="140"/>
              <w:spacing w:after="0"/>
              <w:rPr>
                <w:sz w:val="20"/>
                <w:szCs w:val="20"/>
                <w:color w:val="auto"/>
              </w:rPr>
            </w:pPr>
            <w:r>
              <w:rPr>
                <w:rFonts w:ascii="Arial" w:cs="Arial" w:eastAsia="Arial" w:hAnsi="Arial"/>
                <w:sz w:val="18"/>
                <w:szCs w:val="18"/>
                <w:color w:val="auto"/>
                <w:w w:val="90"/>
              </w:rPr>
              <w:t>Except as noted in an attached updated Certificate of Perfection, the Certificate of Perfection executed on</w:t>
            </w:r>
          </w:p>
        </w:tc>
        <w:tc>
          <w:tcPr>
            <w:tcW w:w="9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3"/>
              </w:rPr>
              <w:t>, 20   , is true and</w:t>
            </w:r>
          </w:p>
        </w:tc>
      </w:tr>
      <w:tr>
        <w:trPr>
          <w:trHeight w:val="236"/>
        </w:trPr>
        <w:tc>
          <w:tcPr>
            <w:tcW w:w="200" w:type="dxa"/>
            <w:vAlign w:val="bottom"/>
          </w:tcPr>
          <w:p>
            <w:pPr>
              <w:spacing w:after="0"/>
              <w:rPr>
                <w:sz w:val="20"/>
                <w:szCs w:val="20"/>
                <w:color w:val="auto"/>
              </w:rPr>
            </w:pPr>
          </w:p>
        </w:tc>
        <w:tc>
          <w:tcPr>
            <w:tcW w:w="7760" w:type="dxa"/>
            <w:vAlign w:val="bottom"/>
            <w:gridSpan w:val="3"/>
          </w:tcPr>
          <w:p>
            <w:pPr>
              <w:ind w:left="140"/>
              <w:spacing w:after="0"/>
              <w:rPr>
                <w:sz w:val="20"/>
                <w:szCs w:val="20"/>
                <w:color w:val="auto"/>
              </w:rPr>
            </w:pPr>
            <w:r>
              <w:rPr>
                <w:rFonts w:ascii="Arial" w:cs="Arial" w:eastAsia="Arial" w:hAnsi="Arial"/>
                <w:sz w:val="18"/>
                <w:szCs w:val="18"/>
                <w:color w:val="auto"/>
              </w:rPr>
              <w:t>correct as of the date of this Certificate of Compliance.</w:t>
            </w: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324"/>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Updated Certificate of Perfection: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3"/>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40" w:type="dxa"/>
            <w:vAlign w:val="bottom"/>
          </w:tcPr>
          <w:p>
            <w:pPr>
              <w:ind w:left="40"/>
              <w:spacing w:after="0"/>
              <w:rPr>
                <w:sz w:val="20"/>
                <w:szCs w:val="20"/>
                <w:color w:val="auto"/>
              </w:rPr>
            </w:pPr>
            <w:r>
              <w:rPr>
                <w:rFonts w:ascii="Arial" w:cs="Arial" w:eastAsia="Arial" w:hAnsi="Arial"/>
                <w:sz w:val="18"/>
                <w:szCs w:val="18"/>
                <w:color w:val="auto"/>
              </w:rPr>
              <w:t>None</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40" w:type="dxa"/>
            <w:vAlign w:val="bottom"/>
          </w:tcPr>
          <w:p>
            <w:pPr>
              <w:ind w:left="40"/>
              <w:spacing w:after="0"/>
              <w:rPr>
                <w:sz w:val="20"/>
                <w:szCs w:val="20"/>
                <w:color w:val="auto"/>
              </w:rPr>
            </w:pPr>
            <w:r>
              <w:rPr>
                <w:rFonts w:ascii="Arial" w:cs="Arial" w:eastAsia="Arial" w:hAnsi="Arial"/>
                <w:sz w:val="18"/>
                <w:szCs w:val="18"/>
                <w:color w:val="auto"/>
              </w:rPr>
              <w:t>See attached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51"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PERSONALIS,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14605</wp:posOffset>
            </wp:positionV>
            <wp:extent cx="215011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14605</wp:posOffset>
            </wp:positionV>
            <wp:extent cx="215011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14605</wp:posOffset>
            </wp:positionV>
            <wp:extent cx="215011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14605</wp:posOffset>
            </wp:positionV>
            <wp:extent cx="215011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60" w:top="270" w:right="519" w:bottom="1440" w:gutter="0" w:footer="0" w:header="0"/>
        </w:sectPr>
      </w:pPr>
    </w:p>
    <w:bookmarkStart w:id="661" w:name="page662"/>
    <w:bookmarkEnd w:id="661"/>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center"/>
              <w:ind w:right="640"/>
              <w:spacing w:after="0"/>
              <w:rPr>
                <w:sz w:val="20"/>
                <w:szCs w:val="20"/>
                <w:color w:val="auto"/>
              </w:rPr>
            </w:pPr>
            <w:r>
              <w:rPr>
                <w:rFonts w:ascii="Arial" w:cs="Arial" w:eastAsia="Arial" w:hAnsi="Arial"/>
                <w:sz w:val="18"/>
                <w:szCs w:val="18"/>
                <w:color w:val="auto"/>
                <w:w w:val="95"/>
              </w:rPr>
              <w:t>JOINDER AGREEMENT</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7080" w:type="dxa"/>
            <w:vAlign w:val="bottom"/>
            <w:gridSpan w:val="9"/>
          </w:tcPr>
          <w:p>
            <w:pPr>
              <w:ind w:left="880"/>
              <w:spacing w:after="0"/>
              <w:rPr>
                <w:sz w:val="20"/>
                <w:szCs w:val="20"/>
                <w:color w:val="auto"/>
              </w:rPr>
            </w:pPr>
            <w:r>
              <w:rPr>
                <w:rFonts w:ascii="Arial" w:cs="Arial" w:eastAsia="Arial" w:hAnsi="Arial"/>
                <w:sz w:val="18"/>
                <w:szCs w:val="18"/>
                <w:color w:val="auto"/>
                <w:w w:val="96"/>
              </w:rPr>
              <w:t>THIS JOINDER AGREEMENT (the “Agreement”) is made and entered into as of</w:t>
            </w:r>
          </w:p>
        </w:tc>
        <w:tc>
          <w:tcPr>
            <w:tcW w:w="1960" w:type="dxa"/>
            <w:vAlign w:val="bottom"/>
            <w:gridSpan w:val="3"/>
          </w:tcPr>
          <w:p>
            <w:pPr>
              <w:ind w:left="300"/>
              <w:spacing w:after="0"/>
              <w:rPr>
                <w:sz w:val="20"/>
                <w:szCs w:val="20"/>
                <w:color w:val="auto"/>
              </w:rPr>
            </w:pPr>
            <w:r>
              <w:rPr>
                <w:rFonts w:ascii="Arial" w:cs="Arial" w:eastAsia="Arial" w:hAnsi="Arial"/>
                <w:sz w:val="18"/>
                <w:szCs w:val="18"/>
                <w:color w:val="auto"/>
              </w:rPr>
              <w:t>, 20   , by</w:t>
            </w:r>
          </w:p>
        </w:tc>
        <w:tc>
          <w:tcPr>
            <w:tcW w:w="1860" w:type="dxa"/>
            <w:vAlign w:val="bottom"/>
          </w:tcPr>
          <w:p>
            <w:pPr>
              <w:ind w:left="40"/>
              <w:spacing w:after="0"/>
              <w:rPr>
                <w:sz w:val="20"/>
                <w:szCs w:val="20"/>
                <w:color w:val="auto"/>
              </w:rPr>
            </w:pPr>
            <w:r>
              <w:rPr>
                <w:rFonts w:ascii="Arial" w:cs="Arial" w:eastAsia="Arial" w:hAnsi="Arial"/>
                <w:sz w:val="18"/>
                <w:szCs w:val="18"/>
                <w:color w:val="auto"/>
              </w:rPr>
              <w:t>, a</w:t>
            </w: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040" w:type="dxa"/>
            <w:vAlign w:val="bottom"/>
            <w:gridSpan w:val="12"/>
          </w:tcPr>
          <w:p>
            <w:pPr>
              <w:ind w:left="940"/>
              <w:spacing w:after="0" w:line="196" w:lineRule="exact"/>
              <w:rPr>
                <w:sz w:val="20"/>
                <w:szCs w:val="20"/>
                <w:color w:val="auto"/>
              </w:rPr>
            </w:pPr>
            <w:r>
              <w:rPr>
                <w:rFonts w:ascii="Arial" w:cs="Arial" w:eastAsia="Arial" w:hAnsi="Arial"/>
                <w:sz w:val="18"/>
                <w:szCs w:val="18"/>
                <w:color w:val="auto"/>
                <w:w w:val="96"/>
              </w:rPr>
              <w:t>(“Company”) in favor of TRIPLEPOINT CAPTIAL LLC, a Delaware limited liability company (the “Lender”).</w:t>
            </w:r>
          </w:p>
        </w:tc>
        <w:tc>
          <w:tcPr>
            <w:tcW w:w="1860" w:type="dxa"/>
            <w:vAlign w:val="bottom"/>
          </w:tcPr>
          <w:p>
            <w:pPr>
              <w:spacing w:after="0"/>
              <w:rPr>
                <w:sz w:val="17"/>
                <w:szCs w:val="17"/>
                <w:color w:val="auto"/>
              </w:rPr>
            </w:pPr>
          </w:p>
        </w:tc>
      </w:tr>
      <w:tr>
        <w:trPr>
          <w:trHeight w:val="560"/>
        </w:trPr>
        <w:tc>
          <w:tcPr>
            <w:tcW w:w="10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9"/>
              </w:rPr>
              <w:t>RECITALS</w:t>
            </w:r>
          </w:p>
        </w:tc>
        <w:tc>
          <w:tcPr>
            <w:tcW w:w="1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09"/>
        </w:trPr>
        <w:tc>
          <w:tcPr>
            <w:tcW w:w="3100" w:type="dxa"/>
            <w:vAlign w:val="bottom"/>
            <w:gridSpan w:val="3"/>
          </w:tcPr>
          <w:p>
            <w:pPr>
              <w:ind w:left="440"/>
              <w:spacing w:after="0"/>
              <w:rPr>
                <w:sz w:val="20"/>
                <w:szCs w:val="20"/>
                <w:color w:val="auto"/>
              </w:rPr>
            </w:pPr>
            <w:r>
              <w:rPr>
                <w:rFonts w:ascii="Arial" w:cs="Arial" w:eastAsia="Arial" w:hAnsi="Arial"/>
                <w:sz w:val="18"/>
                <w:szCs w:val="18"/>
                <w:color w:val="auto"/>
              </w:rPr>
              <w:t>A.  PERSONALIS, INC. and [</w:t>
            </w:r>
          </w:p>
        </w:tc>
        <w:tc>
          <w:tcPr>
            <w:tcW w:w="560" w:type="dxa"/>
            <w:vAlign w:val="bottom"/>
          </w:tcPr>
          <w:p>
            <w:pPr>
              <w:ind w:left="400"/>
              <w:spacing w:after="0"/>
              <w:rPr>
                <w:sz w:val="20"/>
                <w:szCs w:val="20"/>
                <w:color w:val="auto"/>
              </w:rPr>
            </w:pPr>
            <w:r>
              <w:rPr>
                <w:rFonts w:ascii="Arial" w:cs="Arial" w:eastAsia="Arial" w:hAnsi="Arial"/>
                <w:sz w:val="17"/>
                <w:szCs w:val="17"/>
                <w:color w:val="auto"/>
                <w:w w:val="73"/>
              </w:rPr>
              <w:t>, a</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020" w:type="dxa"/>
            <w:vAlign w:val="bottom"/>
            <w:gridSpan w:val="6"/>
          </w:tcPr>
          <w:p>
            <w:pPr>
              <w:ind w:left="360"/>
              <w:spacing w:after="0"/>
              <w:rPr>
                <w:sz w:val="20"/>
                <w:szCs w:val="20"/>
                <w:color w:val="auto"/>
              </w:rPr>
            </w:pPr>
            <w:r>
              <w:rPr>
                <w:rFonts w:ascii="Arial" w:cs="Arial" w:eastAsia="Arial" w:hAnsi="Arial"/>
                <w:sz w:val="18"/>
                <w:szCs w:val="18"/>
                <w:color w:val="auto"/>
                <w:w w:val="91"/>
              </w:rPr>
              <w:t>] (collectively, the “Borrower”) and Lender have entered into that certain Plain</w:t>
            </w:r>
          </w:p>
        </w:tc>
      </w:tr>
      <w:tr>
        <w:trPr>
          <w:trHeight w:val="230"/>
        </w:trPr>
        <w:tc>
          <w:tcPr>
            <w:tcW w:w="4880" w:type="dxa"/>
            <w:vAlign w:val="bottom"/>
            <w:gridSpan w:val="7"/>
          </w:tcPr>
          <w:p>
            <w:pPr>
              <w:spacing w:after="0"/>
              <w:rPr>
                <w:sz w:val="20"/>
                <w:szCs w:val="20"/>
                <w:color w:val="auto"/>
              </w:rPr>
            </w:pPr>
            <w:r>
              <w:rPr>
                <w:rFonts w:ascii="Arial" w:cs="Arial" w:eastAsia="Arial" w:hAnsi="Arial"/>
                <w:sz w:val="18"/>
                <w:szCs w:val="18"/>
                <w:color w:val="auto"/>
                <w:w w:val="93"/>
              </w:rPr>
              <w:t>English Growth Capital Loan and Security Agreement dated as of</w:t>
            </w:r>
          </w:p>
        </w:tc>
        <w:tc>
          <w:tcPr>
            <w:tcW w:w="6020" w:type="dxa"/>
            <w:vAlign w:val="bottom"/>
            <w:gridSpan w:val="6"/>
          </w:tcPr>
          <w:p>
            <w:pPr>
              <w:ind w:left="560"/>
              <w:spacing w:after="0"/>
              <w:rPr>
                <w:sz w:val="20"/>
                <w:szCs w:val="20"/>
                <w:color w:val="auto"/>
              </w:rPr>
            </w:pPr>
            <w:r>
              <w:rPr>
                <w:rFonts w:ascii="Arial" w:cs="Arial" w:eastAsia="Arial" w:hAnsi="Arial"/>
                <w:sz w:val="18"/>
                <w:szCs w:val="18"/>
                <w:color w:val="auto"/>
                <w:w w:val="96"/>
              </w:rPr>
              <w:t>, 20   (including all annexes, exhibits and schedules thereto, and as the</w:t>
            </w:r>
          </w:p>
        </w:tc>
      </w:tr>
    </w:tbl>
    <w:p>
      <w:pPr>
        <w:jc w:val="both"/>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may be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pursuant to which Lender is providing loans and other financial accommodations to or for the benefit of the Borrower upon the terms and conditions contained therein. Capitalized terms used herein without definitions shall have the respective meanings provided in the Loan Agreement.</w:t>
      </w:r>
    </w:p>
    <w:p>
      <w:pPr>
        <w:spacing w:after="0" w:line="189" w:lineRule="exact"/>
        <w:rPr>
          <w:sz w:val="20"/>
          <w:szCs w:val="20"/>
          <w:color w:val="auto"/>
        </w:rPr>
      </w:pPr>
    </w:p>
    <w:p>
      <w:pPr>
        <w:jc w:val="both"/>
        <w:ind w:right="200" w:firstLine="430"/>
        <w:spacing w:after="0" w:line="263" w:lineRule="auto"/>
        <w:tabs>
          <w:tab w:leader="none" w:pos="782"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The Loan Agreement requires that upon execution and delivery by Company of this Agreement, Company will become a party to the Loan Agreement as a borrower, will become jointly and severally liable for payment of all Secured Obligations under the Loan Agreement and will grant to Lender a Lien in all of Company’s personal property.</w:t>
      </w:r>
    </w:p>
    <w:p>
      <w:pPr>
        <w:spacing w:after="0" w:line="182" w:lineRule="exact"/>
        <w:rPr>
          <w:rFonts w:ascii="Arial" w:cs="Arial" w:eastAsia="Arial" w:hAnsi="Arial"/>
          <w:sz w:val="18"/>
          <w:szCs w:val="18"/>
          <w:color w:val="auto"/>
        </w:rPr>
      </w:pPr>
    </w:p>
    <w:p>
      <w:pPr>
        <w:ind w:right="880" w:firstLine="430"/>
        <w:spacing w:after="0" w:line="277" w:lineRule="auto"/>
        <w:tabs>
          <w:tab w:leader="none" w:pos="78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Company has agreed to execute and deliver this Agreement in order to become a party to the Loan Agreement and the other Loan Documents.</w:t>
      </w:r>
    </w:p>
    <w:p>
      <w:pPr>
        <w:spacing w:after="0" w:line="170" w:lineRule="exact"/>
        <w:rPr>
          <w:sz w:val="20"/>
          <w:szCs w:val="20"/>
          <w:color w:val="auto"/>
        </w:rPr>
      </w:pPr>
    </w:p>
    <w:p>
      <w:pPr>
        <w:ind w:right="20" w:firstLine="880"/>
        <w:spacing w:after="0" w:line="277" w:lineRule="auto"/>
        <w:rPr>
          <w:sz w:val="20"/>
          <w:szCs w:val="20"/>
          <w:color w:val="auto"/>
        </w:rPr>
      </w:pPr>
      <w:r>
        <w:rPr>
          <w:rFonts w:ascii="Arial" w:cs="Arial" w:eastAsia="Arial" w:hAnsi="Arial"/>
          <w:sz w:val="18"/>
          <w:szCs w:val="18"/>
          <w:color w:val="auto"/>
        </w:rPr>
        <w:t>NOW, THEREFORE, in consideration of the premises and of the covenants contained herein and for other good and valuable consideration, the receipt and sufficiency of which are hereby acknowledged,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430"/>
        <w:spacing w:after="0" w:line="291" w:lineRule="auto"/>
        <w:tabs>
          <w:tab w:leader="none" w:pos="755" w:val="left"/>
        </w:tabs>
        <w:numPr>
          <w:ilvl w:val="0"/>
          <w:numId w:val="684"/>
        </w:numPr>
        <w:rPr>
          <w:rFonts w:ascii="Arial" w:cs="Arial" w:eastAsia="Arial" w:hAnsi="Arial"/>
          <w:sz w:val="16"/>
          <w:szCs w:val="16"/>
          <w:color w:val="auto"/>
        </w:rPr>
      </w:pPr>
      <w:r>
        <w:rPr>
          <w:rFonts w:ascii="Arial" w:cs="Arial" w:eastAsia="Arial" w:hAnsi="Arial"/>
          <w:sz w:val="16"/>
          <w:szCs w:val="16"/>
          <w:u w:val="single" w:color="auto"/>
          <w:color w:val="auto"/>
        </w:rPr>
        <w:t>Loan Agreement</w:t>
      </w:r>
      <w:r>
        <w:rPr>
          <w:rFonts w:ascii="Arial" w:cs="Arial" w:eastAsia="Arial" w:hAnsi="Arial"/>
          <w:sz w:val="16"/>
          <w:szCs w:val="16"/>
          <w:color w:val="auto"/>
        </w:rPr>
        <w:t xml:space="preserve">. By executing and delivering this Agreement to Lender, Company hereby becomes a party to the Loan Agreement as a borrower thereunder with the same force and effect as if originally named therein as a borrower and, without limiting the generality of the foregoing, hereby expressly assumes all obligations and liabilities of a borrower thereunder. Company hereby agrees to be bound by all of the terms and provisions of the Loan Agreement and the other Loan Documents, which are incorporated herein by reference as fully as though set forth herein verbatim. Each reference to “You” or borrower in the Loan Agreement and in any other Loan Document shall be deemed to include Company. Company agrees to be jointly and severally liable with the other borrowers under the Loan Agreement for payment of all Secured Obligations thereunder and hereby grants and joins in the grant of a Lien pursuant to </w:t>
      </w:r>
      <w:r>
        <w:rPr>
          <w:rFonts w:ascii="Arial" w:cs="Arial" w:eastAsia="Arial" w:hAnsi="Arial"/>
          <w:sz w:val="16"/>
          <w:szCs w:val="16"/>
          <w:b w:val="1"/>
          <w:bCs w:val="1"/>
          <w:color w:val="auto"/>
        </w:rPr>
        <w:t>Section 8</w:t>
      </w:r>
      <w:r>
        <w:rPr>
          <w:rFonts w:ascii="Arial" w:cs="Arial" w:eastAsia="Arial" w:hAnsi="Arial"/>
          <w:sz w:val="16"/>
          <w:szCs w:val="16"/>
          <w:color w:val="auto"/>
        </w:rPr>
        <w:t xml:space="preserve"> of the Loan Agreement and the cross-guaranty pursuant to </w:t>
      </w:r>
      <w:r>
        <w:rPr>
          <w:rFonts w:ascii="Arial" w:cs="Arial" w:eastAsia="Arial" w:hAnsi="Arial"/>
          <w:sz w:val="16"/>
          <w:szCs w:val="16"/>
          <w:b w:val="1"/>
          <w:bCs w:val="1"/>
          <w:color w:val="auto"/>
        </w:rPr>
        <w:t>Section 17</w:t>
      </w:r>
      <w:r>
        <w:rPr>
          <w:rFonts w:ascii="Arial" w:cs="Arial" w:eastAsia="Arial" w:hAnsi="Arial"/>
          <w:sz w:val="16"/>
          <w:szCs w:val="16"/>
          <w:color w:val="auto"/>
        </w:rPr>
        <w:t xml:space="preserve"> of the Loan Agreement.</w:t>
      </w:r>
    </w:p>
    <w:p>
      <w:pPr>
        <w:spacing w:after="0" w:line="165" w:lineRule="exact"/>
        <w:rPr>
          <w:rFonts w:ascii="Arial" w:cs="Arial" w:eastAsia="Arial" w:hAnsi="Arial"/>
          <w:sz w:val="16"/>
          <w:szCs w:val="16"/>
          <w:color w:val="auto"/>
        </w:rPr>
      </w:pPr>
    </w:p>
    <w:p>
      <w:pPr>
        <w:ind w:right="40" w:firstLine="430"/>
        <w:spacing w:after="0" w:line="307" w:lineRule="auto"/>
        <w:tabs>
          <w:tab w:leader="none" w:pos="755" w:val="left"/>
        </w:tabs>
        <w:numPr>
          <w:ilvl w:val="0"/>
          <w:numId w:val="68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Company hereby represents and warrants to Lender that each of the representations and warranties contained in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of the Loan Agreement is true and correct as of the date hereof and after giving effect to this Agreement.</w:t>
      </w:r>
    </w:p>
    <w:p>
      <w:pPr>
        <w:spacing w:after="0" w:line="147" w:lineRule="exact"/>
        <w:rPr>
          <w:rFonts w:ascii="Arial" w:cs="Arial" w:eastAsia="Arial" w:hAnsi="Arial"/>
          <w:sz w:val="17"/>
          <w:szCs w:val="17"/>
          <w:color w:val="auto"/>
        </w:rPr>
      </w:pPr>
    </w:p>
    <w:p>
      <w:pPr>
        <w:ind w:right="240" w:firstLine="430"/>
        <w:spacing w:after="0" w:line="307" w:lineRule="auto"/>
        <w:tabs>
          <w:tab w:leader="none" w:pos="755" w:val="left"/>
        </w:tabs>
        <w:numPr>
          <w:ilvl w:val="0"/>
          <w:numId w:val="684"/>
        </w:numPr>
        <w:rPr>
          <w:rFonts w:ascii="Arial" w:cs="Arial" w:eastAsia="Arial" w:hAnsi="Arial"/>
          <w:sz w:val="17"/>
          <w:szCs w:val="17"/>
          <w:color w:val="auto"/>
        </w:rPr>
      </w:pPr>
      <w:r>
        <w:rPr>
          <w:rFonts w:ascii="Arial" w:cs="Arial" w:eastAsia="Arial" w:hAnsi="Arial"/>
          <w:sz w:val="17"/>
          <w:szCs w:val="17"/>
          <w:u w:val="single" w:color="auto"/>
          <w:color w:val="auto"/>
        </w:rPr>
        <w:t>Conditions to Advances to Company</w:t>
      </w:r>
      <w:r>
        <w:rPr>
          <w:rFonts w:ascii="Arial" w:cs="Arial" w:eastAsia="Arial" w:hAnsi="Arial"/>
          <w:sz w:val="17"/>
          <w:szCs w:val="17"/>
          <w:color w:val="auto"/>
        </w:rPr>
        <w:t>. Company hereby acknowledges that Lender’s obligation to fund any Advance to Company under the Loan Agreement and this Agreement is subject to delivery of all of the following fully-executed documents to Lender:</w:t>
      </w:r>
    </w:p>
    <w:p>
      <w:pPr>
        <w:spacing w:after="0" w:line="147" w:lineRule="exact"/>
        <w:rPr>
          <w:rFonts w:ascii="Arial" w:cs="Arial" w:eastAsia="Arial" w:hAnsi="Arial"/>
          <w:sz w:val="17"/>
          <w:szCs w:val="17"/>
          <w:color w:val="auto"/>
        </w:rPr>
      </w:pPr>
    </w:p>
    <w:p>
      <w:pPr>
        <w:ind w:left="1260" w:hanging="389"/>
        <w:spacing w:after="0"/>
        <w:tabs>
          <w:tab w:leader="none" w:pos="126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24" w:lineRule="exact"/>
        <w:rPr>
          <w:rFonts w:ascii="Arial" w:cs="Arial" w:eastAsia="Arial" w:hAnsi="Arial"/>
          <w:sz w:val="18"/>
          <w:szCs w:val="18"/>
          <w:color w:val="auto"/>
        </w:rPr>
      </w:pPr>
    </w:p>
    <w:p>
      <w:pPr>
        <w:ind w:left="1260" w:hanging="389"/>
        <w:spacing w:after="0"/>
        <w:tabs>
          <w:tab w:leader="none" w:pos="126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 xml:space="preserve">the executed Certificate of Perfection of Company,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Loan Agreement;</w:t>
      </w:r>
    </w:p>
    <w:p>
      <w:pPr>
        <w:sectPr>
          <w:pgSz w:w="11900" w:h="16838" w:orient="portrait"/>
          <w:cols w:equalWidth="0" w:num="1">
            <w:col w:w="10980"/>
          </w:cols>
          <w:pgMar w:left="460" w:top="258" w:right="459" w:bottom="1440" w:gutter="0" w:footer="0" w:header="0"/>
        </w:sectPr>
      </w:pPr>
    </w:p>
    <w:bookmarkStart w:id="662" w:name="page663"/>
    <w:bookmarkEnd w:id="662"/>
    <w:p>
      <w:pPr>
        <w:ind w:left="1120" w:hanging="249"/>
        <w:spacing w:after="0"/>
        <w:tabs>
          <w:tab w:leader="none" w:pos="11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secretary’s certificate of incumbency and authority for Company;</w:t>
      </w:r>
    </w:p>
    <w:p>
      <w:pPr>
        <w:spacing w:after="0" w:line="224" w:lineRule="exact"/>
        <w:rPr>
          <w:rFonts w:ascii="Arial" w:cs="Arial" w:eastAsia="Arial" w:hAnsi="Arial"/>
          <w:sz w:val="18"/>
          <w:szCs w:val="18"/>
          <w:color w:val="auto"/>
        </w:rPr>
      </w:pPr>
    </w:p>
    <w:p>
      <w:pPr>
        <w:ind w:firstLine="871"/>
        <w:spacing w:after="0" w:line="277" w:lineRule="auto"/>
        <w:tabs>
          <w:tab w:leader="none" w:pos="1125" w:val="left"/>
        </w:tabs>
        <w:numPr>
          <w:ilvl w:val="0"/>
          <w:numId w:val="685"/>
        </w:numPr>
        <w:rPr>
          <w:rFonts w:ascii="Arial" w:cs="Arial" w:eastAsia="Arial" w:hAnsi="Arial"/>
          <w:sz w:val="18"/>
          <w:szCs w:val="18"/>
          <w:color w:val="auto"/>
        </w:rPr>
      </w:pPr>
      <w:r>
        <w:rPr>
          <w:rFonts w:ascii="Arial" w:cs="Arial" w:eastAsia="Arial" w:hAnsi="Arial"/>
          <w:sz w:val="18"/>
          <w:szCs w:val="18"/>
          <w:color w:val="auto"/>
        </w:rPr>
        <w:t>certified copy of resolutions of Company’s board of directors or similar governing body approving this Agreement, the Loan Agreement and the other Loan Documents;</w:t>
      </w:r>
    </w:p>
    <w:p>
      <w:pPr>
        <w:spacing w:after="0" w:line="169" w:lineRule="exact"/>
        <w:rPr>
          <w:rFonts w:ascii="Arial" w:cs="Arial" w:eastAsia="Arial" w:hAnsi="Arial"/>
          <w:sz w:val="18"/>
          <w:szCs w:val="18"/>
          <w:color w:val="auto"/>
        </w:rPr>
      </w:pPr>
    </w:p>
    <w:p>
      <w:pPr>
        <w:ind w:left="1240" w:hanging="369"/>
        <w:spacing w:after="0"/>
        <w:tabs>
          <w:tab w:leader="none" w:pos="124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certified copy of [Certificate of Incorporation] and [By-Laws] for Company, as amended through the date hereof;</w:t>
      </w:r>
    </w:p>
    <w:p>
      <w:pPr>
        <w:spacing w:after="0" w:line="225" w:lineRule="exact"/>
        <w:rPr>
          <w:sz w:val="20"/>
          <w:szCs w:val="20"/>
          <w:color w:val="auto"/>
        </w:rPr>
      </w:pPr>
    </w:p>
    <w:p>
      <w:pPr>
        <w:ind w:right="120" w:firstLine="880"/>
        <w:spacing w:after="0" w:line="277" w:lineRule="auto"/>
        <w:rPr>
          <w:sz w:val="20"/>
          <w:szCs w:val="20"/>
          <w:color w:val="auto"/>
        </w:rPr>
      </w:pPr>
      <w:r>
        <w:rPr>
          <w:rFonts w:ascii="Arial" w:cs="Arial" w:eastAsia="Arial" w:hAnsi="Arial"/>
          <w:sz w:val="18"/>
          <w:szCs w:val="18"/>
          <w:color w:val="auto"/>
        </w:rPr>
        <w:t>(g) a certificate of good standing from the [State of ], and similar certificates from all other jurisdictions where Company does business and where the failure to be qualified could reasonably be expected to have a Material Adverse Effect; and</w:t>
      </w:r>
    </w:p>
    <w:p>
      <w:pPr>
        <w:spacing w:after="0" w:line="166" w:lineRule="exact"/>
        <w:rPr>
          <w:sz w:val="20"/>
          <w:szCs w:val="20"/>
          <w:color w:val="auto"/>
        </w:rPr>
      </w:pPr>
    </w:p>
    <w:p>
      <w:pPr>
        <w:ind w:left="1260" w:hanging="389"/>
        <w:spacing w:after="0"/>
        <w:tabs>
          <w:tab w:leader="none" w:pos="1260" w:val="left"/>
        </w:tabs>
        <w:numPr>
          <w:ilvl w:val="1"/>
          <w:numId w:val="686"/>
        </w:numPr>
        <w:rPr>
          <w:rFonts w:ascii="Arial" w:cs="Arial" w:eastAsia="Arial" w:hAnsi="Arial"/>
          <w:sz w:val="18"/>
          <w:szCs w:val="18"/>
          <w:color w:val="auto"/>
        </w:rPr>
      </w:pPr>
      <w:r>
        <w:rPr>
          <w:rFonts w:ascii="Arial" w:cs="Arial" w:eastAsia="Arial" w:hAnsi="Arial"/>
          <w:sz w:val="18"/>
          <w:szCs w:val="18"/>
          <w:color w:val="auto"/>
        </w:rPr>
        <w:t xml:space="preserve">the other documents, certificates and other information required under </w:t>
      </w:r>
      <w:r>
        <w:rPr>
          <w:rFonts w:ascii="Arial" w:cs="Arial" w:eastAsia="Arial" w:hAnsi="Arial"/>
          <w:sz w:val="18"/>
          <w:szCs w:val="18"/>
          <w:b w:val="1"/>
          <w:bCs w:val="1"/>
          <w:color w:val="auto"/>
        </w:rPr>
        <w:t>Section 5</w:t>
      </w:r>
      <w:r>
        <w:rPr>
          <w:rFonts w:ascii="Arial" w:cs="Arial" w:eastAsia="Arial" w:hAnsi="Arial"/>
          <w:sz w:val="18"/>
          <w:szCs w:val="18"/>
          <w:color w:val="auto"/>
        </w:rPr>
        <w:t xml:space="preserve"> of the Loan Agreement.</w:t>
      </w:r>
    </w:p>
    <w:p>
      <w:pPr>
        <w:spacing w:after="0" w:line="228" w:lineRule="exact"/>
        <w:rPr>
          <w:rFonts w:ascii="Arial" w:cs="Arial" w:eastAsia="Arial" w:hAnsi="Arial"/>
          <w:sz w:val="18"/>
          <w:szCs w:val="18"/>
          <w:color w:val="auto"/>
        </w:rPr>
      </w:pPr>
    </w:p>
    <w:p>
      <w:pPr>
        <w:ind w:left="740" w:hanging="310"/>
        <w:spacing w:after="0"/>
        <w:tabs>
          <w:tab w:leader="none" w:pos="74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recitals to this Agreement shall constitute a part of the agreement of the parties hereto.</w:t>
      </w:r>
    </w:p>
    <w:p>
      <w:pPr>
        <w:spacing w:after="0" w:line="224" w:lineRule="exact"/>
        <w:rPr>
          <w:rFonts w:ascii="Arial" w:cs="Arial" w:eastAsia="Arial" w:hAnsi="Arial"/>
          <w:sz w:val="18"/>
          <w:szCs w:val="18"/>
          <w:color w:val="auto"/>
        </w:rPr>
      </w:pPr>
    </w:p>
    <w:p>
      <w:pPr>
        <w:ind w:right="40" w:firstLine="430"/>
        <w:spacing w:after="0" w:line="263" w:lineRule="auto"/>
        <w:tabs>
          <w:tab w:leader="none" w:pos="755"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made, executed and delivered in the State of California and will be governed and construed for all purposes in accordance with the laws of the State of California, excluding conflict of laws principles that would cause the application of laws of any other jurisdiction.</w:t>
      </w:r>
    </w:p>
    <w:p>
      <w:pPr>
        <w:spacing w:after="0" w:line="182" w:lineRule="exact"/>
        <w:rPr>
          <w:rFonts w:ascii="Arial" w:cs="Arial" w:eastAsia="Arial" w:hAnsi="Arial"/>
          <w:sz w:val="18"/>
          <w:szCs w:val="18"/>
          <w:color w:val="auto"/>
        </w:rPr>
      </w:pPr>
    </w:p>
    <w:p>
      <w:pPr>
        <w:ind w:right="20" w:firstLine="430"/>
        <w:spacing w:after="0" w:line="279" w:lineRule="auto"/>
        <w:tabs>
          <w:tab w:leader="none" w:pos="755" w:val="left"/>
        </w:tabs>
        <w:numPr>
          <w:ilvl w:val="0"/>
          <w:numId w:val="687"/>
        </w:numPr>
        <w:rPr>
          <w:rFonts w:ascii="Arial" w:cs="Arial" w:eastAsia="Arial" w:hAnsi="Arial"/>
          <w:sz w:val="17"/>
          <w:szCs w:val="17"/>
          <w:color w:val="auto"/>
        </w:rPr>
      </w:pPr>
      <w:r>
        <w:rPr>
          <w:rFonts w:ascii="Arial" w:cs="Arial" w:eastAsia="Arial" w:hAnsi="Arial"/>
          <w:sz w:val="17"/>
          <w:szCs w:val="17"/>
          <w:u w:val="single" w:color="auto"/>
          <w:color w:val="auto"/>
        </w:rPr>
        <w:t>Signatures</w:t>
      </w:r>
      <w:r>
        <w:rPr>
          <w:rFonts w:ascii="Arial" w:cs="Arial" w:eastAsia="Arial" w:hAnsi="Arial"/>
          <w:sz w:val="17"/>
          <w:szCs w:val="17"/>
          <w:color w:val="auto"/>
        </w:rPr>
        <w:t>. This Agreement may be executed in any number of counterparts, each of which will be deemed an original, but all such counterparts together constitute one and the same instrument. This Agreement may be executed and delivered by facsimile or transmitted electronically in either Tagged Image Format Files (“</w:t>
      </w:r>
      <w:r>
        <w:rPr>
          <w:rFonts w:ascii="Arial" w:cs="Arial" w:eastAsia="Arial" w:hAnsi="Arial"/>
          <w:sz w:val="17"/>
          <w:szCs w:val="17"/>
          <w:u w:val="single" w:color="auto"/>
          <w:color w:val="auto"/>
        </w:rPr>
        <w:t>TIFF</w:t>
      </w:r>
      <w:r>
        <w:rPr>
          <w:rFonts w:ascii="Arial" w:cs="Arial" w:eastAsia="Arial" w:hAnsi="Arial"/>
          <w:sz w:val="17"/>
          <w:szCs w:val="17"/>
          <w:color w:val="auto"/>
        </w:rPr>
        <w:t>”) or Portable Document Format (“</w:t>
      </w:r>
      <w:r>
        <w:rPr>
          <w:rFonts w:ascii="Arial" w:cs="Arial" w:eastAsia="Arial" w:hAnsi="Arial"/>
          <w:sz w:val="17"/>
          <w:szCs w:val="17"/>
          <w:u w:val="single" w:color="auto"/>
          <w:color w:val="auto"/>
        </w:rPr>
        <w:t>PDF</w:t>
      </w:r>
      <w:r>
        <w:rPr>
          <w:rFonts w:ascii="Arial" w:cs="Arial" w:eastAsia="Arial" w:hAnsi="Arial"/>
          <w:sz w:val="17"/>
          <w:szCs w:val="17"/>
          <w:color w:val="auto"/>
        </w:rPr>
        <w:t>”) and, upon such delivery, the facsimile, TIFF or PDF signature, as applicable, will be deemed to have the same effect as if the original signature had been delivered to the other party.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60" w:top="274" w:right="519" w:bottom="1440" w:gutter="0" w:footer="0" w:header="0"/>
        </w:sectPr>
      </w:pPr>
    </w:p>
    <w:bookmarkStart w:id="663" w:name="page664"/>
    <w:bookmarkEnd w:id="66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Agreement to be executed and delivered as of the date first above written.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TRIPLEPOINT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239839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PERSONALIS,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239839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460" w:top="274" w:right="939" w:bottom="1440" w:gutter="0" w:footer="0" w:header="0"/>
        </w:sectPr>
      </w:pPr>
    </w:p>
    <w:bookmarkStart w:id="664" w:name="page665"/>
    <w:bookmarkEnd w:id="664"/>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40" w:type="dxa"/>
            <w:vAlign w:val="bottom"/>
          </w:tcPr>
          <w:p>
            <w:pPr>
              <w:ind w:left="260"/>
              <w:spacing w:after="0"/>
              <w:rPr>
                <w:sz w:val="20"/>
                <w:szCs w:val="20"/>
                <w:color w:val="auto"/>
              </w:rPr>
            </w:pPr>
            <w:r>
              <w:rPr>
                <w:rFonts w:ascii="Arial" w:cs="Arial" w:eastAsia="Arial" w:hAnsi="Arial"/>
                <w:sz w:val="18"/>
                <w:szCs w:val="18"/>
                <w:b w:val="1"/>
                <w:bCs w:val="1"/>
                <w:color w:val="auto"/>
              </w:rPr>
              <w:t>SCHEDULE 1</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INDEBTEDNESS AND LIENS</w:t>
            </w:r>
          </w:p>
        </w:tc>
        <w:tc>
          <w:tcPr>
            <w:tcW w:w="2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580" w:type="dxa"/>
            <w:vAlign w:val="bottom"/>
          </w:tcPr>
          <w:p>
            <w:pPr>
              <w:spacing w:after="0"/>
              <w:rPr>
                <w:sz w:val="20"/>
                <w:szCs w:val="20"/>
                <w:color w:val="auto"/>
              </w:rPr>
            </w:pPr>
            <w:r>
              <w:rPr>
                <w:rFonts w:ascii="Arial" w:cs="Arial" w:eastAsia="Arial" w:hAnsi="Arial"/>
                <w:sz w:val="18"/>
                <w:szCs w:val="18"/>
                <w:color w:val="auto"/>
              </w:rPr>
              <w:t>Creditor</w:t>
            </w:r>
          </w:p>
        </w:tc>
        <w:tc>
          <w:tcPr>
            <w:tcW w:w="2100" w:type="dxa"/>
            <w:vAlign w:val="bottom"/>
          </w:tcPr>
          <w:p>
            <w:pPr>
              <w:ind w:left="180"/>
              <w:spacing w:after="0"/>
              <w:rPr>
                <w:sz w:val="20"/>
                <w:szCs w:val="20"/>
                <w:color w:val="auto"/>
              </w:rPr>
            </w:pPr>
            <w:r>
              <w:rPr>
                <w:rFonts w:ascii="Arial" w:cs="Arial" w:eastAsia="Arial" w:hAnsi="Arial"/>
                <w:sz w:val="18"/>
                <w:szCs w:val="18"/>
                <w:color w:val="auto"/>
              </w:rPr>
              <w:t>Type of Credit Facility</w:t>
            </w:r>
          </w:p>
        </w:tc>
        <w:tc>
          <w:tcPr>
            <w:tcW w:w="3040" w:type="dxa"/>
            <w:vAlign w:val="bottom"/>
          </w:tcPr>
          <w:p>
            <w:pPr>
              <w:ind w:left="820"/>
              <w:spacing w:after="0"/>
              <w:rPr>
                <w:sz w:val="20"/>
                <w:szCs w:val="20"/>
                <w:color w:val="auto"/>
              </w:rPr>
            </w:pPr>
            <w:r>
              <w:rPr>
                <w:rFonts w:ascii="Arial" w:cs="Arial" w:eastAsia="Arial" w:hAnsi="Arial"/>
                <w:sz w:val="18"/>
                <w:szCs w:val="18"/>
                <w:color w:val="auto"/>
              </w:rPr>
              <w:t>Security Interest/Lien</w:t>
            </w:r>
          </w:p>
        </w:tc>
        <w:tc>
          <w:tcPr>
            <w:tcW w:w="1520" w:type="dxa"/>
            <w:vAlign w:val="bottom"/>
          </w:tcPr>
          <w:p>
            <w:pPr>
              <w:ind w:left="64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30"/>
        </w:trPr>
        <w:tc>
          <w:tcPr>
            <w:tcW w:w="258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2100" w:type="dxa"/>
            <w:vAlign w:val="bottom"/>
          </w:tcPr>
          <w:p>
            <w:pPr>
              <w:spacing w:after="0"/>
              <w:rPr>
                <w:sz w:val="20"/>
                <w:szCs w:val="20"/>
                <w:color w:val="auto"/>
              </w:rPr>
            </w:pPr>
          </w:p>
        </w:tc>
        <w:tc>
          <w:tcPr>
            <w:tcW w:w="3040" w:type="dxa"/>
            <w:vAlign w:val="bottom"/>
          </w:tcPr>
          <w:p>
            <w:pPr>
              <w:ind w:left="820"/>
              <w:spacing w:after="0"/>
              <w:rPr>
                <w:sz w:val="20"/>
                <w:szCs w:val="20"/>
                <w:color w:val="auto"/>
              </w:rPr>
            </w:pPr>
            <w:r>
              <w:rPr>
                <w:rFonts w:ascii="Arial" w:cs="Arial" w:eastAsia="Arial" w:hAnsi="Arial"/>
                <w:sz w:val="18"/>
                <w:szCs w:val="18"/>
                <w:color w:val="auto"/>
              </w:rPr>
              <w:t>Granted</w:t>
            </w:r>
          </w:p>
        </w:tc>
        <w:tc>
          <w:tcPr>
            <w:tcW w:w="1520" w:type="dxa"/>
            <w:vAlign w:val="bottom"/>
          </w:tcPr>
          <w:p>
            <w:pPr>
              <w:ind w:left="64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9"/>
        </w:trPr>
        <w:tc>
          <w:tcPr>
            <w:tcW w:w="258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999"/>
          </w:cols>
          <w:pgMar w:left="460" w:top="271" w:right="1440" w:bottom="1440" w:gutter="0" w:footer="0" w:header="0"/>
        </w:sectPr>
      </w:pPr>
    </w:p>
    <w:bookmarkStart w:id="665" w:name="page666"/>
    <w:bookmarkEnd w:id="6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DOCUMENTS)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0" w:right="1440" w:bottom="1440" w:gutter="0" w:footer="0" w:header="0"/>
        </w:sectPr>
      </w:pPr>
    </w:p>
    <w:bookmarkStart w:id="666" w:name="page667"/>
    <w:bookmarkEnd w:id="666"/>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1687195" cy="50546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clrChange>
                        <a:clrFrom>
                          <a:srgbClr val="FFFFFF"/>
                        </a:clrFrom>
                        <a:clrTo>
                          <a:srgbClr val="FFFFFF">
                            <a:alpha val="0"/>
                          </a:srgbClr>
                        </a:clrTo>
                      </a:clrChange>
                      <a:extLst>
                        <a:ext uri="{28A0092B-C50C-407E-A947-70E740481C1C}"/>
                      </a:extLst>
                    </a:blip>
                    <a:srcRect/>
                    <a:stretch>
                      <a:fillRect/>
                    </a:stretch>
                  </pic:blipFill>
                  <pic:spPr bwMode="auto">
                    <a:xfrm>
                      <a:off x="0" y="0"/>
                      <a:ext cx="1687195" cy="505460"/>
                    </a:xfrm>
                    <a:prstGeom prst="rect">
                      <a:avLst/>
                    </a:prstGeom>
                    <a:noFill/>
                  </pic:spPr>
                </pic:pic>
              </a:graphicData>
            </a:graphic>
          </wp:anchor>
        </w:drawing>
        <w:t>SCHEDULE OF DOCUMENTS — 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2" w:lineRule="exact"/>
        <w:rPr>
          <w:sz w:val="20"/>
          <w:szCs w:val="20"/>
          <w:color w:val="auto"/>
        </w:rPr>
      </w:pPr>
    </w:p>
    <w:p>
      <w:pPr>
        <w:ind w:left="10"/>
        <w:spacing w:after="0"/>
        <w:tabs>
          <w:tab w:leader="none" w:pos="5829"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w:t>
      </w:r>
      <w:r>
        <w:rPr>
          <w:sz w:val="20"/>
          <w:szCs w:val="20"/>
          <w:color w:val="auto"/>
        </w:rPr>
        <w:tab/>
      </w:r>
      <w:r>
        <w:rPr>
          <w:rFonts w:ascii="Arial" w:cs="Arial" w:eastAsia="Arial" w:hAnsi="Arial"/>
          <w:sz w:val="18"/>
          <w:szCs w:val="18"/>
          <w:b w:val="1"/>
          <w:bCs w:val="1"/>
          <w:color w:val="auto"/>
        </w:rPr>
        <w:t>T</w:t>
      </w:r>
      <w:r>
        <w:rPr>
          <w:rFonts w:ascii="Arial" w:cs="Arial" w:eastAsia="Arial" w:hAnsi="Arial"/>
          <w:sz w:val="14"/>
          <w:szCs w:val="14"/>
          <w:b w:val="1"/>
          <w:bCs w:val="1"/>
          <w:color w:val="auto"/>
        </w:rPr>
        <w:t>RIPLE</w:t>
      </w:r>
      <w:r>
        <w:rPr>
          <w:rFonts w:ascii="Arial" w:cs="Arial" w:eastAsia="Arial" w:hAnsi="Arial"/>
          <w:sz w:val="18"/>
          <w:szCs w:val="18"/>
          <w:b w:val="1"/>
          <w:bCs w:val="1"/>
          <w:color w:val="auto"/>
        </w:rPr>
        <w:t>P</w:t>
      </w:r>
      <w:r>
        <w:rPr>
          <w:rFonts w:ascii="Arial" w:cs="Arial" w:eastAsia="Arial" w:hAnsi="Arial"/>
          <w:sz w:val="14"/>
          <w:szCs w:val="14"/>
          <w:b w:val="1"/>
          <w:bCs w:val="1"/>
          <w:color w:val="auto"/>
        </w:rPr>
        <w:t>OINT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ind w:left="10"/>
        <w:spacing w:after="0"/>
        <w:tabs>
          <w:tab w:leader="none" w:pos="5829"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OUNSEL</w:t>
      </w:r>
      <w:r>
        <w:rPr>
          <w:rFonts w:ascii="Arial" w:cs="Arial" w:eastAsia="Arial" w:hAnsi="Arial"/>
          <w:sz w:val="18"/>
          <w:szCs w:val="18"/>
          <w:b w:val="1"/>
          <w:bCs w:val="1"/>
          <w:color w:val="auto"/>
        </w:rPr>
        <w:t xml:space="preserve"> (“LC”)</w:t>
      </w:r>
      <w:r>
        <w:rPr>
          <w:sz w:val="20"/>
          <w:szCs w:val="20"/>
          <w:color w:val="auto"/>
        </w:rPr>
        <w:tab/>
      </w:r>
      <w:r>
        <w:rPr>
          <w:rFonts w:ascii="Arial" w:cs="Arial" w:eastAsia="Arial" w:hAnsi="Arial"/>
          <w:sz w:val="18"/>
          <w:szCs w:val="18"/>
          <w:b w:val="1"/>
          <w:bCs w:val="1"/>
          <w:color w:val="auto"/>
        </w:rPr>
        <w:t>K</w:t>
      </w:r>
      <w:r>
        <w:rPr>
          <w:rFonts w:ascii="Arial" w:cs="Arial" w:eastAsia="Arial" w:hAnsi="Arial"/>
          <w:sz w:val="14"/>
          <w:szCs w:val="14"/>
          <w:b w:val="1"/>
          <w:bCs w:val="1"/>
          <w:color w:val="auto"/>
        </w:rPr>
        <w:t>EVIN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HORNE</w:t>
      </w:r>
      <w:r>
        <w:rPr>
          <w:rFonts w:ascii="Arial" w:cs="Arial" w:eastAsia="Arial" w:hAnsi="Arial"/>
          <w:sz w:val="18"/>
          <w:szCs w:val="18"/>
          <w:b w:val="1"/>
          <w:bCs w:val="1"/>
          <w:color w:val="auto"/>
        </w:rPr>
        <w:t>, K</w:t>
      </w:r>
      <w:r>
        <w:rPr>
          <w:rFonts w:ascii="Arial" w:cs="Arial" w:eastAsia="Arial" w:hAnsi="Arial"/>
          <w:sz w:val="14"/>
          <w:szCs w:val="14"/>
          <w:b w:val="1"/>
          <w:bCs w:val="1"/>
          <w:color w:val="auto"/>
        </w:rPr>
        <w:t>ERRIE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UNSTAN</w:t>
      </w:r>
    </w:p>
    <w:p>
      <w:pPr>
        <w:spacing w:after="0" w:line="9" w:lineRule="exact"/>
        <w:rPr>
          <w:sz w:val="20"/>
          <w:szCs w:val="20"/>
          <w:color w:val="auto"/>
        </w:rPr>
      </w:pPr>
    </w:p>
    <w:p>
      <w:pPr>
        <w:ind w:left="10"/>
        <w:spacing w:after="0"/>
        <w:tabs>
          <w:tab w:leader="none" w:pos="5829"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sz w:val="20"/>
          <w:szCs w:val="20"/>
          <w:color w:val="auto"/>
        </w:rPr>
        <w:tab/>
      </w: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10"/>
        <w:spacing w:after="0"/>
        <w:tabs>
          <w:tab w:leader="none" w:pos="5829"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OUNSEL</w:t>
      </w:r>
      <w:r>
        <w:rPr>
          <w:rFonts w:ascii="Arial" w:cs="Arial" w:eastAsia="Arial" w:hAnsi="Arial"/>
          <w:sz w:val="18"/>
          <w:szCs w:val="18"/>
          <w:b w:val="1"/>
          <w:bCs w:val="1"/>
          <w:color w:val="auto"/>
        </w:rPr>
        <w:t xml:space="preserve"> (“BC”)</w:t>
      </w:r>
      <w:r>
        <w:rPr>
          <w:sz w:val="20"/>
          <w:szCs w:val="20"/>
          <w:color w:val="auto"/>
        </w:rPr>
        <w:tab/>
      </w:r>
      <w:r>
        <w:rPr>
          <w:rFonts w:ascii="Arial" w:cs="Arial" w:eastAsia="Arial" w:hAnsi="Arial"/>
          <w:sz w:val="18"/>
          <w:szCs w:val="18"/>
          <w:b w:val="1"/>
          <w:bCs w:val="1"/>
          <w:color w:val="auto"/>
        </w:rPr>
        <w:t>J</w:t>
      </w:r>
      <w:r>
        <w:rPr>
          <w:rFonts w:ascii="Arial" w:cs="Arial" w:eastAsia="Arial" w:hAnsi="Arial"/>
          <w:sz w:val="14"/>
          <w:szCs w:val="14"/>
          <w:b w:val="1"/>
          <w:bCs w:val="1"/>
          <w:color w:val="auto"/>
        </w:rPr>
        <w:t>OHN</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ALE</w:t>
      </w:r>
      <w:r>
        <w:rPr>
          <w:rFonts w:ascii="Arial" w:cs="Arial" w:eastAsia="Arial" w:hAnsi="Arial"/>
          <w:sz w:val="18"/>
          <w:szCs w:val="18"/>
          <w:b w:val="1"/>
          <w:bCs w:val="1"/>
          <w:color w:val="auto"/>
        </w:rPr>
        <w:t>, 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9" w:lineRule="exact"/>
        <w:rPr>
          <w:sz w:val="20"/>
          <w:szCs w:val="20"/>
          <w:color w:val="auto"/>
        </w:rPr>
      </w:pPr>
    </w:p>
    <w:p>
      <w:pPr>
        <w:ind w:left="10"/>
        <w:spacing w:after="0"/>
        <w:tabs>
          <w:tab w:leader="none" w:pos="5829"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OMPLETED</w:t>
      </w:r>
      <w:r>
        <w:rPr>
          <w:sz w:val="20"/>
          <w:szCs w:val="20"/>
          <w:color w:val="auto"/>
        </w:rPr>
        <w:tab/>
      </w:r>
      <w:r>
        <w:rPr>
          <w:rFonts w:ascii="Arial" w:cs="Arial" w:eastAsia="Arial" w:hAnsi="Arial"/>
          <w:sz w:val="18"/>
          <w:szCs w:val="18"/>
          <w:b w:val="1"/>
          <w:bCs w:val="1"/>
          <w:color w:val="auto"/>
        </w:rPr>
        <w:t>“XX”</w:t>
      </w:r>
    </w:p>
    <w:p>
      <w:pPr>
        <w:spacing w:after="0" w:line="233" w:lineRule="exact"/>
        <w:rPr>
          <w:sz w:val="20"/>
          <w:szCs w:val="20"/>
          <w:color w:val="auto"/>
        </w:rPr>
      </w:pPr>
    </w:p>
    <w:p>
      <w:pPr>
        <w:ind w:left="10"/>
        <w:spacing w:after="0"/>
        <w:tabs>
          <w:tab w:leader="none" w:pos="8269" w:val="left"/>
          <w:tab w:leader="none" w:pos="10089" w:val="left"/>
        </w:tabs>
        <w:rPr>
          <w:sz w:val="20"/>
          <w:szCs w:val="20"/>
          <w:color w:val="auto"/>
        </w:rPr>
      </w:pPr>
      <w:r>
        <w:rPr>
          <w:rFonts w:ascii="Arial" w:cs="Arial" w:eastAsia="Arial" w:hAnsi="Arial"/>
          <w:sz w:val="14"/>
          <w:szCs w:val="14"/>
          <w:color w:val="auto"/>
        </w:rPr>
        <w:t>Item</w:t>
      </w:r>
      <w:r>
        <w:rPr>
          <w:sz w:val="20"/>
          <w:szCs w:val="20"/>
          <w:color w:val="auto"/>
        </w:rPr>
        <w:tab/>
      </w:r>
      <w:r>
        <w:rPr>
          <w:rFonts w:ascii="Arial" w:cs="Arial" w:eastAsia="Arial" w:hAnsi="Arial"/>
          <w:sz w:val="14"/>
          <w:szCs w:val="14"/>
          <w:color w:val="auto"/>
        </w:rPr>
        <w:t>Resp. Party</w:t>
      </w:r>
      <w:r>
        <w:rPr>
          <w:sz w:val="20"/>
          <w:szCs w:val="20"/>
          <w:color w:val="auto"/>
        </w:rPr>
        <w:tab/>
      </w:r>
      <w:r>
        <w:rPr>
          <w:rFonts w:ascii="Arial" w:cs="Arial" w:eastAsia="Arial" w:hAnsi="Arial"/>
          <w:sz w:val="12"/>
          <w:szCs w:val="12"/>
          <w:color w:val="auto"/>
        </w:rPr>
        <w:t>Status</w:t>
      </w:r>
    </w:p>
    <w:p>
      <w:pPr>
        <w:spacing w:after="0" w:line="8" w:lineRule="exact"/>
        <w:rPr>
          <w:sz w:val="20"/>
          <w:szCs w:val="20"/>
          <w:color w:val="auto"/>
        </w:rPr>
      </w:pPr>
    </w:p>
    <w:p>
      <w:pPr>
        <w:ind w:left="490" w:hanging="490"/>
        <w:spacing w:after="0"/>
        <w:tabs>
          <w:tab w:leader="none" w:pos="49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PRINCIPAL LOAN DOCUMENTS</w:t>
      </w:r>
    </w:p>
    <w:p>
      <w:pPr>
        <w:spacing w:after="0" w:line="2" w:lineRule="exact"/>
        <w:rPr>
          <w:sz w:val="20"/>
          <w:szCs w:val="20"/>
          <w:color w:val="auto"/>
        </w:rPr>
      </w:pPr>
    </w:p>
    <w:tbl>
      <w:tblPr>
        <w:tblLayout w:type="fixed"/>
        <w:tblInd w:w="490" w:type="dxa"/>
        <w:tblCellMar>
          <w:top w:w="0" w:type="dxa"/>
          <w:left w:w="0" w:type="dxa"/>
          <w:bottom w:w="0" w:type="dxa"/>
          <w:right w:w="0" w:type="dxa"/>
        </w:tblCellMar>
      </w:tblPr>
      <w:tr>
        <w:trPr>
          <w:trHeight w:val="207"/>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8"/>
              </w:rPr>
              <w:t>Plain English Revolving Loan and Security Agreement, executed by Borrower and Lender,</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LC/BC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rPr>
              <w:t>XX</w:t>
            </w:r>
          </w:p>
        </w:tc>
      </w:tr>
      <w:tr>
        <w:trPr>
          <w:trHeight w:val="216"/>
        </w:trPr>
        <w:tc>
          <w:tcPr>
            <w:tcW w:w="24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together with:</w:t>
            </w:r>
          </w:p>
        </w:tc>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1.1</w:t>
            </w:r>
          </w:p>
        </w:tc>
        <w:tc>
          <w:tcPr>
            <w:tcW w:w="6820" w:type="dxa"/>
            <w:vAlign w:val="bottom"/>
          </w:tcPr>
          <w:p>
            <w:pPr>
              <w:ind w:left="60"/>
              <w:spacing w:after="0"/>
              <w:rPr>
                <w:sz w:val="20"/>
                <w:szCs w:val="20"/>
                <w:color w:val="auto"/>
              </w:rPr>
            </w:pPr>
            <w:r>
              <w:rPr>
                <w:rFonts w:ascii="Arial" w:cs="Arial" w:eastAsia="Arial" w:hAnsi="Arial"/>
                <w:sz w:val="18"/>
                <w:szCs w:val="18"/>
                <w:color w:val="auto"/>
              </w:rPr>
              <w:t>Disclosure Schedules</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7"/>
              </w:rPr>
              <w:t>n/a</w:t>
            </w:r>
          </w:p>
        </w:tc>
      </w:tr>
      <w:tr>
        <w:trPr>
          <w:trHeight w:val="216"/>
        </w:trPr>
        <w:tc>
          <w:tcPr>
            <w:tcW w:w="2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1.2</w:t>
            </w:r>
          </w:p>
        </w:tc>
        <w:tc>
          <w:tcPr>
            <w:tcW w:w="6820" w:type="dxa"/>
            <w:vAlign w:val="bottom"/>
          </w:tcPr>
          <w:p>
            <w:pPr>
              <w:ind w:left="60"/>
              <w:spacing w:after="0"/>
              <w:rPr>
                <w:sz w:val="20"/>
                <w:szCs w:val="20"/>
                <w:color w:val="auto"/>
              </w:rPr>
            </w:pPr>
            <w:r>
              <w:rPr>
                <w:rFonts w:ascii="Arial" w:cs="Arial" w:eastAsia="Arial" w:hAnsi="Arial"/>
                <w:sz w:val="18"/>
                <w:szCs w:val="18"/>
                <w:color w:val="auto"/>
              </w:rPr>
              <w:t>Exhibits</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LC/BC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rPr>
              <w:t>XX</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Plain English Revolving Promissory Note, Trance A</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LC/BC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rPr>
              <w:t>XX</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Warrant Agreement, 1115-W-01, executed by Borrower and Lender</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LC/BC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rPr>
              <w:t>XX</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6"/>
              </w:rPr>
              <w:t>Subordination Agreement between Lender and Convertible Debt Providers acknowledged by</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LC/BC</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2"/>
              </w:rPr>
              <w:t>2 main VCs</w:t>
            </w:r>
          </w:p>
        </w:tc>
      </w:tr>
      <w:tr>
        <w:trPr>
          <w:trHeight w:val="216"/>
        </w:trPr>
        <w:tc>
          <w:tcPr>
            <w:tcW w:w="24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Borrower</w:t>
            </w:r>
          </w:p>
        </w:tc>
        <w:tc>
          <w:tcPr>
            <w:tcW w:w="1280" w:type="dxa"/>
            <w:vAlign w:val="bottom"/>
          </w:tcPr>
          <w:p>
            <w:pPr>
              <w:spacing w:after="0"/>
              <w:rPr>
                <w:sz w:val="18"/>
                <w:szCs w:val="18"/>
                <w:color w:val="auto"/>
              </w:rPr>
            </w:pP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signatures received;</w:t>
            </w:r>
          </w:p>
        </w:tc>
      </w:tr>
      <w:tr>
        <w:trPr>
          <w:trHeight w:val="216"/>
        </w:trPr>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remainder due by</w:t>
            </w:r>
          </w:p>
        </w:tc>
      </w:tr>
      <w:tr>
        <w:trPr>
          <w:trHeight w:val="230"/>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91"/>
              </w:rPr>
              <w:t>7/14</w:t>
            </w:r>
          </w:p>
        </w:tc>
      </w:tr>
    </w:tbl>
    <w:p>
      <w:pPr>
        <w:spacing w:after="0" w:line="1" w:lineRule="exact"/>
        <w:rPr>
          <w:sz w:val="20"/>
          <w:szCs w:val="20"/>
          <w:color w:val="auto"/>
        </w:rPr>
      </w:pPr>
    </w:p>
    <w:p>
      <w:pPr>
        <w:sectPr>
          <w:pgSz w:w="11900" w:h="16838" w:orient="portrait"/>
          <w:cols w:equalWidth="0" w:num="1">
            <w:col w:w="11010"/>
          </w:cols>
          <w:pgMar w:left="450" w:top="1283" w:right="439" w:bottom="1440" w:gutter="0" w:footer="0" w:header="0"/>
        </w:sectPr>
      </w:pPr>
    </w:p>
    <w:p>
      <w:pPr>
        <w:ind w:left="490" w:hanging="490"/>
        <w:spacing w:after="0"/>
        <w:tabs>
          <w:tab w:leader="none" w:pos="49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SECURITY DOCUMENTS</w:t>
      </w:r>
    </w:p>
    <w:p>
      <w:pPr>
        <w:spacing w:after="0" w:line="8" w:lineRule="exact"/>
        <w:rPr>
          <w:rFonts w:ascii="Arial" w:cs="Arial" w:eastAsia="Arial" w:hAnsi="Arial"/>
          <w:sz w:val="18"/>
          <w:szCs w:val="18"/>
          <w:color w:val="auto"/>
        </w:rPr>
      </w:pPr>
    </w:p>
    <w:p>
      <w:pPr>
        <w:ind w:left="830" w:hanging="344"/>
        <w:spacing w:after="0"/>
        <w:tabs>
          <w:tab w:leader="none" w:pos="830" w:val="left"/>
        </w:tabs>
        <w:numPr>
          <w:ilvl w:val="1"/>
          <w:numId w:val="689"/>
        </w:numPr>
        <w:rPr>
          <w:rFonts w:ascii="Arial" w:cs="Arial" w:eastAsia="Arial" w:hAnsi="Arial"/>
          <w:sz w:val="15"/>
          <w:szCs w:val="15"/>
          <w:color w:val="auto"/>
        </w:rPr>
      </w:pPr>
      <w:r>
        <w:rPr>
          <w:rFonts w:ascii="Arial" w:cs="Arial" w:eastAsia="Arial" w:hAnsi="Arial"/>
          <w:sz w:val="15"/>
          <w:szCs w:val="15"/>
          <w:color w:val="auto"/>
        </w:rPr>
        <w:t>Charge Over Shares executed by Parent and Lender, pledging shares of:</w:t>
      </w:r>
    </w:p>
    <w:p>
      <w:pPr>
        <w:spacing w:after="0" w:line="271" w:lineRule="exact"/>
        <w:rPr>
          <w:rFonts w:ascii="Arial" w:cs="Arial" w:eastAsia="Arial" w:hAnsi="Arial"/>
          <w:sz w:val="15"/>
          <w:szCs w:val="15"/>
          <w:color w:val="auto"/>
        </w:rPr>
      </w:pPr>
    </w:p>
    <w:p>
      <w:pPr>
        <w:ind w:left="1550" w:hanging="345"/>
        <w:spacing w:after="0"/>
        <w:tabs>
          <w:tab w:leader="none" w:pos="1550" w:val="left"/>
        </w:tabs>
        <w:numPr>
          <w:ilvl w:val="2"/>
          <w:numId w:val="689"/>
        </w:numPr>
        <w:rPr>
          <w:rFonts w:ascii="Arial" w:cs="Arial" w:eastAsia="Arial" w:hAnsi="Arial"/>
          <w:sz w:val="18"/>
          <w:szCs w:val="18"/>
          <w:color w:val="auto"/>
        </w:rPr>
      </w:pPr>
      <w:r>
        <w:rPr>
          <w:rFonts w:ascii="Arial" w:cs="Arial" w:eastAsia="Arial" w:hAnsi="Arial"/>
          <w:sz w:val="18"/>
          <w:szCs w:val="18"/>
          <w:color w:val="auto"/>
        </w:rPr>
        <w:t>Personalis (UK) Limited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Deferred; Borrower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shall execute in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acceptable to</w:t>
      </w:r>
    </w:p>
    <w:p>
      <w:pPr>
        <w:spacing w:after="0" w:line="20" w:lineRule="exact"/>
        <w:rPr>
          <w:sz w:val="20"/>
          <w:szCs w:val="20"/>
          <w:color w:val="auto"/>
        </w:rPr>
      </w:pPr>
    </w:p>
    <w:p>
      <w:pPr>
        <w:ind w:left="40" w:right="40" w:hanging="1234"/>
        <w:spacing w:after="0" w:line="281" w:lineRule="auto"/>
        <w:tabs>
          <w:tab w:leader="none" w:pos="20" w:val="left"/>
        </w:tabs>
        <w:rPr>
          <w:sz w:val="20"/>
          <w:szCs w:val="20"/>
          <w:color w:val="auto"/>
        </w:rPr>
      </w:pPr>
      <w:r>
        <w:rPr>
          <w:rFonts w:ascii="Arial" w:cs="Arial" w:eastAsia="Arial" w:hAnsi="Arial"/>
          <w:sz w:val="18"/>
          <w:szCs w:val="18"/>
          <w:color w:val="auto"/>
        </w:rPr>
        <w:t>LC/BC</w:t>
      </w:r>
      <w:r>
        <w:rPr>
          <w:sz w:val="20"/>
          <w:szCs w:val="20"/>
          <w:color w:val="auto"/>
        </w:rPr>
        <w:tab/>
      </w:r>
      <w:r>
        <w:rPr>
          <w:rFonts w:ascii="Arial" w:cs="Arial" w:eastAsia="Arial" w:hAnsi="Arial"/>
          <w:sz w:val="16"/>
          <w:szCs w:val="16"/>
          <w:color w:val="auto"/>
        </w:rPr>
        <w:t>Lender upon 30 days written notice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Lender, if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required.</w:t>
      </w:r>
    </w:p>
    <w:p>
      <w:pPr>
        <w:sectPr>
          <w:pgSz w:w="11900" w:h="16838" w:orient="portrait"/>
          <w:cols w:equalWidth="0" w:num="2">
            <w:col w:w="8850" w:space="720"/>
            <w:col w:w="1440"/>
          </w:cols>
          <w:pgMar w:left="450" w:top="1283" w:right="439" w:bottom="1440" w:gutter="0" w:footer="0" w:header="0"/>
          <w:type w:val="continuous"/>
        </w:sectPr>
      </w:pPr>
    </w:p>
    <w:bookmarkStart w:id="667" w:name="page668"/>
    <w:bookmarkEnd w:id="667"/>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  Schedules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  Stock Transfer Form</w:t>
      </w:r>
    </w:p>
    <w:p>
      <w:pPr>
        <w:spacing w:after="0" w:line="9" w:lineRule="exact"/>
        <w:rPr>
          <w:sz w:val="20"/>
          <w:szCs w:val="20"/>
          <w:color w:val="auto"/>
        </w:rPr>
      </w:pPr>
    </w:p>
    <w:p>
      <w:pPr>
        <w:ind w:left="780" w:hanging="345"/>
        <w:spacing w:after="0"/>
        <w:tabs>
          <w:tab w:leader="none" w:pos="7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Certificates of Perfection executed by Borrower</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Deposit Account Control Agreements executed by Borrower, Lender and Bank:</w:t>
      </w:r>
    </w:p>
    <w:p>
      <w:pPr>
        <w:spacing w:after="0" w:line="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7.1  SVB-8632</w:t>
      </w:r>
    </w:p>
    <w:p>
      <w:pPr>
        <w:spacing w:after="0" w:line="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7.2  SVB Asset Mgt — 19-SV958</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780" w:hanging="345"/>
        <w:spacing w:after="0"/>
        <w:tabs>
          <w:tab w:leader="none" w:pos="780" w:val="left"/>
        </w:tabs>
        <w:numPr>
          <w:ilvl w:val="1"/>
          <w:numId w:val="690"/>
        </w:numPr>
        <w:rPr>
          <w:rFonts w:ascii="Arial" w:cs="Arial" w:eastAsia="Arial" w:hAnsi="Arial"/>
          <w:sz w:val="16"/>
          <w:szCs w:val="16"/>
          <w:color w:val="auto"/>
        </w:rPr>
      </w:pPr>
      <w:r>
        <w:rPr>
          <w:rFonts w:ascii="Arial" w:cs="Arial" w:eastAsia="Arial" w:hAnsi="Arial"/>
          <w:sz w:val="16"/>
          <w:szCs w:val="16"/>
          <w:color w:val="auto"/>
        </w:rPr>
        <w:t>Landlord Waivers executed by the landlords party to the leases for the following locations:</w:t>
      </w:r>
    </w:p>
    <w:p>
      <w:pPr>
        <w:spacing w:after="0" w:line="46" w:lineRule="exact"/>
        <w:rPr>
          <w:rFonts w:ascii="Arial" w:cs="Arial" w:eastAsia="Arial" w:hAnsi="Arial"/>
          <w:sz w:val="16"/>
          <w:szCs w:val="16"/>
          <w:color w:val="auto"/>
        </w:rPr>
      </w:pPr>
    </w:p>
    <w:p>
      <w:pPr>
        <w:ind w:left="1500" w:hanging="345"/>
        <w:spacing w:after="0"/>
        <w:tabs>
          <w:tab w:leader="none" w:pos="1500" w:val="left"/>
        </w:tabs>
        <w:numPr>
          <w:ilvl w:val="2"/>
          <w:numId w:val="690"/>
        </w:numPr>
        <w:rPr>
          <w:rFonts w:ascii="Arial" w:cs="Arial" w:eastAsia="Arial" w:hAnsi="Arial"/>
          <w:sz w:val="18"/>
          <w:szCs w:val="18"/>
          <w:color w:val="auto"/>
        </w:rPr>
      </w:pPr>
      <w:r>
        <w:rPr>
          <w:rFonts w:ascii="Arial" w:cs="Arial" w:eastAsia="Arial" w:hAnsi="Arial"/>
          <w:sz w:val="18"/>
          <w:szCs w:val="18"/>
          <w:color w:val="auto"/>
        </w:rPr>
        <w:t>1330 O’Brien Dr., Menlo Park, CA</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1"/>
          <w:numId w:val="690"/>
        </w:numPr>
        <w:rPr>
          <w:rFonts w:ascii="Arial" w:cs="Arial" w:eastAsia="Arial" w:hAnsi="Arial"/>
          <w:sz w:val="16"/>
          <w:szCs w:val="16"/>
          <w:color w:val="auto"/>
        </w:rPr>
      </w:pPr>
      <w:r>
        <w:rPr>
          <w:rFonts w:ascii="Arial" w:cs="Arial" w:eastAsia="Arial" w:hAnsi="Arial"/>
          <w:sz w:val="16"/>
          <w:szCs w:val="16"/>
          <w:color w:val="auto"/>
        </w:rPr>
        <w:t xml:space="preserve">Co-Location Agreement, executed by the bailee(s) for the following location(s) </w:t>
      </w:r>
      <w:r>
        <w:rPr>
          <w:rFonts w:ascii="Arial" w:cs="Arial" w:eastAsia="Arial" w:hAnsi="Arial"/>
          <w:sz w:val="16"/>
          <w:szCs w:val="16"/>
          <w:i w:val="1"/>
          <w:iCs w:val="1"/>
          <w:color w:val="auto"/>
        </w:rPr>
        <w:t>if Necessary</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1500" w:hanging="345"/>
        <w:spacing w:after="0"/>
        <w:tabs>
          <w:tab w:leader="none" w:pos="1500" w:val="left"/>
        </w:tabs>
        <w:numPr>
          <w:ilvl w:val="2"/>
          <w:numId w:val="690"/>
        </w:numPr>
        <w:rPr>
          <w:rFonts w:ascii="Arial" w:cs="Arial" w:eastAsia="Arial" w:hAnsi="Arial"/>
          <w:sz w:val="18"/>
          <w:szCs w:val="18"/>
          <w:color w:val="auto"/>
        </w:rPr>
      </w:pPr>
      <w:r>
        <w:rPr>
          <w:rFonts w:ascii="Arial" w:cs="Arial" w:eastAsia="Arial" w:hAnsi="Arial"/>
          <w:sz w:val="18"/>
          <w:szCs w:val="18"/>
          <w:color w:val="auto"/>
        </w:rPr>
        <w:t>SVColo</w:t>
      </w:r>
    </w:p>
    <w:p>
      <w:pPr>
        <w:spacing w:after="0" w:line="8" w:lineRule="exact"/>
        <w:rPr>
          <w:rFonts w:ascii="Arial" w:cs="Arial" w:eastAsia="Arial" w:hAnsi="Arial"/>
          <w:sz w:val="18"/>
          <w:szCs w:val="18"/>
          <w:color w:val="auto"/>
        </w:rPr>
      </w:pPr>
    </w:p>
    <w:p>
      <w:pPr>
        <w:ind w:left="700" w:hanging="265"/>
        <w:spacing w:after="0"/>
        <w:tabs>
          <w:tab w:leader="none" w:pos="70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[Bailee Letters, executed by bailees for the following inventory locations:]</w:t>
      </w:r>
    </w:p>
    <w:p>
      <w:pPr>
        <w:spacing w:after="0" w:line="8" w:lineRule="exact"/>
        <w:rPr>
          <w:rFonts w:ascii="Arial" w:cs="Arial" w:eastAsia="Arial" w:hAnsi="Arial"/>
          <w:sz w:val="18"/>
          <w:szCs w:val="18"/>
          <w:color w:val="auto"/>
        </w:rPr>
      </w:pPr>
    </w:p>
    <w:p>
      <w:pPr>
        <w:ind w:left="1500" w:hanging="345"/>
        <w:spacing w:after="0"/>
        <w:tabs>
          <w:tab w:leader="none" w:pos="1500" w:val="left"/>
        </w:tabs>
        <w:numPr>
          <w:ilvl w:val="2"/>
          <w:numId w:val="690"/>
        </w:numPr>
        <w:rPr>
          <w:rFonts w:ascii="Arial" w:cs="Arial" w:eastAsia="Arial" w:hAnsi="Arial"/>
          <w:sz w:val="18"/>
          <w:szCs w:val="18"/>
          <w:color w:val="auto"/>
        </w:rPr>
      </w:pPr>
      <w:r>
        <w:rPr>
          <w:rFonts w:ascii="Arial" w:cs="Arial" w:eastAsia="Arial" w:hAnsi="Arial"/>
          <w:sz w:val="18"/>
          <w:szCs w:val="18"/>
          <w:color w:val="auto"/>
        </w:rPr>
        <w:t>No locations</w:t>
      </w:r>
    </w:p>
    <w:p>
      <w:pPr>
        <w:spacing w:after="0" w:line="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III.   DUE DILIGENCE</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Legal Due Diligence Questionnaire (Borrower)</w:t>
      </w:r>
    </w:p>
    <w:p>
      <w:pPr>
        <w:spacing w:after="0" w:line="8" w:lineRule="exact"/>
        <w:rPr>
          <w:rFonts w:ascii="Arial" w:cs="Arial" w:eastAsia="Arial" w:hAnsi="Arial"/>
          <w:sz w:val="18"/>
          <w:szCs w:val="18"/>
          <w:color w:val="auto"/>
        </w:rPr>
      </w:pPr>
    </w:p>
    <w:p>
      <w:pPr>
        <w:ind w:left="800" w:right="660" w:hanging="365"/>
        <w:spacing w:after="0" w:line="250" w:lineRule="auto"/>
        <w:tabs>
          <w:tab w:leader="none" w:pos="791" w:val="left"/>
        </w:tabs>
        <w:numPr>
          <w:ilvl w:val="1"/>
          <w:numId w:val="690"/>
        </w:numPr>
        <w:rPr>
          <w:rFonts w:ascii="Arial" w:cs="Arial" w:eastAsia="Arial" w:hAnsi="Arial"/>
          <w:sz w:val="18"/>
          <w:szCs w:val="18"/>
          <w:color w:val="auto"/>
        </w:rPr>
      </w:pPr>
      <w:r>
        <w:rPr>
          <w:rFonts w:ascii="Arial" w:cs="Arial" w:eastAsia="Arial" w:hAnsi="Arial"/>
          <w:sz w:val="18"/>
          <w:szCs w:val="18"/>
          <w:color w:val="auto"/>
        </w:rPr>
        <w:t xml:space="preserve">Pre-Closing Lien Search Reports detailing the searches in those jurisdictions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a summary thereof</w:t>
      </w:r>
    </w:p>
    <w:p>
      <w:pPr>
        <w:spacing w:after="0"/>
        <w:tabs>
          <w:tab w:leader="none" w:pos="420" w:val="left"/>
        </w:tabs>
        <w:rPr>
          <w:sz w:val="20"/>
          <w:szCs w:val="20"/>
          <w:color w:val="auto"/>
        </w:rPr>
      </w:pPr>
      <w:r>
        <w:rPr>
          <w:rFonts w:ascii="Arial" w:cs="Arial" w:eastAsia="Arial" w:hAnsi="Arial"/>
          <w:sz w:val="18"/>
          <w:szCs w:val="18"/>
          <w:color w:val="auto"/>
        </w:rPr>
        <w:t>IV.</w:t>
        <w:tab/>
        <w:t>ANCILLARY DOCUMENTS</w:t>
      </w:r>
    </w:p>
    <w:p>
      <w:pPr>
        <w:spacing w:after="0" w:line="22" w:lineRule="exact"/>
        <w:rPr>
          <w:sz w:val="20"/>
          <w:szCs w:val="20"/>
          <w:color w:val="auto"/>
        </w:rPr>
      </w:pPr>
    </w:p>
    <w:p>
      <w:pPr>
        <w:ind w:left="780" w:hanging="345"/>
        <w:spacing w:after="0"/>
        <w:tabs>
          <w:tab w:leader="none" w:pos="7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ACH Direct Payment Form</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Advance Request</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Proposal Letter among the Borrower and Lender</w:t>
      </w:r>
    </w:p>
    <w:p>
      <w:pPr>
        <w:spacing w:after="0" w:line="8" w:lineRule="exact"/>
        <w:rPr>
          <w:rFonts w:ascii="Arial" w:cs="Arial" w:eastAsia="Arial" w:hAnsi="Arial"/>
          <w:sz w:val="18"/>
          <w:szCs w:val="18"/>
          <w:color w:val="auto"/>
        </w:rPr>
      </w:pPr>
    </w:p>
    <w:p>
      <w:pPr>
        <w:ind w:left="780" w:hanging="345"/>
        <w:spacing w:after="0"/>
        <w:tabs>
          <w:tab w:leader="none" w:pos="7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Insurance Policies/Certificates naming Lender as additional insured/loss payee</w:t>
      </w:r>
    </w:p>
    <w:p>
      <w:pPr>
        <w:spacing w:after="0" w:line="115" w:lineRule="exact"/>
        <w:rPr>
          <w:rFonts w:ascii="Arial" w:cs="Arial" w:eastAsia="Arial" w:hAnsi="Arial"/>
          <w:sz w:val="18"/>
          <w:szCs w:val="18"/>
          <w:color w:val="auto"/>
        </w:rPr>
      </w:pPr>
    </w:p>
    <w:p>
      <w:pPr>
        <w:ind w:left="1140" w:hanging="255"/>
        <w:spacing w:after="0"/>
        <w:tabs>
          <w:tab w:leader="none" w:pos="1140" w:val="left"/>
        </w:tabs>
        <w:numPr>
          <w:ilvl w:val="1"/>
          <w:numId w:val="691"/>
        </w:numPr>
        <w:rPr>
          <w:rFonts w:ascii="Arial" w:cs="Arial" w:eastAsia="Arial" w:hAnsi="Arial"/>
          <w:sz w:val="18"/>
          <w:szCs w:val="18"/>
          <w:color w:val="auto"/>
        </w:rPr>
      </w:pPr>
      <w:r>
        <w:rPr>
          <w:rFonts w:ascii="Arial" w:cs="Arial" w:eastAsia="Arial" w:hAnsi="Arial"/>
          <w:sz w:val="18"/>
          <w:szCs w:val="18"/>
          <w:color w:val="auto"/>
        </w:rPr>
        <w:t>General Liability — (Additional Insured)</w:t>
      </w:r>
    </w:p>
    <w:p>
      <w:pPr>
        <w:spacing w:after="0" w:line="130" w:lineRule="exact"/>
        <w:rPr>
          <w:rFonts w:ascii="Arial" w:cs="Arial" w:eastAsia="Arial" w:hAnsi="Arial"/>
          <w:sz w:val="18"/>
          <w:szCs w:val="18"/>
          <w:color w:val="auto"/>
        </w:rPr>
      </w:pPr>
    </w:p>
    <w:p>
      <w:pPr>
        <w:ind w:left="1140" w:hanging="255"/>
        <w:spacing w:after="0"/>
        <w:tabs>
          <w:tab w:leader="none" w:pos="1140" w:val="left"/>
        </w:tabs>
        <w:numPr>
          <w:ilvl w:val="1"/>
          <w:numId w:val="691"/>
        </w:numPr>
        <w:rPr>
          <w:rFonts w:ascii="Arial" w:cs="Arial" w:eastAsia="Arial" w:hAnsi="Arial"/>
          <w:sz w:val="18"/>
          <w:szCs w:val="18"/>
          <w:color w:val="auto"/>
        </w:rPr>
      </w:pPr>
      <w:r>
        <w:rPr>
          <w:rFonts w:ascii="Arial" w:cs="Arial" w:eastAsia="Arial" w:hAnsi="Arial"/>
          <w:sz w:val="18"/>
          <w:szCs w:val="18"/>
          <w:color w:val="auto"/>
        </w:rPr>
        <w:t>Property Insurance — (Loss Payee)</w:t>
      </w:r>
    </w:p>
    <w:p>
      <w:pPr>
        <w:spacing w:after="0" w:line="130" w:lineRule="exact"/>
        <w:rPr>
          <w:sz w:val="20"/>
          <w:szCs w:val="20"/>
          <w:color w:val="auto"/>
        </w:rPr>
      </w:pPr>
    </w:p>
    <w:p>
      <w:pPr>
        <w:ind w:left="88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Endorsements must accompany each Certificate.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Address for Certificates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TriplePoint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2755 Sand Hill Rd., Ste. 150</w:t>
      </w:r>
    </w:p>
    <w:p>
      <w:pPr>
        <w:spacing w:after="0" w:line="15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88"/>
              </w:rPr>
              <w:t>Deferred</w:t>
            </w:r>
          </w:p>
        </w:tc>
        <w:tc>
          <w:tcPr>
            <w:tcW w:w="0" w:type="dxa"/>
            <w:vAlign w:val="bottom"/>
          </w:tcPr>
          <w:p>
            <w:pPr>
              <w:spacing w:after="0"/>
              <w:rPr>
                <w:sz w:val="1"/>
                <w:szCs w:val="1"/>
                <w:color w:val="auto"/>
              </w:rPr>
            </w:pPr>
          </w:p>
        </w:tc>
      </w:tr>
      <w:tr>
        <w:trPr>
          <w:trHeight w:val="216"/>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88"/>
              </w:rPr>
              <w:t>Deferred</w:t>
            </w:r>
          </w:p>
        </w:tc>
        <w:tc>
          <w:tcPr>
            <w:tcW w:w="0" w:type="dxa"/>
            <w:vAlign w:val="bottom"/>
          </w:tcPr>
          <w:p>
            <w:pPr>
              <w:spacing w:after="0"/>
              <w:rPr>
                <w:sz w:val="1"/>
                <w:szCs w:val="1"/>
                <w:color w:val="auto"/>
              </w:rPr>
            </w:pPr>
          </w:p>
        </w:tc>
      </w:tr>
      <w:tr>
        <w:trPr>
          <w:trHeight w:val="230"/>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97"/>
              </w:rPr>
              <w:t>Final</w:t>
            </w:r>
          </w:p>
        </w:tc>
        <w:tc>
          <w:tcPr>
            <w:tcW w:w="0" w:type="dxa"/>
            <w:vAlign w:val="bottom"/>
          </w:tcPr>
          <w:p>
            <w:pPr>
              <w:spacing w:after="0"/>
              <w:rPr>
                <w:sz w:val="1"/>
                <w:szCs w:val="1"/>
                <w:color w:val="auto"/>
              </w:rPr>
            </w:pPr>
          </w:p>
        </w:tc>
      </w:tr>
      <w:tr>
        <w:trPr>
          <w:trHeight w:val="417"/>
        </w:trPr>
        <w:tc>
          <w:tcPr>
            <w:tcW w:w="1060" w:type="dxa"/>
            <w:vAlign w:val="bottom"/>
          </w:tcPr>
          <w:p>
            <w:pPr>
              <w:spacing w:after="0"/>
              <w:rPr>
                <w:sz w:val="24"/>
                <w:szCs w:val="24"/>
                <w:color w:val="auto"/>
              </w:rPr>
            </w:pPr>
          </w:p>
        </w:tc>
        <w:tc>
          <w:tcPr>
            <w:tcW w:w="1220" w:type="dxa"/>
            <w:vAlign w:val="bottom"/>
          </w:tcPr>
          <w:p>
            <w:pPr>
              <w:jc w:val="center"/>
              <w:ind w:left="410"/>
              <w:spacing w:after="0"/>
              <w:rPr>
                <w:sz w:val="20"/>
                <w:szCs w:val="20"/>
                <w:color w:val="auto"/>
              </w:rPr>
            </w:pPr>
            <w:r>
              <w:rPr>
                <w:rFonts w:ascii="Arial" w:cs="Arial" w:eastAsia="Arial" w:hAnsi="Arial"/>
                <w:sz w:val="18"/>
                <w:szCs w:val="18"/>
                <w:color w:val="auto"/>
              </w:rPr>
              <w:t>DACA:</w:t>
            </w:r>
          </w:p>
        </w:tc>
        <w:tc>
          <w:tcPr>
            <w:tcW w:w="0" w:type="dxa"/>
            <w:vAlign w:val="bottom"/>
          </w:tcPr>
          <w:p>
            <w:pPr>
              <w:spacing w:after="0"/>
              <w:rPr>
                <w:sz w:val="1"/>
                <w:szCs w:val="1"/>
                <w:color w:val="auto"/>
              </w:rPr>
            </w:pPr>
          </w:p>
        </w:tc>
      </w:tr>
      <w:tr>
        <w:trPr>
          <w:trHeight w:val="216"/>
        </w:trPr>
        <w:tc>
          <w:tcPr>
            <w:tcW w:w="1060" w:type="dxa"/>
            <w:vAlign w:val="bottom"/>
            <w:vMerge w:val="restart"/>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220" w:type="dxa"/>
            <w:vAlign w:val="bottom"/>
            <w:vMerge w:val="restart"/>
          </w:tcPr>
          <w:p>
            <w:pPr>
              <w:jc w:val="center"/>
              <w:ind w:left="430"/>
              <w:spacing w:after="0"/>
              <w:rPr>
                <w:sz w:val="20"/>
                <w:szCs w:val="20"/>
                <w:color w:val="auto"/>
              </w:rPr>
            </w:pPr>
            <w:r>
              <w:rPr>
                <w:rFonts w:ascii="Arial" w:cs="Arial" w:eastAsia="Arial" w:hAnsi="Arial"/>
                <w:sz w:val="18"/>
                <w:szCs w:val="18"/>
                <w:color w:val="auto"/>
                <w:w w:val="98"/>
              </w:rPr>
              <w:t>SAGA:</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445"/>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432"/>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432"/>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417"/>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216"/>
        </w:trPr>
        <w:tc>
          <w:tcPr>
            <w:tcW w:w="1060" w:type="dxa"/>
            <w:vAlign w:val="bottom"/>
            <w:vMerge w:val="restart"/>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81"/>
              </w:rPr>
              <w:t>See</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220" w:type="dxa"/>
            <w:vAlign w:val="bottom"/>
            <w:vMerge w:val="restart"/>
          </w:tcPr>
          <w:p>
            <w:pPr>
              <w:jc w:val="center"/>
              <w:ind w:left="430"/>
              <w:spacing w:after="0"/>
              <w:rPr>
                <w:sz w:val="20"/>
                <w:szCs w:val="20"/>
                <w:color w:val="auto"/>
              </w:rPr>
            </w:pPr>
            <w:r>
              <w:rPr>
                <w:rFonts w:ascii="Arial" w:cs="Arial" w:eastAsia="Arial" w:hAnsi="Arial"/>
                <w:sz w:val="18"/>
                <w:szCs w:val="18"/>
                <w:color w:val="auto"/>
                <w:w w:val="98"/>
              </w:rPr>
              <w:t>Exhibit A</w:t>
            </w:r>
          </w:p>
        </w:tc>
        <w:tc>
          <w:tcPr>
            <w:tcW w:w="0" w:type="dxa"/>
            <w:vAlign w:val="bottom"/>
          </w:tcPr>
          <w:p>
            <w:pPr>
              <w:spacing w:after="0"/>
              <w:rPr>
                <w:sz w:val="1"/>
                <w:szCs w:val="1"/>
                <w:color w:val="auto"/>
              </w:rPr>
            </w:pPr>
          </w:p>
        </w:tc>
      </w:tr>
      <w:tr>
        <w:trPr>
          <w:trHeight w:val="107"/>
        </w:trPr>
        <w:tc>
          <w:tcPr>
            <w:tcW w:w="10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216"/>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216"/>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r>
        <w:trPr>
          <w:trHeight w:val="230"/>
        </w:trPr>
        <w:tc>
          <w:tcPr>
            <w:tcW w:w="1060" w:type="dxa"/>
            <w:vAlign w:val="bottom"/>
          </w:tcPr>
          <w:p>
            <w:pPr>
              <w:jc w:val="center"/>
              <w:ind w:right="450"/>
              <w:spacing w:after="0"/>
              <w:rPr>
                <w:sz w:val="20"/>
                <w:szCs w:val="20"/>
                <w:color w:val="auto"/>
              </w:rPr>
            </w:pPr>
            <w:r>
              <w:rPr>
                <w:rFonts w:ascii="Arial" w:cs="Arial" w:eastAsia="Arial" w:hAnsi="Arial"/>
                <w:sz w:val="18"/>
                <w:szCs w:val="18"/>
                <w:color w:val="auto"/>
                <w:w w:val="98"/>
              </w:rPr>
              <w:t>LC/BC</w:t>
            </w:r>
          </w:p>
        </w:tc>
        <w:tc>
          <w:tcPr>
            <w:tcW w:w="1220" w:type="dxa"/>
            <w:vAlign w:val="bottom"/>
          </w:tcPr>
          <w:p>
            <w:pPr>
              <w:jc w:val="center"/>
              <w:ind w:left="430"/>
              <w:spacing w:after="0"/>
              <w:rPr>
                <w:sz w:val="20"/>
                <w:szCs w:val="20"/>
                <w:color w:val="auto"/>
              </w:rPr>
            </w:pPr>
            <w:r>
              <w:rPr>
                <w:rFonts w:ascii="Arial" w:cs="Arial" w:eastAsia="Arial" w:hAnsi="Arial"/>
                <w:sz w:val="18"/>
                <w:szCs w:val="18"/>
                <w:color w:val="auto"/>
              </w:rPr>
              <w:t>XX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8"/>
          <w:szCs w:val="18"/>
          <w:color w:val="auto"/>
        </w:rPr>
        <w:t>BC</w:t>
      </w:r>
      <w:r>
        <w:rPr>
          <w:sz w:val="20"/>
          <w:szCs w:val="20"/>
          <w:color w:val="auto"/>
        </w:rPr>
        <w:tab/>
      </w:r>
      <w:r>
        <w:rPr>
          <w:rFonts w:ascii="Arial" w:cs="Arial" w:eastAsia="Arial" w:hAnsi="Arial"/>
          <w:sz w:val="18"/>
          <w:szCs w:val="18"/>
          <w:color w:val="auto"/>
        </w:rPr>
        <w:t>XX</w:t>
      </w:r>
    </w:p>
    <w:p>
      <w:pPr>
        <w:sectPr>
          <w:pgSz w:w="11900" w:h="16838" w:orient="portrait"/>
          <w:cols w:equalWidth="0" w:num="2">
            <w:col w:w="7620" w:space="720"/>
            <w:col w:w="2280"/>
          </w:cols>
          <w:pgMar w:left="460" w:top="274" w:right="819" w:bottom="1440" w:gutter="0" w:footer="0" w:header="0"/>
        </w:sectPr>
      </w:pPr>
    </w:p>
    <w:bookmarkStart w:id="668" w:name="page669"/>
    <w:bookmarkEnd w:id="668"/>
    <w:p>
      <w:pPr>
        <w:ind w:left="1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Menlo Park, CA 94025</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Tel: (650) 854-2090</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Fax: (650) 854-1850</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Attn: Monitoring Group</w:t>
      </w:r>
    </w:p>
    <w:p>
      <w:pPr>
        <w:spacing w:after="0" w:line="224" w:lineRule="exact"/>
        <w:rPr>
          <w:sz w:val="20"/>
          <w:szCs w:val="20"/>
          <w:color w:val="auto"/>
        </w:rPr>
      </w:pPr>
    </w:p>
    <w:tbl>
      <w:tblPr>
        <w:tblLayout w:type="fixed"/>
        <w:tblInd w:w="530"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17.</w:t>
            </w:r>
          </w:p>
        </w:tc>
        <w:tc>
          <w:tcPr>
            <w:tcW w:w="2620" w:type="dxa"/>
            <w:vAlign w:val="bottom"/>
          </w:tcPr>
          <w:p>
            <w:pPr>
              <w:ind w:left="60"/>
              <w:spacing w:after="0"/>
              <w:rPr>
                <w:sz w:val="20"/>
                <w:szCs w:val="20"/>
                <w:color w:val="auto"/>
              </w:rPr>
            </w:pPr>
            <w:r>
              <w:rPr>
                <w:rFonts w:ascii="Arial" w:cs="Arial" w:eastAsia="Arial" w:hAnsi="Arial"/>
                <w:sz w:val="18"/>
                <w:szCs w:val="18"/>
                <w:color w:val="auto"/>
              </w:rPr>
              <w:t>Termination Statements for</w:t>
            </w:r>
          </w:p>
        </w:tc>
        <w:tc>
          <w:tcPr>
            <w:tcW w:w="2520" w:type="dxa"/>
            <w:vAlign w:val="bottom"/>
          </w:tcPr>
          <w:p>
            <w:pPr>
              <w:jc w:val="right"/>
              <w:ind w:right="2030"/>
              <w:spacing w:after="0"/>
              <w:rPr>
                <w:sz w:val="20"/>
                <w:szCs w:val="20"/>
                <w:color w:val="auto"/>
              </w:rPr>
            </w:pPr>
            <w:r>
              <w:rPr>
                <w:rFonts w:ascii="Arial" w:cs="Arial" w:eastAsia="Arial" w:hAnsi="Arial"/>
                <w:sz w:val="18"/>
                <w:szCs w:val="18"/>
                <w:color w:val="auto"/>
              </w:rPr>
              <w:t>:</w:t>
            </w:r>
          </w:p>
        </w:tc>
        <w:tc>
          <w:tcPr>
            <w:tcW w:w="3500" w:type="dxa"/>
            <w:vAlign w:val="bottom"/>
          </w:tcPr>
          <w:p>
            <w:pPr>
              <w:jc w:val="center"/>
              <w:ind w:left="1690"/>
              <w:spacing w:after="0"/>
              <w:rPr>
                <w:sz w:val="20"/>
                <w:szCs w:val="20"/>
                <w:color w:val="auto"/>
              </w:rPr>
            </w:pPr>
            <w:r>
              <w:rPr>
                <w:rFonts w:ascii="Arial" w:cs="Arial" w:eastAsia="Arial" w:hAnsi="Arial"/>
                <w:sz w:val="18"/>
                <w:szCs w:val="18"/>
                <w:color w:val="auto"/>
                <w:w w:val="95"/>
              </w:rPr>
              <w:t>BC</w:t>
            </w: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87"/>
              </w:rPr>
              <w:t>n/a</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18.</w:t>
            </w:r>
          </w:p>
        </w:tc>
        <w:tc>
          <w:tcPr>
            <w:tcW w:w="2620" w:type="dxa"/>
            <w:vAlign w:val="bottom"/>
          </w:tcPr>
          <w:p>
            <w:pPr>
              <w:ind w:left="60"/>
              <w:spacing w:after="0"/>
              <w:rPr>
                <w:sz w:val="20"/>
                <w:szCs w:val="20"/>
                <w:color w:val="auto"/>
              </w:rPr>
            </w:pPr>
            <w:r>
              <w:rPr>
                <w:rFonts w:ascii="Arial" w:cs="Arial" w:eastAsia="Arial" w:hAnsi="Arial"/>
                <w:sz w:val="18"/>
                <w:szCs w:val="18"/>
                <w:color w:val="auto"/>
              </w:rPr>
              <w:t>Facility Fee, Part 1: $125,000</w:t>
            </w:r>
          </w:p>
        </w:tc>
        <w:tc>
          <w:tcPr>
            <w:tcW w:w="2520" w:type="dxa"/>
            <w:vAlign w:val="bottom"/>
          </w:tcPr>
          <w:p>
            <w:pPr>
              <w:spacing w:after="0"/>
              <w:rPr>
                <w:sz w:val="18"/>
                <w:szCs w:val="18"/>
                <w:color w:val="auto"/>
              </w:rPr>
            </w:pPr>
          </w:p>
        </w:tc>
        <w:tc>
          <w:tcPr>
            <w:tcW w:w="3500" w:type="dxa"/>
            <w:vAlign w:val="bottom"/>
          </w:tcPr>
          <w:p>
            <w:pPr>
              <w:jc w:val="center"/>
              <w:ind w:left="1670"/>
              <w:spacing w:after="0"/>
              <w:rPr>
                <w:sz w:val="20"/>
                <w:szCs w:val="20"/>
                <w:color w:val="auto"/>
              </w:rPr>
            </w:pPr>
            <w:r>
              <w:rPr>
                <w:rFonts w:ascii="Arial" w:cs="Arial" w:eastAsia="Arial" w:hAnsi="Arial"/>
                <w:sz w:val="18"/>
                <w:szCs w:val="18"/>
                <w:color w:val="auto"/>
                <w:w w:val="94"/>
              </w:rPr>
              <w:t>BORROWER</w:t>
            </w: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1"/>
              </w:rPr>
              <w:t>Deduct from</w:t>
            </w:r>
          </w:p>
        </w:tc>
      </w:tr>
      <w:tr>
        <w:trPr>
          <w:trHeight w:val="229"/>
        </w:trPr>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85"/>
              </w:rPr>
              <w:t>advance</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19.</w:t>
            </w:r>
          </w:p>
        </w:tc>
        <w:tc>
          <w:tcPr>
            <w:tcW w:w="2620" w:type="dxa"/>
            <w:vAlign w:val="bottom"/>
          </w:tcPr>
          <w:p>
            <w:pPr>
              <w:ind w:left="60"/>
              <w:spacing w:after="0"/>
              <w:rPr>
                <w:sz w:val="20"/>
                <w:szCs w:val="20"/>
                <w:color w:val="auto"/>
              </w:rPr>
            </w:pPr>
            <w:r>
              <w:rPr>
                <w:rFonts w:ascii="Arial" w:cs="Arial" w:eastAsia="Arial" w:hAnsi="Arial"/>
                <w:sz w:val="18"/>
                <w:szCs w:val="18"/>
                <w:color w:val="auto"/>
              </w:rPr>
              <w:t>Legal Fees, TBD</w:t>
            </w:r>
          </w:p>
        </w:tc>
        <w:tc>
          <w:tcPr>
            <w:tcW w:w="2520" w:type="dxa"/>
            <w:vAlign w:val="bottom"/>
          </w:tcPr>
          <w:p>
            <w:pPr>
              <w:spacing w:after="0"/>
              <w:rPr>
                <w:sz w:val="18"/>
                <w:szCs w:val="18"/>
                <w:color w:val="auto"/>
              </w:rPr>
            </w:pPr>
          </w:p>
        </w:tc>
        <w:tc>
          <w:tcPr>
            <w:tcW w:w="3500" w:type="dxa"/>
            <w:vAlign w:val="bottom"/>
          </w:tcPr>
          <w:p>
            <w:pPr>
              <w:jc w:val="center"/>
              <w:ind w:left="1670"/>
              <w:spacing w:after="0"/>
              <w:rPr>
                <w:sz w:val="20"/>
                <w:szCs w:val="20"/>
                <w:color w:val="auto"/>
              </w:rPr>
            </w:pPr>
            <w:r>
              <w:rPr>
                <w:rFonts w:ascii="Arial" w:cs="Arial" w:eastAsia="Arial" w:hAnsi="Arial"/>
                <w:sz w:val="18"/>
                <w:szCs w:val="18"/>
                <w:color w:val="auto"/>
                <w:w w:val="94"/>
              </w:rPr>
              <w:t>BORROWER</w:t>
            </w: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1"/>
              </w:rPr>
              <w:t>Deduct from</w:t>
            </w:r>
          </w:p>
        </w:tc>
      </w:tr>
      <w:tr>
        <w:trPr>
          <w:trHeight w:val="229"/>
        </w:trPr>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color w:val="auto"/>
                <w:w w:val="91"/>
              </w:rPr>
              <w:t>Advance</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20.</w:t>
            </w:r>
          </w:p>
        </w:tc>
        <w:tc>
          <w:tcPr>
            <w:tcW w:w="2620" w:type="dxa"/>
            <w:vAlign w:val="bottom"/>
          </w:tcPr>
          <w:p>
            <w:pPr>
              <w:ind w:left="60"/>
              <w:spacing w:after="0"/>
              <w:rPr>
                <w:sz w:val="20"/>
                <w:szCs w:val="20"/>
                <w:color w:val="auto"/>
              </w:rPr>
            </w:pPr>
            <w:r>
              <w:rPr>
                <w:rFonts w:ascii="Arial" w:cs="Arial" w:eastAsia="Arial" w:hAnsi="Arial"/>
                <w:sz w:val="18"/>
                <w:szCs w:val="18"/>
                <w:color w:val="auto"/>
              </w:rPr>
              <w:t>Diligence Fees, $10,000</w:t>
            </w:r>
          </w:p>
        </w:tc>
        <w:tc>
          <w:tcPr>
            <w:tcW w:w="2520" w:type="dxa"/>
            <w:vAlign w:val="bottom"/>
          </w:tcPr>
          <w:p>
            <w:pPr>
              <w:spacing w:after="0"/>
              <w:rPr>
                <w:sz w:val="18"/>
                <w:szCs w:val="18"/>
                <w:color w:val="auto"/>
              </w:rPr>
            </w:pPr>
          </w:p>
        </w:tc>
        <w:tc>
          <w:tcPr>
            <w:tcW w:w="3500" w:type="dxa"/>
            <w:vAlign w:val="bottom"/>
          </w:tcPr>
          <w:p>
            <w:pPr>
              <w:jc w:val="center"/>
              <w:ind w:left="1670"/>
              <w:spacing w:after="0"/>
              <w:rPr>
                <w:sz w:val="20"/>
                <w:szCs w:val="20"/>
                <w:color w:val="auto"/>
              </w:rPr>
            </w:pPr>
            <w:r>
              <w:rPr>
                <w:rFonts w:ascii="Arial" w:cs="Arial" w:eastAsia="Arial" w:hAnsi="Arial"/>
                <w:sz w:val="18"/>
                <w:szCs w:val="18"/>
                <w:color w:val="auto"/>
                <w:w w:val="94"/>
              </w:rPr>
              <w:t>BORROWER</w:t>
            </w: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1"/>
              </w:rPr>
              <w:t>Deduct from</w:t>
            </w:r>
          </w:p>
        </w:tc>
      </w:tr>
      <w:tr>
        <w:trPr>
          <w:trHeight w:val="229"/>
        </w:trPr>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color w:val="auto"/>
                <w:w w:val="91"/>
              </w:rPr>
              <w:t>Advance</w:t>
            </w:r>
          </w:p>
        </w:tc>
      </w:t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2620" w:type="dxa"/>
            <w:vAlign w:val="bottom"/>
          </w:tcPr>
          <w:p>
            <w:pPr>
              <w:ind w:left="60"/>
              <w:spacing w:after="0"/>
              <w:rPr>
                <w:sz w:val="20"/>
                <w:szCs w:val="20"/>
                <w:color w:val="auto"/>
              </w:rPr>
            </w:pPr>
            <w:r>
              <w:rPr>
                <w:rFonts w:ascii="Arial" w:cs="Arial" w:eastAsia="Arial" w:hAnsi="Arial"/>
                <w:sz w:val="18"/>
                <w:szCs w:val="18"/>
                <w:color w:val="auto"/>
              </w:rPr>
              <w:t>Commitment Deposit, $20,000</w:t>
            </w:r>
          </w:p>
        </w:tc>
        <w:tc>
          <w:tcPr>
            <w:tcW w:w="2520" w:type="dxa"/>
            <w:vAlign w:val="bottom"/>
          </w:tcPr>
          <w:p>
            <w:pPr>
              <w:spacing w:after="0"/>
              <w:rPr>
                <w:sz w:val="20"/>
                <w:szCs w:val="20"/>
                <w:color w:val="auto"/>
              </w:rPr>
            </w:pPr>
          </w:p>
        </w:tc>
        <w:tc>
          <w:tcPr>
            <w:tcW w:w="3500" w:type="dxa"/>
            <w:vAlign w:val="bottom"/>
          </w:tcPr>
          <w:p>
            <w:pPr>
              <w:jc w:val="center"/>
              <w:ind w:left="1670"/>
              <w:spacing w:after="0"/>
              <w:rPr>
                <w:sz w:val="20"/>
                <w:szCs w:val="20"/>
                <w:color w:val="auto"/>
              </w:rPr>
            </w:pPr>
            <w:r>
              <w:rPr>
                <w:rFonts w:ascii="Arial" w:cs="Arial" w:eastAsia="Arial" w:hAnsi="Arial"/>
                <w:sz w:val="18"/>
                <w:szCs w:val="18"/>
                <w:color w:val="auto"/>
                <w:w w:val="94"/>
              </w:rPr>
              <w:t>BORROWER</w:t>
            </w: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2"/>
              </w:rPr>
              <w:t>Rec’d 6/7/17</w:t>
            </w:r>
          </w:p>
        </w:tc>
      </w:tr>
    </w:tbl>
    <w:p>
      <w:pPr>
        <w:ind w:left="530" w:hanging="530"/>
        <w:spacing w:after="0"/>
        <w:tabs>
          <w:tab w:leader="none" w:pos="53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9" w:lineRule="exact"/>
        <w:rPr>
          <w:sz w:val="20"/>
          <w:szCs w:val="20"/>
          <w:color w:val="auto"/>
        </w:rPr>
      </w:pPr>
    </w:p>
    <w:p>
      <w:pPr>
        <w:ind w:left="530"/>
        <w:spacing w:after="0"/>
        <w:rPr>
          <w:sz w:val="20"/>
          <w:szCs w:val="20"/>
          <w:color w:val="auto"/>
        </w:rPr>
      </w:pPr>
      <w:r>
        <w:rPr>
          <w:rFonts w:ascii="Arial" w:cs="Arial" w:eastAsia="Arial" w:hAnsi="Arial"/>
          <w:sz w:val="18"/>
          <w:szCs w:val="18"/>
          <w:color w:val="auto"/>
        </w:rPr>
        <w:t>22.  Borrower</w:t>
      </w:r>
    </w:p>
    <w:p>
      <w:pPr>
        <w:spacing w:after="0" w:line="9" w:lineRule="exact"/>
        <w:rPr>
          <w:sz w:val="20"/>
          <w:szCs w:val="20"/>
          <w:color w:val="auto"/>
        </w:rPr>
      </w:pPr>
    </w:p>
    <w:p>
      <w:pPr>
        <w:ind w:left="530"/>
        <w:spacing w:after="0"/>
        <w:rPr>
          <w:sz w:val="20"/>
          <w:szCs w:val="20"/>
          <w:color w:val="auto"/>
        </w:rPr>
      </w:pPr>
      <w:r>
        <w:rPr>
          <w:rFonts w:ascii="Arial" w:cs="Arial" w:eastAsia="Arial" w:hAnsi="Arial"/>
          <w:sz w:val="18"/>
          <w:szCs w:val="18"/>
          <w:color w:val="auto"/>
        </w:rPr>
        <w:t>22.1 Secretary’s Certificate (including incumbency)</w:t>
      </w:r>
    </w:p>
    <w:p>
      <w:pPr>
        <w:spacing w:after="0" w:line="9" w:lineRule="exact"/>
        <w:rPr>
          <w:sz w:val="20"/>
          <w:szCs w:val="20"/>
          <w:color w:val="auto"/>
        </w:rPr>
      </w:pPr>
    </w:p>
    <w:p>
      <w:pPr>
        <w:ind w:left="1590" w:right="340" w:hanging="359"/>
        <w:spacing w:after="0"/>
        <w:tabs>
          <w:tab w:leader="none" w:pos="1569" w:val="left"/>
        </w:tabs>
        <w:rPr>
          <w:sz w:val="20"/>
          <w:szCs w:val="20"/>
          <w:color w:val="auto"/>
        </w:rPr>
      </w:pPr>
      <w:r>
        <w:rPr>
          <w:rFonts w:ascii="Arial" w:cs="Arial" w:eastAsia="Arial" w:hAnsi="Arial"/>
          <w:sz w:val="18"/>
          <w:szCs w:val="18"/>
          <w:color w:val="auto"/>
        </w:rPr>
        <w:t>(a)</w:t>
        <w:tab/>
        <w:t xml:space="preserve">Exhibit A – Certificate of Incorporation certified by the Secretary of State of </w:t>
      </w:r>
      <w:r>
        <w:rPr>
          <w:rFonts w:ascii="Arial" w:cs="Arial" w:eastAsia="Arial" w:hAnsi="Arial"/>
          <w:sz w:val="35"/>
          <w:szCs w:val="35"/>
          <w:color w:val="auto"/>
          <w:vertAlign w:val="subscript"/>
        </w:rPr>
        <w:t>BC XX</w:t>
      </w:r>
      <w:r>
        <w:rPr>
          <w:rFonts w:ascii="Arial" w:cs="Arial" w:eastAsia="Arial" w:hAnsi="Arial"/>
          <w:sz w:val="18"/>
          <w:szCs w:val="18"/>
          <w:color w:val="auto"/>
        </w:rPr>
        <w:t xml:space="preserve"> Delaware - xx</w:t>
      </w:r>
    </w:p>
    <w:p>
      <w:pPr>
        <w:spacing w:after="0" w:line="29" w:lineRule="exact"/>
        <w:rPr>
          <w:sz w:val="20"/>
          <w:szCs w:val="20"/>
          <w:color w:val="auto"/>
        </w:rPr>
      </w:pPr>
    </w:p>
    <w:p>
      <w:pPr>
        <w:ind w:left="1610" w:hanging="351"/>
        <w:spacing w:after="0"/>
        <w:tabs>
          <w:tab w:leader="none" w:pos="161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Exhibit B - By-Laws, as amended through the Closing Date - xx</w:t>
      </w:r>
    </w:p>
    <w:p>
      <w:pPr>
        <w:spacing w:after="0" w:line="8" w:lineRule="exact"/>
        <w:rPr>
          <w:rFonts w:ascii="Arial" w:cs="Arial" w:eastAsia="Arial" w:hAnsi="Arial"/>
          <w:sz w:val="18"/>
          <w:szCs w:val="18"/>
          <w:color w:val="auto"/>
        </w:rPr>
      </w:pPr>
    </w:p>
    <w:p>
      <w:pPr>
        <w:ind w:left="1590" w:hanging="331"/>
        <w:spacing w:after="0"/>
        <w:tabs>
          <w:tab w:leader="none" w:pos="159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Exhibit C - Resolutions (re: Loan Documents; Warrant Agreement)</w:t>
      </w:r>
    </w:p>
    <w:p>
      <w:pPr>
        <w:spacing w:after="0" w:line="9" w:lineRule="exact"/>
        <w:rPr>
          <w:sz w:val="20"/>
          <w:szCs w:val="20"/>
          <w:color w:val="auto"/>
        </w:rPr>
      </w:pPr>
    </w:p>
    <w:p>
      <w:pPr>
        <w:ind w:left="530"/>
        <w:spacing w:after="0"/>
        <w:tabs>
          <w:tab w:leader="none" w:pos="8469" w:val="left"/>
          <w:tab w:leader="none" w:pos="10129" w:val="left"/>
        </w:tabs>
        <w:rPr>
          <w:sz w:val="20"/>
          <w:szCs w:val="20"/>
          <w:color w:val="auto"/>
        </w:rPr>
      </w:pPr>
      <w:r>
        <w:rPr>
          <w:rFonts w:ascii="Arial" w:cs="Arial" w:eastAsia="Arial" w:hAnsi="Arial"/>
          <w:sz w:val="18"/>
          <w:szCs w:val="18"/>
          <w:color w:val="auto"/>
        </w:rPr>
        <w:t>22.2 Good Standing Certificates (tax and corporate) from:</w:t>
      </w:r>
      <w:r>
        <w:rPr>
          <w:sz w:val="20"/>
          <w:szCs w:val="20"/>
          <w:color w:val="auto"/>
        </w:rPr>
        <w:tab/>
      </w:r>
      <w:r>
        <w:rPr>
          <w:rFonts w:ascii="Arial" w:cs="Arial" w:eastAsia="Arial" w:hAnsi="Arial"/>
          <w:sz w:val="18"/>
          <w:szCs w:val="18"/>
          <w:color w:val="auto"/>
        </w:rPr>
        <w:t>BC</w:t>
      </w:r>
      <w:r>
        <w:rPr>
          <w:sz w:val="20"/>
          <w:szCs w:val="20"/>
          <w:color w:val="auto"/>
        </w:rPr>
        <w:tab/>
      </w:r>
      <w:r>
        <w:rPr>
          <w:rFonts w:ascii="Arial" w:cs="Arial" w:eastAsia="Arial" w:hAnsi="Arial"/>
          <w:sz w:val="18"/>
          <w:szCs w:val="18"/>
          <w:color w:val="auto"/>
        </w:rPr>
        <w:t>XX</w:t>
      </w:r>
    </w:p>
    <w:p>
      <w:pPr>
        <w:spacing w:after="0" w:line="9" w:lineRule="exact"/>
        <w:rPr>
          <w:sz w:val="20"/>
          <w:szCs w:val="20"/>
          <w:color w:val="auto"/>
        </w:rPr>
      </w:pPr>
    </w:p>
    <w:p>
      <w:pPr>
        <w:ind w:left="1250" w:hanging="350"/>
        <w:spacing w:after="0"/>
        <w:tabs>
          <w:tab w:leader="none" w:pos="125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Delaware</w:t>
      </w:r>
    </w:p>
    <w:p>
      <w:pPr>
        <w:spacing w:after="0" w:line="8" w:lineRule="exact"/>
        <w:rPr>
          <w:rFonts w:ascii="Arial" w:cs="Arial" w:eastAsia="Arial" w:hAnsi="Arial"/>
          <w:sz w:val="18"/>
          <w:szCs w:val="18"/>
          <w:color w:val="auto"/>
        </w:rPr>
      </w:pPr>
    </w:p>
    <w:p>
      <w:pPr>
        <w:ind w:left="1230" w:hanging="330"/>
        <w:spacing w:after="0"/>
        <w:tabs>
          <w:tab w:leader="none" w:pos="123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California</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Pr>
          <w:p>
            <w:pPr>
              <w:spacing w:after="0"/>
              <w:rPr>
                <w:sz w:val="20"/>
                <w:szCs w:val="20"/>
                <w:color w:val="auto"/>
              </w:rPr>
            </w:pPr>
            <w:r>
              <w:rPr>
                <w:rFonts w:ascii="Arial" w:cs="Arial" w:eastAsia="Arial" w:hAnsi="Arial"/>
                <w:sz w:val="18"/>
                <w:szCs w:val="18"/>
                <w:color w:val="auto"/>
              </w:rPr>
              <w:t>VI.</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EQUITY DOCUMENTS</w:t>
            </w:r>
          </w:p>
        </w:tc>
        <w:tc>
          <w:tcPr>
            <w:tcW w:w="4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23.</w:t>
            </w:r>
          </w:p>
        </w:tc>
        <w:tc>
          <w:tcPr>
            <w:tcW w:w="4000" w:type="dxa"/>
            <w:vAlign w:val="bottom"/>
          </w:tcPr>
          <w:p>
            <w:pPr>
              <w:ind w:left="60"/>
              <w:spacing w:after="0"/>
              <w:rPr>
                <w:sz w:val="20"/>
                <w:szCs w:val="20"/>
                <w:color w:val="auto"/>
              </w:rPr>
            </w:pPr>
            <w:r>
              <w:rPr>
                <w:rFonts w:ascii="Arial" w:cs="Arial" w:eastAsia="Arial" w:hAnsi="Arial"/>
                <w:sz w:val="18"/>
                <w:szCs w:val="18"/>
                <w:color w:val="auto"/>
              </w:rPr>
              <w:t>Series C Preferred Stock Purchase Agreement</w:t>
            </w:r>
          </w:p>
        </w:tc>
        <w:tc>
          <w:tcPr>
            <w:tcW w:w="4480" w:type="dxa"/>
            <w:vAlign w:val="bottom"/>
          </w:tcPr>
          <w:p>
            <w:pPr>
              <w:ind w:left="3660"/>
              <w:spacing w:after="0"/>
              <w:rPr>
                <w:sz w:val="20"/>
                <w:szCs w:val="20"/>
                <w:color w:val="auto"/>
              </w:rPr>
            </w:pPr>
            <w:r>
              <w:rPr>
                <w:rFonts w:ascii="Arial" w:cs="Arial" w:eastAsia="Arial" w:hAnsi="Arial"/>
                <w:sz w:val="18"/>
                <w:szCs w:val="18"/>
                <w:color w:val="auto"/>
              </w:rPr>
              <w:t>BC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rPr>
              <w:t>XX</w:t>
            </w:r>
          </w:p>
        </w:tc>
      </w:tr>
      <w:tr>
        <w:trPr>
          <w:trHeight w:val="216"/>
        </w:trPr>
        <w:tc>
          <w:tcPr>
            <w:tcW w:w="4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24.</w:t>
            </w:r>
          </w:p>
        </w:tc>
        <w:tc>
          <w:tcPr>
            <w:tcW w:w="4000" w:type="dxa"/>
            <w:vAlign w:val="bottom"/>
          </w:tcPr>
          <w:p>
            <w:pPr>
              <w:ind w:left="60"/>
              <w:spacing w:after="0"/>
              <w:rPr>
                <w:sz w:val="20"/>
                <w:szCs w:val="20"/>
                <w:color w:val="auto"/>
              </w:rPr>
            </w:pPr>
            <w:r>
              <w:rPr>
                <w:rFonts w:ascii="Arial" w:cs="Arial" w:eastAsia="Arial" w:hAnsi="Arial"/>
                <w:sz w:val="18"/>
                <w:szCs w:val="18"/>
                <w:color w:val="auto"/>
              </w:rPr>
              <w:t>Investors’ Rights Agreement</w:t>
            </w:r>
          </w:p>
        </w:tc>
        <w:tc>
          <w:tcPr>
            <w:tcW w:w="4480" w:type="dxa"/>
            <w:vAlign w:val="bottom"/>
          </w:tcPr>
          <w:p>
            <w:pPr>
              <w:ind w:left="3660"/>
              <w:spacing w:after="0"/>
              <w:rPr>
                <w:sz w:val="20"/>
                <w:szCs w:val="20"/>
                <w:color w:val="auto"/>
              </w:rPr>
            </w:pPr>
            <w:r>
              <w:rPr>
                <w:rFonts w:ascii="Arial" w:cs="Arial" w:eastAsia="Arial" w:hAnsi="Arial"/>
                <w:sz w:val="18"/>
                <w:szCs w:val="18"/>
                <w:color w:val="auto"/>
              </w:rPr>
              <w:t>BC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rPr>
              <w:t>XX</w:t>
            </w:r>
          </w:p>
        </w:tc>
      </w:tr>
      <w:tr>
        <w:trPr>
          <w:trHeight w:val="216"/>
        </w:trPr>
        <w:tc>
          <w:tcPr>
            <w:tcW w:w="4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25.</w:t>
            </w:r>
          </w:p>
        </w:tc>
        <w:tc>
          <w:tcPr>
            <w:tcW w:w="4000" w:type="dxa"/>
            <w:vAlign w:val="bottom"/>
          </w:tcPr>
          <w:p>
            <w:pPr>
              <w:ind w:left="60"/>
              <w:spacing w:after="0"/>
              <w:rPr>
                <w:sz w:val="20"/>
                <w:szCs w:val="20"/>
                <w:color w:val="auto"/>
              </w:rPr>
            </w:pPr>
            <w:r>
              <w:rPr>
                <w:rFonts w:ascii="Arial" w:cs="Arial" w:eastAsia="Arial" w:hAnsi="Arial"/>
                <w:sz w:val="18"/>
                <w:szCs w:val="18"/>
                <w:color w:val="auto"/>
              </w:rPr>
              <w:t>Capitalization Table</w:t>
            </w:r>
          </w:p>
        </w:tc>
        <w:tc>
          <w:tcPr>
            <w:tcW w:w="4480" w:type="dxa"/>
            <w:vAlign w:val="bottom"/>
          </w:tcPr>
          <w:p>
            <w:pPr>
              <w:ind w:left="3660"/>
              <w:spacing w:after="0"/>
              <w:rPr>
                <w:sz w:val="20"/>
                <w:szCs w:val="20"/>
                <w:color w:val="auto"/>
              </w:rPr>
            </w:pPr>
            <w:r>
              <w:rPr>
                <w:rFonts w:ascii="Arial" w:cs="Arial" w:eastAsia="Arial" w:hAnsi="Arial"/>
                <w:sz w:val="18"/>
                <w:szCs w:val="18"/>
                <w:color w:val="auto"/>
              </w:rPr>
              <w:t>BC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rPr>
              <w:t>XX</w:t>
            </w:r>
          </w:p>
        </w:tc>
      </w:tr>
      <w:tr>
        <w:trPr>
          <w:trHeight w:val="216"/>
        </w:trPr>
        <w:tc>
          <w:tcPr>
            <w:tcW w:w="4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26.</w:t>
            </w:r>
          </w:p>
        </w:tc>
        <w:tc>
          <w:tcPr>
            <w:tcW w:w="4000" w:type="dxa"/>
            <w:vAlign w:val="bottom"/>
          </w:tcPr>
          <w:p>
            <w:pPr>
              <w:ind w:left="60"/>
              <w:spacing w:after="0"/>
              <w:rPr>
                <w:sz w:val="20"/>
                <w:szCs w:val="20"/>
                <w:color w:val="auto"/>
              </w:rPr>
            </w:pPr>
            <w:r>
              <w:rPr>
                <w:rFonts w:ascii="Arial" w:cs="Arial" w:eastAsia="Arial" w:hAnsi="Arial"/>
                <w:sz w:val="18"/>
                <w:szCs w:val="18"/>
                <w:color w:val="auto"/>
              </w:rPr>
              <w:t>409A Valuation Report</w:t>
            </w:r>
          </w:p>
        </w:tc>
        <w:tc>
          <w:tcPr>
            <w:tcW w:w="4480" w:type="dxa"/>
            <w:vAlign w:val="bottom"/>
          </w:tcPr>
          <w:p>
            <w:pPr>
              <w:ind w:left="3660"/>
              <w:spacing w:after="0"/>
              <w:rPr>
                <w:sz w:val="20"/>
                <w:szCs w:val="20"/>
                <w:color w:val="auto"/>
              </w:rPr>
            </w:pPr>
            <w:r>
              <w:rPr>
                <w:rFonts w:ascii="Arial" w:cs="Arial" w:eastAsia="Arial" w:hAnsi="Arial"/>
                <w:sz w:val="18"/>
                <w:szCs w:val="18"/>
                <w:color w:val="auto"/>
              </w:rPr>
              <w:t>BC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rPr>
              <w:t>XX</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VII.</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POST CLOSING OBLIGATIONS</w:t>
            </w:r>
          </w:p>
        </w:tc>
        <w:tc>
          <w:tcPr>
            <w:tcW w:w="4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27.</w:t>
            </w:r>
          </w:p>
        </w:tc>
        <w:tc>
          <w:tcPr>
            <w:tcW w:w="4000" w:type="dxa"/>
            <w:vAlign w:val="bottom"/>
          </w:tcPr>
          <w:p>
            <w:pPr>
              <w:ind w:left="60"/>
              <w:spacing w:after="0"/>
              <w:rPr>
                <w:sz w:val="20"/>
                <w:szCs w:val="20"/>
                <w:color w:val="auto"/>
              </w:rPr>
            </w:pPr>
            <w:r>
              <w:rPr>
                <w:rFonts w:ascii="Arial" w:cs="Arial" w:eastAsia="Arial" w:hAnsi="Arial"/>
                <w:sz w:val="18"/>
                <w:szCs w:val="18"/>
                <w:color w:val="auto"/>
              </w:rPr>
              <w:t>File UCC Financing Statements</w:t>
            </w:r>
          </w:p>
        </w:tc>
        <w:tc>
          <w:tcPr>
            <w:tcW w:w="4480" w:type="dxa"/>
            <w:vAlign w:val="bottom"/>
          </w:tcPr>
          <w:p>
            <w:pPr>
              <w:ind w:left="3660"/>
              <w:spacing w:after="0"/>
              <w:rPr>
                <w:sz w:val="20"/>
                <w:szCs w:val="20"/>
                <w:color w:val="auto"/>
              </w:rPr>
            </w:pPr>
            <w:r>
              <w:rPr>
                <w:rFonts w:ascii="Arial" w:cs="Arial" w:eastAsia="Arial" w:hAnsi="Arial"/>
                <w:sz w:val="18"/>
                <w:szCs w:val="18"/>
                <w:color w:val="auto"/>
              </w:rPr>
              <w:t>LC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rPr>
              <w:t>XX</w:t>
            </w:r>
          </w:p>
        </w:tc>
      </w:tr>
      <w:tr>
        <w:trPr>
          <w:trHeight w:val="230"/>
        </w:trPr>
        <w:tc>
          <w:tcPr>
            <w:tcW w:w="40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28.</w:t>
            </w:r>
          </w:p>
        </w:tc>
        <w:tc>
          <w:tcPr>
            <w:tcW w:w="4000" w:type="dxa"/>
            <w:vAlign w:val="bottom"/>
          </w:tcPr>
          <w:p>
            <w:pPr>
              <w:ind w:left="60"/>
              <w:spacing w:after="0"/>
              <w:rPr>
                <w:sz w:val="20"/>
                <w:szCs w:val="20"/>
                <w:color w:val="auto"/>
              </w:rPr>
            </w:pPr>
            <w:r>
              <w:rPr>
                <w:rFonts w:ascii="Arial" w:cs="Arial" w:eastAsia="Arial" w:hAnsi="Arial"/>
                <w:sz w:val="18"/>
                <w:szCs w:val="18"/>
                <w:color w:val="auto"/>
              </w:rPr>
              <w:t>Post-Filing UCC Searches</w:t>
            </w:r>
          </w:p>
        </w:tc>
        <w:tc>
          <w:tcPr>
            <w:tcW w:w="4480" w:type="dxa"/>
            <w:vAlign w:val="bottom"/>
          </w:tcPr>
          <w:p>
            <w:pPr>
              <w:ind w:left="3660"/>
              <w:spacing w:after="0"/>
              <w:rPr>
                <w:sz w:val="20"/>
                <w:szCs w:val="20"/>
                <w:color w:val="auto"/>
              </w:rPr>
            </w:pPr>
            <w:r>
              <w:rPr>
                <w:rFonts w:ascii="Arial" w:cs="Arial" w:eastAsia="Arial" w:hAnsi="Arial"/>
                <w:sz w:val="18"/>
                <w:szCs w:val="18"/>
                <w:color w:val="auto"/>
              </w:rPr>
              <w:t>LC</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In process</w:t>
            </w:r>
          </w:p>
        </w:tc>
      </w:tr>
      <w:tr>
        <w:trPr>
          <w:trHeight w:val="364"/>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80" w:type="dxa"/>
            <w:vAlign w:val="bottom"/>
          </w:tcPr>
          <w:p>
            <w:pPr>
              <w:ind w:left="620"/>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r>
    </w:tbl>
    <w:p>
      <w:pPr>
        <w:sectPr>
          <w:pgSz w:w="11900" w:h="16838" w:orient="portrait"/>
          <w:cols w:equalWidth="0" w:num="1">
            <w:col w:w="10750"/>
          </w:cols>
          <w:pgMar w:left="450" w:top="274" w:right="699" w:bottom="1440" w:gutter="0" w:footer="0" w:header="0"/>
        </w:sectPr>
      </w:pPr>
    </w:p>
    <w:bookmarkStart w:id="669" w:name="page670"/>
    <w:bookmarkEnd w:id="66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Pre-Closing Lien Search Reports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2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Search Jurisdictions</w:t>
            </w:r>
          </w:p>
        </w:tc>
        <w:tc>
          <w:tcPr>
            <w:tcW w:w="120" w:type="dxa"/>
            <w:vAlign w:val="bottom"/>
          </w:tcPr>
          <w:p>
            <w:pPr>
              <w:spacing w:after="0"/>
              <w:rPr>
                <w:sz w:val="15"/>
                <w:szCs w:val="15"/>
                <w:color w:val="auto"/>
              </w:rPr>
            </w:pPr>
          </w:p>
        </w:tc>
        <w:tc>
          <w:tcPr>
            <w:tcW w:w="3640" w:type="dxa"/>
            <w:vAlign w:val="bottom"/>
            <w:gridSpan w:val="2"/>
          </w:tcPr>
          <w:p>
            <w:pPr>
              <w:ind w:left="1560"/>
              <w:spacing w:after="0"/>
              <w:rPr>
                <w:sz w:val="20"/>
                <w:szCs w:val="20"/>
                <w:color w:val="auto"/>
              </w:rPr>
            </w:pPr>
            <w:r>
              <w:rPr>
                <w:rFonts w:ascii="Arial" w:cs="Arial" w:eastAsia="Arial" w:hAnsi="Arial"/>
                <w:sz w:val="14"/>
                <w:szCs w:val="14"/>
                <w:b w:val="1"/>
                <w:bCs w:val="1"/>
                <w:i w:val="1"/>
                <w:iCs w:val="1"/>
                <w:color w:val="auto"/>
              </w:rPr>
              <w:t>Debtor</w:t>
            </w:r>
          </w:p>
        </w:tc>
        <w:tc>
          <w:tcPr>
            <w:tcW w:w="34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Received?</w:t>
            </w:r>
          </w:p>
        </w:tc>
      </w:tr>
      <w:tr>
        <w:trPr>
          <w:trHeight w:val="195"/>
        </w:trPr>
        <w:tc>
          <w:tcPr>
            <w:tcW w:w="2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2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Personalis, Inc.</w:t>
            </w:r>
          </w:p>
        </w:tc>
        <w:tc>
          <w:tcPr>
            <w:tcW w:w="1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In process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Personalis, Inc.</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Yes; 2 State Tax Liens;</w:t>
            </w:r>
          </w:p>
        </w:tc>
      </w:tr>
      <w:tr>
        <w:trPr>
          <w:trHeight w:val="229"/>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Company provided proof of termination</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Personalis (UK) Limited</w:t>
            </w: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Yes; Clean</w:t>
            </w:r>
          </w:p>
        </w:tc>
      </w:tr>
      <w:tr>
        <w:trPr>
          <w:trHeight w:val="36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60" w:type="dxa"/>
            <w:vAlign w:val="bottom"/>
            <w:gridSpan w:val="2"/>
          </w:tcPr>
          <w:p>
            <w:pPr>
              <w:jc w:val="right"/>
              <w:ind w:right="187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000"/>
          </w:cols>
          <w:pgMar w:left="460" w:top="271" w:right="439" w:bottom="1440" w:gutter="0" w:footer="0" w:header="0"/>
        </w:sectPr>
      </w:pPr>
    </w:p>
    <w:bookmarkStart w:id="670" w:name="page671"/>
    <w:bookmarkEnd w:id="670"/>
    <w:p>
      <w:pPr>
        <w:jc w:val="right"/>
        <w:spacing w:after="0"/>
        <w:rPr>
          <w:sz w:val="20"/>
          <w:szCs w:val="20"/>
          <w:color w:val="auto"/>
        </w:rPr>
      </w:pPr>
      <w:r>
        <w:rPr>
          <w:rFonts w:ascii="Arial" w:cs="Arial" w:eastAsia="Arial" w:hAnsi="Arial"/>
          <w:sz w:val="18"/>
          <w:szCs w:val="18"/>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171450</wp:posOffset>
            </wp:positionV>
            <wp:extent cx="1687195" cy="50546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68719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LAIN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NGLISH</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6"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This is a </w:t>
      </w:r>
      <w:r>
        <w:rPr>
          <w:rFonts w:ascii="Arial" w:cs="Arial" w:eastAsia="Arial" w:hAnsi="Arial"/>
          <w:sz w:val="18"/>
          <w:szCs w:val="18"/>
          <w:b w:val="1"/>
          <w:bCs w:val="1"/>
          <w:color w:val="auto"/>
        </w:rPr>
        <w:t>FIRST AMENDMENT TO PLAIN ENGLISH LOAN AND SECURITY AGREEMENT</w:t>
      </w:r>
      <w:r>
        <w:rPr>
          <w:rFonts w:ascii="Arial" w:cs="Arial" w:eastAsia="Arial" w:hAnsi="Arial"/>
          <w:sz w:val="18"/>
          <w:szCs w:val="18"/>
          <w:color w:val="auto"/>
        </w:rPr>
        <w:t xml:space="preserve"> dated as of March 22, 2019 (the</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w:t>
      </w:r>
      <w:r>
        <w:rPr>
          <w:rFonts w:ascii="Arial" w:cs="Arial" w:eastAsia="Arial" w:hAnsi="Arial"/>
          <w:sz w:val="17"/>
          <w:szCs w:val="17"/>
          <w:color w:val="auto"/>
        </w:rPr>
        <w:t>”) by and between PERSONALIS, INC., a Delaware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and TRIPLEPOINT CAPITAL LLC, a Delaware limited</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8"/>
          <w:szCs w:val="18"/>
          <w:color w:val="auto"/>
        </w:rPr>
        <w:t>liability company,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 w:right="320" w:firstLine="440"/>
        <w:spacing w:after="0" w:line="259" w:lineRule="auto"/>
        <w:rPr>
          <w:sz w:val="20"/>
          <w:szCs w:val="20"/>
          <w:color w:val="auto"/>
        </w:rPr>
      </w:pPr>
      <w:r>
        <w:rPr>
          <w:rFonts w:ascii="Arial" w:cs="Arial" w:eastAsia="Arial" w:hAnsi="Arial"/>
          <w:sz w:val="18"/>
          <w:szCs w:val="18"/>
          <w:color w:val="auto"/>
        </w:rPr>
        <w:t>A. Borrower and Lender are parties to the Plain English Revolving Loan and Security Agreement dated as of June 28, 2017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Lender agreed to provide financial accommodations to or for the benefit of Borrower upon the terms and conditions contained in the Loan Agreement. Unless otherwise defined in this Amendment, capitalized terms and matters of construction defined in the Loan Agreement shall have the same meaning given to them in the Loan Agreement.</w:t>
      </w:r>
    </w:p>
    <w:p>
      <w:pPr>
        <w:spacing w:after="0" w:line="186" w:lineRule="exact"/>
        <w:rPr>
          <w:sz w:val="20"/>
          <w:szCs w:val="20"/>
          <w:color w:val="auto"/>
        </w:rPr>
      </w:pPr>
    </w:p>
    <w:p>
      <w:pPr>
        <w:ind w:left="10" w:right="820" w:firstLine="440"/>
        <w:spacing w:after="0" w:line="307" w:lineRule="auto"/>
        <w:rPr>
          <w:sz w:val="20"/>
          <w:szCs w:val="20"/>
          <w:color w:val="auto"/>
        </w:rPr>
      </w:pPr>
      <w:r>
        <w:rPr>
          <w:rFonts w:ascii="Arial" w:cs="Arial" w:eastAsia="Arial" w:hAnsi="Arial"/>
          <w:sz w:val="17"/>
          <w:szCs w:val="17"/>
          <w:color w:val="auto"/>
        </w:rPr>
        <w:t>B. In connection with the Loan Agreement, Lender has made a certain Advances to Borrower which are evidenced by the Plain English Promissory Note 1115-RV-01-01 dated June 28, 2017 executed by Borrower in favor of Lender (“</w:t>
      </w:r>
      <w:r>
        <w:rPr>
          <w:rFonts w:ascii="Arial" w:cs="Arial" w:eastAsia="Arial" w:hAnsi="Arial"/>
          <w:sz w:val="17"/>
          <w:szCs w:val="17"/>
          <w:u w:val="single" w:color="auto"/>
          <w:color w:val="auto"/>
        </w:rPr>
        <w:t>Note RV-01-01</w:t>
      </w:r>
      <w:r>
        <w:rPr>
          <w:rFonts w:ascii="Arial" w:cs="Arial" w:eastAsia="Arial" w:hAnsi="Arial"/>
          <w:sz w:val="17"/>
          <w:szCs w:val="17"/>
          <w:color w:val="auto"/>
        </w:rPr>
        <w:t>”).</w:t>
      </w:r>
    </w:p>
    <w:p>
      <w:pPr>
        <w:spacing w:after="0" w:line="147" w:lineRule="exact"/>
        <w:rPr>
          <w:sz w:val="20"/>
          <w:szCs w:val="20"/>
          <w:color w:val="auto"/>
        </w:rPr>
      </w:pPr>
    </w:p>
    <w:p>
      <w:pPr>
        <w:ind w:left="10" w:right="220" w:firstLine="440"/>
        <w:spacing w:after="0" w:line="263" w:lineRule="auto"/>
        <w:rPr>
          <w:sz w:val="20"/>
          <w:szCs w:val="20"/>
          <w:color w:val="auto"/>
        </w:rPr>
      </w:pPr>
      <w:r>
        <w:rPr>
          <w:rFonts w:ascii="Arial" w:cs="Arial" w:eastAsia="Arial" w:hAnsi="Arial"/>
          <w:sz w:val="18"/>
          <w:szCs w:val="18"/>
          <w:color w:val="auto"/>
        </w:rPr>
        <w:t>C. Borrower has requested that certain provisions of the Loan Agreement be amended, and that growth capital loans be made available to Borrower and in connection with such amendments made herein, Borrower and Lender wish to re-name the Loan Agreement, the “Plain English Loan and Security Agreement”.</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0" w:right="8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acknowledged, Borrower and Lender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89445" cy="254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pacing w:after="0" w:line="267" w:lineRule="exact"/>
        <w:rPr>
          <w:sz w:val="20"/>
          <w:szCs w:val="20"/>
          <w:color w:val="auto"/>
        </w:rPr>
      </w:pPr>
    </w:p>
    <w:p>
      <w:pPr>
        <w:ind w:left="430" w:hanging="430"/>
        <w:spacing w:after="0"/>
        <w:tabs>
          <w:tab w:leader="none" w:pos="430"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LOAN DOCUMENTS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8944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8" w:lineRule="exact"/>
        <w:rPr>
          <w:sz w:val="20"/>
          <w:szCs w:val="20"/>
          <w:color w:val="auto"/>
        </w:rPr>
      </w:pPr>
    </w:p>
    <w:p>
      <w:pPr>
        <w:ind w:left="10" w:right="180" w:firstLine="440"/>
        <w:spacing w:after="0" w:line="301" w:lineRule="auto"/>
        <w:rPr>
          <w:sz w:val="20"/>
          <w:szCs w:val="20"/>
          <w:color w:val="auto"/>
        </w:rPr>
      </w:pPr>
      <w:r>
        <w:rPr>
          <w:rFonts w:ascii="Arial" w:cs="Arial" w:eastAsia="Arial" w:hAnsi="Arial"/>
          <w:sz w:val="16"/>
          <w:szCs w:val="16"/>
          <w:color w:val="auto"/>
        </w:rPr>
        <w:t>Borrower hereby acknowledges, confirms and ratifies all of the terms and conditions set forth in, and all of its obligations under, the Loan Agreement and the other Loan Documents. Unless otherwise defined, all initially capitalized terms in this Amendment shall be as defined in the Agreement. Except as expressly set forth herein, the execution, delivery, and performance of this Amendment shall not operate as a waiver of, or as an amendment of, any right, power, or remedy of Lender under the Loan Agreement or any other Loan Document, as in effect prior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89445" cy="254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pacing w:after="0" w:line="267" w:lineRule="exact"/>
        <w:rPr>
          <w:sz w:val="20"/>
          <w:szCs w:val="20"/>
          <w:color w:val="auto"/>
        </w:rPr>
      </w:pPr>
    </w:p>
    <w:p>
      <w:pPr>
        <w:ind w:left="430" w:hanging="430"/>
        <w:spacing w:after="0"/>
        <w:tabs>
          <w:tab w:leader="none" w:pos="430" w:val="left"/>
        </w:tabs>
        <w:numPr>
          <w:ilvl w:val="0"/>
          <w:numId w:val="6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8944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4" w:lineRule="exact"/>
        <w:rPr>
          <w:sz w:val="20"/>
          <w:szCs w:val="20"/>
          <w:color w:val="auto"/>
        </w:rPr>
      </w:pPr>
    </w:p>
    <w:p>
      <w:pPr>
        <w:ind w:left="10" w:right="280" w:hanging="10"/>
        <w:spacing w:after="0" w:line="347" w:lineRule="auto"/>
        <w:tabs>
          <w:tab w:leader="none" w:pos="364" w:val="left"/>
        </w:tabs>
        <w:numPr>
          <w:ilvl w:val="0"/>
          <w:numId w:val="6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Loan Agreement. </w:t>
      </w:r>
      <w:r>
        <w:rPr>
          <w:rFonts w:ascii="Arial" w:cs="Arial" w:eastAsia="Arial" w:hAnsi="Arial"/>
          <w:sz w:val="16"/>
          <w:szCs w:val="16"/>
          <w:color w:val="auto"/>
        </w:rPr>
        <w:t>On and after the First Amendment Closing Date, all references in the Loan Documents to “Plain English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Loan and Security Agreement” shall mean and refer to the “Plain English Loan and Security Agreement” as amended by this Amendment</w:t>
      </w:r>
    </w:p>
    <w:p>
      <w:pPr>
        <w:spacing w:after="0" w:line="115" w:lineRule="exact"/>
        <w:rPr>
          <w:rFonts w:ascii="Arial" w:cs="Arial" w:eastAsia="Arial" w:hAnsi="Arial"/>
          <w:sz w:val="16"/>
          <w:szCs w:val="16"/>
          <w:b w:val="1"/>
          <w:bCs w:val="1"/>
          <w:color w:val="auto"/>
        </w:rPr>
      </w:pPr>
    </w:p>
    <w:p>
      <w:pPr>
        <w:ind w:left="10" w:right="40" w:hanging="10"/>
        <w:spacing w:after="0" w:line="260" w:lineRule="auto"/>
        <w:tabs>
          <w:tab w:leader="none" w:pos="355" w:val="left"/>
        </w:tabs>
        <w:numPr>
          <w:ilvl w:val="0"/>
          <w:numId w:val="6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Growth Capital Loan Facility Information. </w:t>
      </w:r>
      <w:r>
        <w:rPr>
          <w:rFonts w:ascii="Arial" w:cs="Arial" w:eastAsia="Arial" w:hAnsi="Arial"/>
          <w:sz w:val="18"/>
          <w:szCs w:val="18"/>
          <w:color w:val="auto"/>
        </w:rPr>
        <w:t>Provided that the conditions in this Amendment and the Loan Agreement are met, Lender will lend</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the additional Growth Capital Loan Commitment Amounts as reflected in this Amendment and Borrower agrees to use such proceeds to finance any of Borrower’s general corporate needs. Lender will lend to Borrower Advances in minimum amounts as set forth in this Amendment up to a maximum of the additional Commitment Amount as provided below.</w:t>
      </w:r>
    </w:p>
    <w:p>
      <w:pPr>
        <w:sectPr>
          <w:pgSz w:w="11900" w:h="16838" w:orient="portrait"/>
          <w:cols w:equalWidth="0" w:num="1">
            <w:col w:w="11010"/>
          </w:cols>
          <w:pgMar w:left="450" w:top="122" w:right="439" w:bottom="1440" w:gutter="0" w:footer="0" w:header="0"/>
        </w:sectPr>
      </w:pPr>
    </w:p>
    <w:bookmarkStart w:id="671" w:name="page672"/>
    <w:bookmarkEnd w:id="671"/>
    <w:tbl>
      <w:tblPr>
        <w:tblLayout w:type="fixed"/>
        <w:tblInd w:w="1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40" w:type="dxa"/>
            <w:vAlign w:val="bottom"/>
            <w:gridSpan w:val="8"/>
          </w:tcPr>
          <w:p>
            <w:pPr>
              <w:ind w:left="60"/>
              <w:spacing w:after="0"/>
              <w:rPr>
                <w:sz w:val="20"/>
                <w:szCs w:val="20"/>
                <w:color w:val="auto"/>
              </w:rPr>
            </w:pPr>
            <w:r>
              <w:rPr>
                <w:rFonts w:ascii="Arial" w:cs="Arial" w:eastAsia="Arial" w:hAnsi="Arial"/>
                <w:sz w:val="18"/>
                <w:szCs w:val="18"/>
                <w:b w:val="1"/>
                <w:bCs w:val="1"/>
                <w:color w:val="auto"/>
              </w:rPr>
              <w:t>GROWTH CAPITAL LOAN FACILITY INFORMATION</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3"/>
              </w:rPr>
              <w:t>Facility Number</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w w:val="92"/>
              </w:rPr>
              <w:t>Commitment 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60" w:type="dxa"/>
            <w:vAlign w:val="bottom"/>
            <w:gridSpan w:val="8"/>
          </w:tcPr>
          <w:p>
            <w:pPr>
              <w:jc w:val="center"/>
              <w:ind w:right="1820"/>
              <w:spacing w:after="0"/>
              <w:rPr>
                <w:sz w:val="20"/>
                <w:szCs w:val="20"/>
                <w:color w:val="auto"/>
              </w:rPr>
            </w:pPr>
            <w:r>
              <w:rPr>
                <w:rFonts w:ascii="Arial" w:cs="Arial" w:eastAsia="Arial" w:hAnsi="Arial"/>
                <w:sz w:val="18"/>
                <w:szCs w:val="18"/>
                <w:color w:val="auto"/>
                <w:w w:val="90"/>
              </w:rPr>
              <w:t>Part 1: 1115-GC-01</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gridSpan w:val="7"/>
          </w:tcPr>
          <w:p>
            <w:pPr>
              <w:jc w:val="center"/>
              <w:ind w:right="1900"/>
              <w:spacing w:after="0"/>
              <w:rPr>
                <w:sz w:val="20"/>
                <w:szCs w:val="20"/>
                <w:color w:val="auto"/>
              </w:rPr>
            </w:pPr>
            <w:r>
              <w:rPr>
                <w:rFonts w:ascii="Arial" w:cs="Arial" w:eastAsia="Arial" w:hAnsi="Arial"/>
                <w:sz w:val="18"/>
                <w:szCs w:val="18"/>
                <w:color w:val="auto"/>
                <w:w w:val="89"/>
              </w:rPr>
              <w:t>Part 1: $20,000,000</w:t>
            </w:r>
          </w:p>
        </w:tc>
        <w:tc>
          <w:tcPr>
            <w:tcW w:w="0" w:type="dxa"/>
            <w:vAlign w:val="bottom"/>
          </w:tcPr>
          <w:p>
            <w:pPr>
              <w:spacing w:after="0"/>
              <w:rPr>
                <w:sz w:val="1"/>
                <w:szCs w:val="1"/>
                <w:color w:val="auto"/>
              </w:rPr>
            </w:pPr>
          </w:p>
        </w:tc>
      </w:tr>
      <w:tr>
        <w:trPr>
          <w:trHeight w:val="405"/>
        </w:trPr>
        <w:tc>
          <w:tcPr>
            <w:tcW w:w="460" w:type="dxa"/>
            <w:vAlign w:val="bottom"/>
          </w:tcPr>
          <w:p>
            <w:pPr>
              <w:spacing w:after="0"/>
              <w:rPr>
                <w:sz w:val="24"/>
                <w:szCs w:val="24"/>
                <w:color w:val="auto"/>
              </w:rPr>
            </w:pPr>
          </w:p>
        </w:tc>
        <w:tc>
          <w:tcPr>
            <w:tcW w:w="2600" w:type="dxa"/>
            <w:vAlign w:val="bottom"/>
            <w:gridSpan w:val="7"/>
          </w:tcPr>
          <w:p>
            <w:pPr>
              <w:jc w:val="center"/>
              <w:ind w:right="1120"/>
              <w:spacing w:after="0"/>
              <w:rPr>
                <w:sz w:val="20"/>
                <w:szCs w:val="20"/>
                <w:color w:val="auto"/>
              </w:rPr>
            </w:pPr>
            <w:r>
              <w:rPr>
                <w:rFonts w:ascii="Arial" w:cs="Arial" w:eastAsia="Arial" w:hAnsi="Arial"/>
                <w:sz w:val="18"/>
                <w:szCs w:val="18"/>
                <w:b w:val="1"/>
                <w:bCs w:val="1"/>
                <w:color w:val="auto"/>
                <w:w w:val="93"/>
              </w:rPr>
              <w:t>Minimum Advance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330"/>
              <w:spacing w:after="0" w:line="182" w:lineRule="exact"/>
              <w:rPr>
                <w:sz w:val="20"/>
                <w:szCs w:val="20"/>
                <w:color w:val="auto"/>
              </w:rPr>
            </w:pPr>
            <w:r>
              <w:rPr>
                <w:rFonts w:ascii="Arial" w:cs="Arial" w:eastAsia="Arial" w:hAnsi="Arial"/>
                <w:sz w:val="18"/>
                <w:szCs w:val="18"/>
                <w:b w:val="1"/>
                <w:bCs w:val="1"/>
                <w:color w:val="auto"/>
                <w:w w:val="91"/>
              </w:rPr>
              <w:t>Amount</w:t>
            </w:r>
          </w:p>
        </w:tc>
        <w:tc>
          <w:tcPr>
            <w:tcW w:w="11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gridSpan w:val="2"/>
          </w:tcPr>
          <w:p>
            <w:pPr>
              <w:jc w:val="center"/>
              <w:ind w:right="780"/>
              <w:spacing w:after="0" w:line="182" w:lineRule="exact"/>
              <w:rPr>
                <w:sz w:val="20"/>
                <w:szCs w:val="20"/>
                <w:color w:val="auto"/>
              </w:rPr>
            </w:pPr>
            <w:r>
              <w:rPr>
                <w:rFonts w:ascii="Arial" w:cs="Arial" w:eastAsia="Arial" w:hAnsi="Arial"/>
                <w:sz w:val="18"/>
                <w:szCs w:val="18"/>
                <w:b w:val="1"/>
                <w:bCs w:val="1"/>
                <w:color w:val="auto"/>
                <w:w w:val="92"/>
              </w:rPr>
              <w:t>Availability Period</w:t>
            </w:r>
          </w:p>
        </w:tc>
        <w:tc>
          <w:tcPr>
            <w:tcW w:w="900" w:type="dxa"/>
            <w:vAlign w:val="bottom"/>
          </w:tcPr>
          <w:p>
            <w:pPr>
              <w:spacing w:after="0"/>
              <w:rPr>
                <w:sz w:val="17"/>
                <w:szCs w:val="17"/>
                <w:color w:val="auto"/>
              </w:rPr>
            </w:pPr>
          </w:p>
        </w:tc>
        <w:tc>
          <w:tcPr>
            <w:tcW w:w="1420" w:type="dxa"/>
            <w:vAlign w:val="bottom"/>
            <w:gridSpan w:val="3"/>
          </w:tcPr>
          <w:p>
            <w:pPr>
              <w:jc w:val="center"/>
              <w:ind w:right="490"/>
              <w:spacing w:after="0" w:line="182" w:lineRule="exact"/>
              <w:rPr>
                <w:sz w:val="20"/>
                <w:szCs w:val="20"/>
                <w:color w:val="auto"/>
              </w:rPr>
            </w:pPr>
            <w:r>
              <w:rPr>
                <w:rFonts w:ascii="Arial" w:cs="Arial" w:eastAsia="Arial" w:hAnsi="Arial"/>
                <w:sz w:val="18"/>
                <w:szCs w:val="18"/>
                <w:b w:val="1"/>
                <w:bCs w:val="1"/>
                <w:color w:val="auto"/>
                <w:w w:val="91"/>
              </w:rPr>
              <w:t>Loan Term</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3"/>
          </w:tcPr>
          <w:p>
            <w:pPr>
              <w:jc w:val="center"/>
              <w:ind w:right="820"/>
              <w:spacing w:after="0" w:line="182"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7"/>
        </w:trPr>
        <w:tc>
          <w:tcPr>
            <w:tcW w:w="1120" w:type="dxa"/>
            <w:vAlign w:val="bottom"/>
            <w:gridSpan w:val="3"/>
          </w:tcPr>
          <w:p>
            <w:pPr>
              <w:spacing w:after="0"/>
              <w:rPr>
                <w:sz w:val="2"/>
                <w:szCs w:val="2"/>
                <w:color w:val="auto"/>
              </w:rPr>
            </w:pPr>
          </w:p>
        </w:tc>
        <w:tc>
          <w:tcPr>
            <w:tcW w:w="1280" w:type="dxa"/>
            <w:vAlign w:val="bottom"/>
            <w:gridSpan w:val="4"/>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6"/>
        </w:trPr>
        <w:tc>
          <w:tcPr>
            <w:tcW w:w="3060" w:type="dxa"/>
            <w:vAlign w:val="bottom"/>
            <w:gridSpan w:val="8"/>
          </w:tcPr>
          <w:p>
            <w:pPr>
              <w:jc w:val="center"/>
              <w:ind w:right="660"/>
              <w:spacing w:after="0"/>
              <w:rPr>
                <w:sz w:val="20"/>
                <w:szCs w:val="20"/>
                <w:color w:val="auto"/>
              </w:rPr>
            </w:pPr>
            <w:r>
              <w:rPr>
                <w:rFonts w:ascii="Arial" w:cs="Arial" w:eastAsia="Arial" w:hAnsi="Arial"/>
                <w:sz w:val="18"/>
                <w:szCs w:val="18"/>
                <w:color w:val="auto"/>
                <w:w w:val="92"/>
              </w:rPr>
              <w:t>Part 1: $5,000,000, which will be</w:t>
            </w:r>
          </w:p>
        </w:tc>
        <w:tc>
          <w:tcPr>
            <w:tcW w:w="242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Part 1: First Amendment</w:t>
            </w:r>
          </w:p>
        </w:tc>
        <w:tc>
          <w:tcPr>
            <w:tcW w:w="232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Part 1: 48 Months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Part 1:</w:t>
            </w:r>
          </w:p>
        </w:tc>
        <w:tc>
          <w:tcPr>
            <w:tcW w:w="0" w:type="dxa"/>
            <w:vAlign w:val="bottom"/>
          </w:tcPr>
          <w:p>
            <w:pPr>
              <w:spacing w:after="0"/>
              <w:rPr>
                <w:sz w:val="1"/>
                <w:szCs w:val="1"/>
                <w:color w:val="auto"/>
              </w:rPr>
            </w:pPr>
          </w:p>
        </w:tc>
      </w:tr>
      <w:tr>
        <w:trPr>
          <w:trHeight w:val="216"/>
        </w:trPr>
        <w:tc>
          <w:tcPr>
            <w:tcW w:w="3060" w:type="dxa"/>
            <w:vAlign w:val="bottom"/>
            <w:gridSpan w:val="8"/>
          </w:tcPr>
          <w:p>
            <w:pPr>
              <w:jc w:val="center"/>
              <w:ind w:right="660"/>
              <w:spacing w:after="0"/>
              <w:rPr>
                <w:sz w:val="20"/>
                <w:szCs w:val="20"/>
                <w:color w:val="auto"/>
              </w:rPr>
            </w:pPr>
            <w:r>
              <w:rPr>
                <w:rFonts w:ascii="Arial" w:cs="Arial" w:eastAsia="Arial" w:hAnsi="Arial"/>
                <w:sz w:val="18"/>
                <w:szCs w:val="18"/>
                <w:color w:val="auto"/>
                <w:w w:val="93"/>
              </w:rPr>
              <w:t>utilized to prepay in full the Note</w:t>
            </w:r>
          </w:p>
        </w:tc>
        <w:tc>
          <w:tcPr>
            <w:tcW w:w="242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Closing Date through</w:t>
            </w:r>
          </w:p>
        </w:tc>
        <w:tc>
          <w:tcPr>
            <w:tcW w:w="2320" w:type="dxa"/>
            <w:vAlign w:val="bottom"/>
            <w:gridSpan w:val="4"/>
            <w:vMerge w:val="restart"/>
          </w:tcPr>
          <w:p>
            <w:pPr>
              <w:jc w:val="center"/>
              <w:ind w:left="190"/>
              <w:spacing w:after="0"/>
              <w:rPr>
                <w:sz w:val="20"/>
                <w:szCs w:val="20"/>
                <w:color w:val="auto"/>
              </w:rPr>
            </w:pPr>
            <w:r>
              <w:rPr>
                <w:rFonts w:ascii="Arial" w:cs="Arial" w:eastAsia="Arial" w:hAnsi="Arial"/>
                <w:sz w:val="18"/>
                <w:szCs w:val="18"/>
                <w:color w:val="auto"/>
                <w:w w:val="93"/>
              </w:rPr>
              <w:t>(1-12 interest only)</w:t>
            </w:r>
          </w:p>
        </w:tc>
        <w:tc>
          <w:tcPr>
            <w:tcW w:w="3100" w:type="dxa"/>
            <w:vAlign w:val="bottom"/>
            <w:gridSpan w:val="6"/>
            <w:vMerge w:val="restart"/>
          </w:tcPr>
          <w:p>
            <w:pPr>
              <w:jc w:val="center"/>
              <w:ind w:left="370"/>
              <w:spacing w:after="0"/>
              <w:rPr>
                <w:sz w:val="20"/>
                <w:szCs w:val="20"/>
                <w:color w:val="auto"/>
              </w:rPr>
            </w:pPr>
            <w:r>
              <w:rPr>
                <w:rFonts w:ascii="Arial" w:cs="Arial" w:eastAsia="Arial" w:hAnsi="Arial"/>
                <w:sz w:val="18"/>
                <w:szCs w:val="18"/>
                <w:color w:val="auto"/>
                <w:w w:val="90"/>
              </w:rPr>
              <w:t>For each Advance which in the</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600" w:type="dxa"/>
            <w:vAlign w:val="bottom"/>
            <w:gridSpan w:val="7"/>
            <w:vMerge w:val="restart"/>
          </w:tcPr>
          <w:p>
            <w:pPr>
              <w:jc w:val="center"/>
              <w:ind w:right="1100"/>
              <w:spacing w:after="0"/>
              <w:rPr>
                <w:sz w:val="20"/>
                <w:szCs w:val="20"/>
                <w:color w:val="auto"/>
              </w:rPr>
            </w:pPr>
            <w:r>
              <w:rPr>
                <w:rFonts w:ascii="Arial" w:cs="Arial" w:eastAsia="Arial" w:hAnsi="Arial"/>
                <w:sz w:val="18"/>
                <w:szCs w:val="18"/>
                <w:color w:val="auto"/>
                <w:w w:val="90"/>
              </w:rPr>
              <w:t>RV-01-01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w w:val="89"/>
              </w:rPr>
              <w:t>January 31, 2020</w:t>
            </w:r>
          </w:p>
        </w:tc>
        <w:tc>
          <w:tcPr>
            <w:tcW w:w="2320" w:type="dxa"/>
            <w:vAlign w:val="bottom"/>
            <w:gridSpan w:val="4"/>
            <w:vMerge w:val="continue"/>
          </w:tcPr>
          <w:p>
            <w:pPr>
              <w:spacing w:after="0"/>
              <w:rPr>
                <w:sz w:val="10"/>
                <w:szCs w:val="10"/>
                <w:color w:val="auto"/>
              </w:rPr>
            </w:pPr>
          </w:p>
        </w:tc>
        <w:tc>
          <w:tcPr>
            <w:tcW w:w="31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00" w:type="dxa"/>
            <w:vAlign w:val="bottom"/>
            <w:gridSpan w:val="6"/>
            <w:vMerge w:val="restart"/>
          </w:tcPr>
          <w:p>
            <w:pPr>
              <w:jc w:val="center"/>
              <w:ind w:left="390"/>
              <w:spacing w:after="0"/>
              <w:rPr>
                <w:sz w:val="20"/>
                <w:szCs w:val="20"/>
                <w:color w:val="auto"/>
              </w:rPr>
            </w:pPr>
            <w:r>
              <w:rPr>
                <w:rFonts w:ascii="Arial" w:cs="Arial" w:eastAsia="Arial" w:hAnsi="Arial"/>
                <w:sz w:val="18"/>
                <w:szCs w:val="18"/>
                <w:color w:val="auto"/>
                <w:w w:val="90"/>
              </w:rPr>
              <w:t>aggregate with all other Advances is</w:t>
            </w: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left="370"/>
              <w:spacing w:after="0"/>
              <w:rPr>
                <w:sz w:val="20"/>
                <w:szCs w:val="20"/>
                <w:color w:val="auto"/>
              </w:rPr>
            </w:pPr>
            <w:r>
              <w:rPr>
                <w:rFonts w:ascii="Arial" w:cs="Arial" w:eastAsia="Arial" w:hAnsi="Arial"/>
                <w:sz w:val="18"/>
                <w:szCs w:val="18"/>
                <w:color w:val="auto"/>
                <w:w w:val="89"/>
              </w:rPr>
              <w:t>less than or equal to $15,000,000,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Prime Rate plus 5.00%</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gridSpan w:val="6"/>
          </w:tcPr>
          <w:p>
            <w:pPr>
              <w:jc w:val="center"/>
              <w:ind w:left="370"/>
              <w:spacing w:after="0"/>
              <w:rPr>
                <w:sz w:val="20"/>
                <w:szCs w:val="20"/>
                <w:color w:val="auto"/>
              </w:rPr>
            </w:pPr>
            <w:r>
              <w:rPr>
                <w:rFonts w:ascii="Arial" w:cs="Arial" w:eastAsia="Arial" w:hAnsi="Arial"/>
                <w:sz w:val="18"/>
                <w:szCs w:val="18"/>
                <w:color w:val="auto"/>
                <w:w w:val="90"/>
              </w:rPr>
              <w:t>For each Advance which in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left="390"/>
              <w:spacing w:after="0"/>
              <w:rPr>
                <w:sz w:val="20"/>
                <w:szCs w:val="20"/>
                <w:color w:val="auto"/>
              </w:rPr>
            </w:pPr>
            <w:r>
              <w:rPr>
                <w:rFonts w:ascii="Arial" w:cs="Arial" w:eastAsia="Arial" w:hAnsi="Arial"/>
                <w:sz w:val="18"/>
                <w:szCs w:val="18"/>
                <w:color w:val="auto"/>
                <w:w w:val="90"/>
              </w:rPr>
              <w:t>aggregate with all other Advances is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left="370"/>
              <w:spacing w:after="0"/>
              <w:rPr>
                <w:sz w:val="20"/>
                <w:szCs w:val="20"/>
                <w:color w:val="auto"/>
              </w:rPr>
            </w:pPr>
            <w:r>
              <w:rPr>
                <w:rFonts w:ascii="Arial" w:cs="Arial" w:eastAsia="Arial" w:hAnsi="Arial"/>
                <w:sz w:val="18"/>
                <w:szCs w:val="18"/>
                <w:color w:val="auto"/>
                <w:w w:val="89"/>
              </w:rPr>
              <w:t>greater than $15,000,000, Prime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8"/>
                <w:szCs w:val="18"/>
                <w:color w:val="auto"/>
                <w:w w:val="89"/>
              </w:rPr>
              <w:t>Rate plus 6.50%</w:t>
            </w:r>
          </w:p>
        </w:tc>
        <w:tc>
          <w:tcPr>
            <w:tcW w:w="0" w:type="dxa"/>
            <w:vAlign w:val="bottom"/>
          </w:tcPr>
          <w:p>
            <w:pPr>
              <w:spacing w:after="0"/>
              <w:rPr>
                <w:sz w:val="1"/>
                <w:szCs w:val="1"/>
                <w:color w:val="auto"/>
              </w:rPr>
            </w:pPr>
          </w:p>
        </w:tc>
      </w:tr>
      <w:tr>
        <w:trPr>
          <w:trHeight w:val="309"/>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gridSpan w:val="6"/>
          </w:tcPr>
          <w:p>
            <w:pPr>
              <w:jc w:val="center"/>
              <w:ind w:left="370"/>
              <w:spacing w:after="0"/>
              <w:rPr>
                <w:sz w:val="20"/>
                <w:szCs w:val="20"/>
                <w:color w:val="auto"/>
              </w:rPr>
            </w:pPr>
            <w:r>
              <w:rPr>
                <w:rFonts w:ascii="Arial" w:cs="Arial" w:eastAsia="Arial" w:hAnsi="Arial"/>
                <w:sz w:val="18"/>
                <w:szCs w:val="18"/>
                <w:color w:val="auto"/>
                <w:w w:val="89"/>
              </w:rPr>
              <w:t>(Prime Rate as published in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left="370"/>
              <w:spacing w:after="0"/>
              <w:rPr>
                <w:sz w:val="20"/>
                <w:szCs w:val="20"/>
                <w:color w:val="auto"/>
              </w:rPr>
            </w:pPr>
            <w:r>
              <w:rPr>
                <w:rFonts w:ascii="Arial" w:cs="Arial" w:eastAsia="Arial" w:hAnsi="Arial"/>
                <w:sz w:val="18"/>
                <w:szCs w:val="18"/>
                <w:color w:val="auto"/>
                <w:w w:val="90"/>
              </w:rPr>
              <w:t>Wall Street Journal, however, in no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left="390"/>
              <w:spacing w:after="0"/>
              <w:rPr>
                <w:sz w:val="20"/>
                <w:szCs w:val="20"/>
                <w:color w:val="auto"/>
              </w:rPr>
            </w:pPr>
            <w:r>
              <w:rPr>
                <w:rFonts w:ascii="Arial" w:cs="Arial" w:eastAsia="Arial" w:hAnsi="Arial"/>
                <w:sz w:val="18"/>
                <w:szCs w:val="18"/>
                <w:color w:val="auto"/>
                <w:w w:val="88"/>
              </w:rPr>
              <w:t>event shall the Prime Rate be less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than 5.50%)</w:t>
            </w: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Security Interest</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End Of Term Payment</w:t>
            </w:r>
          </w:p>
        </w:tc>
        <w:tc>
          <w:tcPr>
            <w:tcW w:w="900" w:type="dxa"/>
            <w:vAlign w:val="bottom"/>
          </w:tcPr>
          <w:p>
            <w:pPr>
              <w:spacing w:after="0"/>
              <w:rPr>
                <w:sz w:val="24"/>
                <w:szCs w:val="24"/>
                <w:color w:val="auto"/>
              </w:rPr>
            </w:pPr>
          </w:p>
        </w:tc>
        <w:tc>
          <w:tcPr>
            <w:tcW w:w="220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w w:val="89"/>
              </w:rPr>
              <w:t>Facility Fee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gridSpan w:val="2"/>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60" w:type="dxa"/>
            <w:vAlign w:val="bottom"/>
          </w:tcPr>
          <w:p>
            <w:pPr>
              <w:spacing w:after="0"/>
              <w:rPr>
                <w:sz w:val="24"/>
                <w:szCs w:val="24"/>
                <w:color w:val="auto"/>
              </w:rPr>
            </w:pPr>
          </w:p>
        </w:tc>
        <w:tc>
          <w:tcPr>
            <w:tcW w:w="2600" w:type="dxa"/>
            <w:vAlign w:val="bottom"/>
            <w:gridSpan w:val="7"/>
          </w:tcPr>
          <w:p>
            <w:pPr>
              <w:jc w:val="center"/>
              <w:spacing w:after="0"/>
              <w:rPr>
                <w:sz w:val="20"/>
                <w:szCs w:val="20"/>
                <w:color w:val="auto"/>
              </w:rPr>
            </w:pPr>
            <w:r>
              <w:rPr>
                <w:rFonts w:ascii="Arial" w:cs="Arial" w:eastAsia="Arial" w:hAnsi="Arial"/>
                <w:sz w:val="18"/>
                <w:szCs w:val="18"/>
                <w:color w:val="auto"/>
                <w:w w:val="94"/>
              </w:rPr>
              <w:t>First priority security interest in all</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6"/>
          </w:tcPr>
          <w:p>
            <w:pPr>
              <w:jc w:val="center"/>
              <w:spacing w:after="0"/>
              <w:rPr>
                <w:sz w:val="20"/>
                <w:szCs w:val="20"/>
                <w:color w:val="auto"/>
              </w:rPr>
            </w:pPr>
            <w:r>
              <w:rPr>
                <w:rFonts w:ascii="Arial" w:cs="Arial" w:eastAsia="Arial" w:hAnsi="Arial"/>
                <w:sz w:val="18"/>
                <w:szCs w:val="18"/>
                <w:color w:val="auto"/>
                <w:w w:val="89"/>
              </w:rPr>
              <w:t>Part 1: 2.75% of each Advance</w:t>
            </w:r>
          </w:p>
        </w:tc>
        <w:tc>
          <w:tcPr>
            <w:tcW w:w="310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Part 1: $250,000 due on the First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00" w:type="dxa"/>
            <w:vAlign w:val="bottom"/>
            <w:gridSpan w:val="7"/>
          </w:tcPr>
          <w:p>
            <w:pPr>
              <w:jc w:val="center"/>
              <w:spacing w:after="0"/>
              <w:rPr>
                <w:sz w:val="20"/>
                <w:szCs w:val="20"/>
                <w:color w:val="auto"/>
              </w:rPr>
            </w:pPr>
            <w:r>
              <w:rPr>
                <w:rFonts w:ascii="Arial" w:cs="Arial" w:eastAsia="Arial" w:hAnsi="Arial"/>
                <w:sz w:val="18"/>
                <w:szCs w:val="18"/>
                <w:color w:val="auto"/>
                <w:w w:val="90"/>
              </w:rPr>
              <w:t>Collateral; negative pledge 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Amendment Closing Date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8"/>
                <w:szCs w:val="18"/>
                <w:color w:val="auto"/>
                <w:w w:val="93"/>
              </w:rPr>
              <w:t>Intellectual Property</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260" w:hanging="10"/>
        <w:spacing w:after="0" w:line="281" w:lineRule="auto"/>
        <w:tabs>
          <w:tab w:leader="none" w:pos="355" w:val="left"/>
        </w:tabs>
        <w:numPr>
          <w:ilvl w:val="0"/>
          <w:numId w:val="6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PAYMENT OBLIGATIONS. </w:t>
      </w:r>
      <w:r>
        <w:rPr>
          <w:rFonts w:ascii="Arial" w:cs="Arial" w:eastAsia="Arial" w:hAnsi="Arial"/>
          <w:sz w:val="18"/>
          <w:szCs w:val="18"/>
          <w:color w:val="auto"/>
        </w:rPr>
        <w:t>Notwithstanding anything in the Loan Agreement to the contrary, effective as of the date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Borrower satisfies all conditions to effectiveness set forth in Section 3:</w:t>
      </w:r>
    </w:p>
    <w:p>
      <w:pPr>
        <w:spacing w:after="0" w:line="72" w:lineRule="exact"/>
        <w:rPr>
          <w:rFonts w:ascii="Arial" w:cs="Arial" w:eastAsia="Arial" w:hAnsi="Arial"/>
          <w:sz w:val="18"/>
          <w:szCs w:val="18"/>
          <w:b w:val="1"/>
          <w:bCs w:val="1"/>
          <w:color w:val="auto"/>
        </w:rPr>
      </w:pPr>
    </w:p>
    <w:p>
      <w:pPr>
        <w:ind w:left="870" w:hanging="330"/>
        <w:spacing w:after="0"/>
        <w:tabs>
          <w:tab w:leader="none" w:pos="870" w:val="left"/>
        </w:tabs>
        <w:numPr>
          <w:ilvl w:val="1"/>
          <w:numId w:val="698"/>
        </w:numPr>
        <w:rPr>
          <w:rFonts w:ascii="Arial" w:cs="Arial" w:eastAsia="Arial" w:hAnsi="Arial"/>
          <w:sz w:val="16"/>
          <w:szCs w:val="16"/>
          <w:color w:val="auto"/>
        </w:rPr>
      </w:pPr>
      <w:r>
        <w:rPr>
          <w:rFonts w:ascii="Arial" w:cs="Arial" w:eastAsia="Arial" w:hAnsi="Arial"/>
          <w:sz w:val="16"/>
          <w:szCs w:val="16"/>
          <w:color w:val="auto"/>
        </w:rPr>
        <w:t>The Maturity Date for the Note RV-01 -01 shall be extended and shall be the First Amendment Closing Date (the “</w:t>
      </w:r>
      <w:r>
        <w:rPr>
          <w:rFonts w:ascii="Arial" w:cs="Arial" w:eastAsia="Arial" w:hAnsi="Arial"/>
          <w:sz w:val="16"/>
          <w:szCs w:val="16"/>
          <w:u w:val="single" w:color="auto"/>
          <w:color w:val="auto"/>
        </w:rPr>
        <w:t>Revised Maturity Date</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870" w:right="140" w:hanging="330"/>
        <w:spacing w:after="0" w:line="259" w:lineRule="auto"/>
        <w:tabs>
          <w:tab w:leader="none" w:pos="87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During the period from December 31, 2018 through the Revised Maturity Date, the Secured Obligations will be repaid monthly in interest only payments payable on the last day of each month (unless that date falls on a weekend or national holiday in which event such payment shall be due on the previous Business Day), followed by all outstanding principal and accrued interest due on the Revised Maturity Date, if not sooner paid in full.</w:t>
      </w:r>
    </w:p>
    <w:p>
      <w:pPr>
        <w:spacing w:after="0" w:line="181" w:lineRule="exact"/>
        <w:rPr>
          <w:rFonts w:ascii="Arial" w:cs="Arial" w:eastAsia="Arial" w:hAnsi="Arial"/>
          <w:sz w:val="18"/>
          <w:szCs w:val="18"/>
          <w:color w:val="auto"/>
        </w:rPr>
      </w:pPr>
    </w:p>
    <w:p>
      <w:pPr>
        <w:ind w:left="10" w:right="520" w:hanging="10"/>
        <w:spacing w:after="0" w:line="281" w:lineRule="auto"/>
        <w:tabs>
          <w:tab w:leader="none" w:pos="361" w:val="left"/>
        </w:tabs>
        <w:numPr>
          <w:ilvl w:val="0"/>
          <w:numId w:val="6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THE PARTIES AGREE TO FINANCE; DESIGNATION OF LEAD BORROWER: </w:t>
      </w:r>
      <w:r>
        <w:rPr>
          <w:rFonts w:ascii="Arial" w:cs="Arial" w:eastAsia="Arial" w:hAnsi="Arial"/>
          <w:sz w:val="18"/>
          <w:szCs w:val="18"/>
          <w:color w:val="auto"/>
        </w:rPr>
        <w:t>Section 1 is hereby amended amending by</w:t>
      </w:r>
      <w:r>
        <w:rPr>
          <w:rFonts w:ascii="Arial" w:cs="Arial" w:eastAsia="Arial" w:hAnsi="Arial"/>
          <w:sz w:val="18"/>
          <w:szCs w:val="18"/>
          <w:b w:val="1"/>
          <w:bCs w:val="1"/>
          <w:color w:val="auto"/>
        </w:rPr>
        <w:t xml:space="preserve"> </w:t>
      </w:r>
      <w:r>
        <w:rPr>
          <w:rFonts w:ascii="Arial" w:cs="Arial" w:eastAsia="Arial" w:hAnsi="Arial"/>
          <w:sz w:val="18"/>
          <w:szCs w:val="18"/>
          <w:color w:val="auto"/>
        </w:rPr>
        <w:t>deleting the first paragraph and replacing it with the following:</w:t>
      </w:r>
    </w:p>
    <w:p>
      <w:pPr>
        <w:spacing w:after="0" w:line="167" w:lineRule="exact"/>
        <w:rPr>
          <w:sz w:val="20"/>
          <w:szCs w:val="20"/>
          <w:color w:val="auto"/>
        </w:rPr>
      </w:pPr>
    </w:p>
    <w:p>
      <w:pPr>
        <w:ind w:left="10" w:right="100"/>
        <w:spacing w:after="0" w:line="255" w:lineRule="auto"/>
        <w:rPr>
          <w:sz w:val="20"/>
          <w:szCs w:val="20"/>
          <w:color w:val="auto"/>
        </w:rPr>
      </w:pPr>
      <w:r>
        <w:rPr>
          <w:rFonts w:ascii="Arial" w:cs="Arial" w:eastAsia="Arial" w:hAnsi="Arial"/>
          <w:sz w:val="18"/>
          <w:szCs w:val="18"/>
          <w:color w:val="auto"/>
        </w:rPr>
        <w:t>Provided that the conditions in Sections 4 and 5 and elsewhere in this Agreement are met, We will lend to You the Parts of the Commitment Amount as reflected in the Table of Terms and You agree to use such proceeds to finance any of Your general corporate needs, including Equipment. We will make one monthly Advance under the Revolving Loan and other Advances under the Growth Capital Loan, as requested (each an “</w:t>
      </w:r>
      <w:r>
        <w:rPr>
          <w:rFonts w:ascii="Arial" w:cs="Arial" w:eastAsia="Arial" w:hAnsi="Arial"/>
          <w:sz w:val="18"/>
          <w:szCs w:val="18"/>
          <w:b w:val="1"/>
          <w:bCs w:val="1"/>
          <w:color w:val="auto"/>
        </w:rPr>
        <w:t>Advance</w:t>
      </w:r>
      <w:r>
        <w:rPr>
          <w:rFonts w:ascii="Arial" w:cs="Arial" w:eastAsia="Arial" w:hAnsi="Arial"/>
          <w:sz w:val="18"/>
          <w:szCs w:val="18"/>
          <w:color w:val="auto"/>
        </w:rPr>
        <w:t>”) in minimum amounts as set forth in the Table of Terms up to a maximum of the Commitment Amount as provided in the Table of Terms. Our obligation to fund Advances under each Part of the Commitment Amount under this Agreement will end on the last day of the Availability Period noted in the Table of Terms for such Part.</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1" w:right="439" w:bottom="1440" w:gutter="0" w:footer="0" w:header="0"/>
        </w:sectPr>
      </w:pPr>
    </w:p>
    <w:bookmarkStart w:id="672" w:name="page673"/>
    <w:bookmarkEnd w:id="672"/>
    <w:p>
      <w:pPr>
        <w:ind w:left="10" w:right="360" w:hanging="10"/>
        <w:spacing w:after="0" w:line="281" w:lineRule="auto"/>
        <w:tabs>
          <w:tab w:leader="none" w:pos="348" w:val="left"/>
        </w:tabs>
        <w:numPr>
          <w:ilvl w:val="0"/>
          <w:numId w:val="6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YOU WILL ENTER INTO MULTIPLE PROMISSORY NOTES: </w:t>
      </w:r>
      <w:r>
        <w:rPr>
          <w:rFonts w:ascii="Arial" w:cs="Arial" w:eastAsia="Arial" w:hAnsi="Arial"/>
          <w:sz w:val="18"/>
          <w:szCs w:val="18"/>
          <w:color w:val="auto"/>
        </w:rPr>
        <w:t>Section 2 is hereby amended by deleting it in its entirety and replacing it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Revolving Loan</w:t>
      </w:r>
    </w:p>
    <w:p>
      <w:pPr>
        <w:spacing w:after="0" w:line="117" w:lineRule="exact"/>
        <w:rPr>
          <w:sz w:val="20"/>
          <w:szCs w:val="20"/>
          <w:color w:val="auto"/>
        </w:rPr>
      </w:pPr>
    </w:p>
    <w:p>
      <w:pPr>
        <w:ind w:left="10" w:right="80"/>
        <w:spacing w:after="0" w:line="280" w:lineRule="auto"/>
        <w:rPr>
          <w:sz w:val="20"/>
          <w:szCs w:val="20"/>
          <w:color w:val="auto"/>
        </w:rPr>
      </w:pPr>
      <w:r>
        <w:rPr>
          <w:rFonts w:ascii="Arial" w:cs="Arial" w:eastAsia="Arial" w:hAnsi="Arial"/>
          <w:sz w:val="17"/>
          <w:szCs w:val="17"/>
          <w:color w:val="auto"/>
        </w:rPr>
        <w:t>The Plain English Revolving Loan Promissory Note in the form of Exhibit A (“</w:t>
      </w:r>
      <w:r>
        <w:rPr>
          <w:rFonts w:ascii="Arial" w:cs="Arial" w:eastAsia="Arial" w:hAnsi="Arial"/>
          <w:sz w:val="17"/>
          <w:szCs w:val="17"/>
          <w:b w:val="1"/>
          <w:bCs w:val="1"/>
          <w:color w:val="auto"/>
        </w:rPr>
        <w:t>Revolving Promissory Note</w:t>
      </w:r>
      <w:r>
        <w:rPr>
          <w:rFonts w:ascii="Arial" w:cs="Arial" w:eastAsia="Arial" w:hAnsi="Arial"/>
          <w:sz w:val="17"/>
          <w:szCs w:val="17"/>
          <w:color w:val="auto"/>
        </w:rPr>
        <w:t>”) is the form of document the Parties will enter into upon the availability of each Tranche/Commitment Amount of the Revolving Loan. The Revolving Promissory Note evidences the Revolving Loan and all of the terms and conditions of this Agreement are incorporated in and made a part of the Revolving Promissory Note. For any Part that is not available on the Closing Date, the Parties will enter into a Revolving Promissory Note when such Part becomes available.</w:t>
      </w:r>
    </w:p>
    <w:p>
      <w:pPr>
        <w:spacing w:after="0" w:line="275"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Growth Capital Loan</w:t>
      </w:r>
    </w:p>
    <w:p>
      <w:pPr>
        <w:spacing w:after="0" w:line="117" w:lineRule="exact"/>
        <w:rPr>
          <w:sz w:val="20"/>
          <w:szCs w:val="20"/>
          <w:color w:val="auto"/>
        </w:rPr>
      </w:pPr>
    </w:p>
    <w:p>
      <w:pPr>
        <w:ind w:left="10"/>
        <w:spacing w:after="0" w:line="276" w:lineRule="auto"/>
        <w:rPr>
          <w:sz w:val="20"/>
          <w:szCs w:val="20"/>
          <w:color w:val="auto"/>
        </w:rPr>
      </w:pPr>
      <w:r>
        <w:rPr>
          <w:rFonts w:ascii="Arial" w:cs="Arial" w:eastAsia="Arial" w:hAnsi="Arial"/>
          <w:sz w:val="17"/>
          <w:szCs w:val="17"/>
          <w:color w:val="auto"/>
        </w:rPr>
        <w:t>The Plain English Growth Capital Promissory Note in the form of Exhibit 1 (the “</w:t>
      </w:r>
      <w:r>
        <w:rPr>
          <w:rFonts w:ascii="Arial" w:cs="Arial" w:eastAsia="Arial" w:hAnsi="Arial"/>
          <w:sz w:val="17"/>
          <w:szCs w:val="17"/>
          <w:b w:val="1"/>
          <w:bCs w:val="1"/>
          <w:color w:val="auto"/>
        </w:rPr>
        <w:t>Growth Capital Promissory Note</w:t>
      </w:r>
      <w:r>
        <w:rPr>
          <w:rFonts w:ascii="Arial" w:cs="Arial" w:eastAsia="Arial" w:hAnsi="Arial"/>
          <w:sz w:val="17"/>
          <w:szCs w:val="17"/>
          <w:color w:val="auto"/>
        </w:rPr>
        <w:t>”, collectively with the Revolving Promissory Note, the “Promissory Note”) is the document the Parties will enter into each time an Advance under the Growth Capital Loan is to be funded. The Growth Capital Promissory Note will contain the specific financial terms of the Advance (e.g. amount funded, interest rate, maturity date, Advance Date, payment due dates etc.) and all of the terms and conditions of this Agreement are incorporated in and made a part of each Growth Capital Promissory Note. There may be multiple Growth Capital Promissory Notes associated with this Agreement.</w:t>
      </w:r>
    </w:p>
    <w:p>
      <w:pPr>
        <w:spacing w:after="0" w:line="171" w:lineRule="exact"/>
        <w:rPr>
          <w:sz w:val="20"/>
          <w:szCs w:val="20"/>
          <w:color w:val="auto"/>
        </w:rPr>
      </w:pPr>
    </w:p>
    <w:p>
      <w:pPr>
        <w:ind w:left="10" w:right="460" w:hanging="10"/>
        <w:spacing w:after="0" w:line="281" w:lineRule="auto"/>
        <w:tabs>
          <w:tab w:leader="none" w:pos="328" w:val="left"/>
        </w:tabs>
        <w:numPr>
          <w:ilvl w:val="0"/>
          <w:numId w:val="7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HOW WILL YOU REQUEST ADVANCES: </w:t>
      </w:r>
      <w:r>
        <w:rPr>
          <w:rFonts w:ascii="Arial" w:cs="Arial" w:eastAsia="Arial" w:hAnsi="Arial"/>
          <w:sz w:val="18"/>
          <w:szCs w:val="18"/>
          <w:color w:val="auto"/>
        </w:rPr>
        <w:t>Section 4 is hereby amended by deleting the second to last paragraph and replacing it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7" w:lineRule="exact"/>
        <w:rPr>
          <w:sz w:val="20"/>
          <w:szCs w:val="20"/>
          <w:color w:val="auto"/>
        </w:rPr>
      </w:pPr>
    </w:p>
    <w:p>
      <w:pPr>
        <w:ind w:left="10" w:right="160"/>
        <w:spacing w:after="0" w:line="256" w:lineRule="auto"/>
        <w:rPr>
          <w:sz w:val="20"/>
          <w:szCs w:val="20"/>
          <w:color w:val="auto"/>
        </w:rPr>
      </w:pPr>
      <w:r>
        <w:rPr>
          <w:rFonts w:ascii="Arial" w:cs="Arial" w:eastAsia="Arial" w:hAnsi="Arial"/>
          <w:sz w:val="18"/>
          <w:szCs w:val="18"/>
          <w:color w:val="auto"/>
        </w:rPr>
        <w:t>After We check and approve the information You provide in the Advance Request, (a) with respect to the Revolving Loan, upon Your initial Advance Request, We will prepare and provide to You a Revolving Promissory Note for Your signature and (b) with respect to the Growth Capital Loan, upon each Advance Request, We will prepare and provide to You a Growth Capital Promissory Note and an amortization schedule for Your signature. Upon receipt of the Promissory Note signed by Your authorized officer and confirmation by Us that all conditions to funding an Advance have been met, We will then advance the requested funds to You.</w:t>
      </w:r>
    </w:p>
    <w:p>
      <w:pPr>
        <w:spacing w:after="0" w:line="187" w:lineRule="exact"/>
        <w:rPr>
          <w:sz w:val="20"/>
          <w:szCs w:val="20"/>
          <w:color w:val="auto"/>
        </w:rPr>
      </w:pPr>
    </w:p>
    <w:p>
      <w:pPr>
        <w:ind w:left="370" w:hanging="370"/>
        <w:spacing w:after="0"/>
        <w:tabs>
          <w:tab w:leader="none" w:pos="370" w:val="left"/>
        </w:tabs>
        <w:numPr>
          <w:ilvl w:val="0"/>
          <w:numId w:val="7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FOR US TO MAKE LOANS TO YOU: </w:t>
      </w:r>
      <w:r>
        <w:rPr>
          <w:rFonts w:ascii="Arial" w:cs="Arial" w:eastAsia="Arial" w:hAnsi="Arial"/>
          <w:sz w:val="18"/>
          <w:szCs w:val="18"/>
          <w:color w:val="auto"/>
        </w:rPr>
        <w:t>Section 5 is hereby amended amending adding the following:</w:t>
      </w:r>
    </w:p>
    <w:p>
      <w:pPr>
        <w:spacing w:after="0" w:line="134" w:lineRule="exact"/>
        <w:rPr>
          <w:rFonts w:ascii="Arial" w:cs="Arial" w:eastAsia="Arial" w:hAnsi="Arial"/>
          <w:sz w:val="18"/>
          <w:szCs w:val="18"/>
          <w:b w:val="1"/>
          <w:bCs w:val="1"/>
          <w:color w:val="auto"/>
        </w:rPr>
      </w:pPr>
    </w:p>
    <w:p>
      <w:pPr>
        <w:ind w:left="870" w:hanging="330"/>
        <w:spacing w:after="0"/>
        <w:tabs>
          <w:tab w:leader="none" w:pos="870" w:val="left"/>
        </w:tabs>
        <w:numPr>
          <w:ilvl w:val="1"/>
          <w:numId w:val="701"/>
        </w:numPr>
        <w:rPr>
          <w:rFonts w:ascii="Arial" w:cs="Arial" w:eastAsia="Arial" w:hAnsi="Arial"/>
          <w:sz w:val="16"/>
          <w:szCs w:val="16"/>
          <w:color w:val="auto"/>
        </w:rPr>
      </w:pPr>
      <w:r>
        <w:rPr>
          <w:rFonts w:ascii="Arial" w:cs="Arial" w:eastAsia="Arial" w:hAnsi="Arial"/>
          <w:sz w:val="16"/>
          <w:szCs w:val="16"/>
          <w:color w:val="auto"/>
        </w:rPr>
        <w:t>The initial Advance under the Growth Capital Loan shall be used to prepay, in its entirety, all amounts owing in respect of Note RV-01-01.</w:t>
      </w:r>
    </w:p>
    <w:p>
      <w:pPr>
        <w:spacing w:after="0" w:line="243" w:lineRule="exact"/>
        <w:rPr>
          <w:rFonts w:ascii="Arial" w:cs="Arial" w:eastAsia="Arial" w:hAnsi="Arial"/>
          <w:sz w:val="16"/>
          <w:szCs w:val="16"/>
          <w:color w:val="auto"/>
        </w:rPr>
      </w:pPr>
    </w:p>
    <w:p>
      <w:pPr>
        <w:ind w:left="350" w:hanging="350"/>
        <w:spacing w:after="0"/>
        <w:tabs>
          <w:tab w:leader="none" w:pos="350"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 MAY PREPAY PROMISSORY NOTES: </w:t>
      </w:r>
      <w:r>
        <w:rPr>
          <w:rFonts w:ascii="Arial" w:cs="Arial" w:eastAsia="Arial" w:hAnsi="Arial"/>
          <w:sz w:val="17"/>
          <w:szCs w:val="17"/>
          <w:color w:val="auto"/>
        </w:rPr>
        <w:t>Section 6 is hereby amended by deleting it in its entirety and replacing it with the following:</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Revolving Loan</w:t>
      </w:r>
    </w:p>
    <w:p>
      <w:pPr>
        <w:spacing w:after="0" w:line="121" w:lineRule="exact"/>
        <w:rPr>
          <w:sz w:val="20"/>
          <w:szCs w:val="20"/>
          <w:color w:val="auto"/>
        </w:rPr>
      </w:pPr>
    </w:p>
    <w:p>
      <w:pPr>
        <w:ind w:left="10" w:right="100"/>
        <w:spacing w:after="0" w:line="256" w:lineRule="auto"/>
        <w:rPr>
          <w:sz w:val="20"/>
          <w:szCs w:val="20"/>
          <w:color w:val="auto"/>
        </w:rPr>
      </w:pPr>
      <w:r>
        <w:rPr>
          <w:rFonts w:ascii="Arial" w:cs="Arial" w:eastAsia="Arial" w:hAnsi="Arial"/>
          <w:sz w:val="18"/>
          <w:szCs w:val="18"/>
          <w:color w:val="auto"/>
        </w:rPr>
        <w:t>You may at any time prepay any amounts outstanding under all of the Revolving Promissory Notes in part or in full, without premium or penalty, by paying: (a) the principal amount being prepaid and all accrued interest calculated as if the date of such prepayment occurred on the next scheduled monthly payment date per the respective Promissory Notes, (b) the End of Term Payment, prorated for any partial payment, and (c) all other Secured Obligations, if any, that shall have become due and payable, including interest at the Default Rate with respect to any past due amounts as of the date of prepayment.</w:t>
      </w:r>
    </w:p>
    <w:p>
      <w:pPr>
        <w:spacing w:after="0" w:line="295"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Growth Capital Loan</w:t>
      </w:r>
    </w:p>
    <w:p>
      <w:pPr>
        <w:spacing w:after="0" w:line="121" w:lineRule="exact"/>
        <w:rPr>
          <w:sz w:val="20"/>
          <w:szCs w:val="20"/>
          <w:color w:val="auto"/>
        </w:rPr>
      </w:pPr>
    </w:p>
    <w:p>
      <w:pPr>
        <w:ind w:left="10" w:right="20"/>
        <w:spacing w:after="0" w:line="256" w:lineRule="auto"/>
        <w:rPr>
          <w:sz w:val="20"/>
          <w:szCs w:val="20"/>
          <w:color w:val="auto"/>
        </w:rPr>
      </w:pPr>
      <w:r>
        <w:rPr>
          <w:rFonts w:ascii="Arial" w:cs="Arial" w:eastAsia="Arial" w:hAnsi="Arial"/>
          <w:sz w:val="18"/>
          <w:szCs w:val="18"/>
          <w:color w:val="auto"/>
        </w:rPr>
        <w:t>You may at any time prepay any Growth Capital Promissory Note in full (but not in part), without premium or penalty, by (a) giving five (5) Business Days prior written notice, and (b) paying: (i) the remaining outstanding principal amount and all accrued interest calculated as if the date of such prepayment occurred on the next scheduled monthly payment date per the respective Promissory Note, (ii) the End of Term Payment, (iii) all other Secured Obligations, if any, that shall have become due and payable, including interest at the Default Rate with respect to any past due amounts as of the date of prepayment, and (iv) the Prepayment Fee.</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1" w:right="439" w:bottom="1440" w:gutter="0" w:footer="0" w:header="0"/>
        </w:sectPr>
      </w:pPr>
    </w:p>
    <w:bookmarkStart w:id="673" w:name="page674"/>
    <w:bookmarkEnd w:id="673"/>
    <w:p>
      <w:pPr>
        <w:ind w:left="290" w:hanging="290"/>
        <w:spacing w:after="0"/>
        <w:tabs>
          <w:tab w:leader="none" w:pos="290" w:val="left"/>
        </w:tabs>
        <w:numPr>
          <w:ilvl w:val="0"/>
          <w:numId w:val="70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HOW AND WHAT WILL YOU PAY US: </w:t>
      </w:r>
      <w:r>
        <w:rPr>
          <w:rFonts w:ascii="Arial" w:cs="Arial" w:eastAsia="Arial" w:hAnsi="Arial"/>
          <w:sz w:val="17"/>
          <w:szCs w:val="17"/>
          <w:color w:val="auto"/>
        </w:rPr>
        <w:t>Section 9 is hereby amended amending by deleting in its entirety and replacing it with the following:</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Revolving Loan</w:t>
      </w:r>
    </w:p>
    <w:p>
      <w:pPr>
        <w:spacing w:after="0" w:line="117" w:lineRule="exact"/>
        <w:rPr>
          <w:sz w:val="20"/>
          <w:szCs w:val="20"/>
          <w:color w:val="auto"/>
        </w:rPr>
      </w:pPr>
    </w:p>
    <w:p>
      <w:pPr>
        <w:ind w:left="10"/>
        <w:spacing w:after="0" w:line="270" w:lineRule="auto"/>
        <w:rPr>
          <w:sz w:val="20"/>
          <w:szCs w:val="20"/>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Except as set forth in Section 7 with respect to interest that accrues at the Default Rate, the principal balance of each Revolving Loan</w:t>
      </w:r>
      <w:r>
        <w:rPr>
          <w:rFonts w:ascii="Arial" w:cs="Arial" w:eastAsia="Arial" w:hAnsi="Arial"/>
          <w:sz w:val="17"/>
          <w:szCs w:val="17"/>
          <w:b w:val="1"/>
          <w:bCs w:val="1"/>
          <w:color w:val="auto"/>
        </w:rPr>
        <w:t xml:space="preserve"> </w:t>
      </w:r>
      <w:r>
        <w:rPr>
          <w:rFonts w:ascii="Arial" w:cs="Arial" w:eastAsia="Arial" w:hAnsi="Arial"/>
          <w:sz w:val="17"/>
          <w:szCs w:val="17"/>
          <w:color w:val="auto"/>
        </w:rPr>
        <w:t>Promissory Note shall accrue interest at the percentage per year as indicated in the Revolving Loan Facility Information in the Table of Terms, and shall be computed daily on the basis of a year consisting of 360 days for the actual number of days occurring in the period for which such interest is payable, and interest shall accrue from the date on which the Revolving Loan Advance funded to any of You. Monthly installments of interest shall be payable on the last day of each month through the Revolving Loan Maturity Date (unless that date falls on a weekend or national holiday in which event such payment shall be due on the previous Business Day). In the event that the Prime Rate is changed from time to time during the term of this Agreement, the applicable rate of interest for the outstanding principal balance of the Revolving Loan Advances shall be increased or decreased, effective as of the day the Prime Rate is changed, by an amount equal to such change in the Prime Rate. The first payment date for each Revolving Loan Advance will be the last day of the month in which the Revolving Loan Advance was funded. All outstanding principal and accrued interest shall be due on the Revolving Loan Maturity Date, if not sooner paid in full.</w:t>
      </w:r>
    </w:p>
    <w:p>
      <w:pPr>
        <w:spacing w:after="0" w:line="175" w:lineRule="exact"/>
        <w:rPr>
          <w:sz w:val="20"/>
          <w:szCs w:val="20"/>
          <w:color w:val="auto"/>
        </w:rPr>
      </w:pPr>
    </w:p>
    <w:p>
      <w:pPr>
        <w:ind w:left="10" w:right="540"/>
        <w:spacing w:after="0" w:line="281" w:lineRule="auto"/>
        <w:rPr>
          <w:sz w:val="20"/>
          <w:szCs w:val="20"/>
          <w:color w:val="auto"/>
        </w:rPr>
      </w:pPr>
      <w:r>
        <w:rPr>
          <w:rFonts w:ascii="Arial" w:cs="Arial" w:eastAsia="Arial" w:hAnsi="Arial"/>
          <w:sz w:val="18"/>
          <w:szCs w:val="18"/>
          <w:b w:val="1"/>
          <w:bCs w:val="1"/>
          <w:color w:val="auto"/>
        </w:rPr>
        <w:t xml:space="preserve">Interest Rate Adjustment. </w:t>
      </w:r>
      <w:r>
        <w:rPr>
          <w:rFonts w:ascii="Arial" w:cs="Arial" w:eastAsia="Arial" w:hAnsi="Arial"/>
          <w:sz w:val="18"/>
          <w:szCs w:val="18"/>
          <w:color w:val="auto"/>
        </w:rPr>
        <w:t>Immediately upon execution of a Working Capital Loan Facility the Interest Rate for all outstanding Revolving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and any new Revolving Loan Advances shall increase by one percent (1%).</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Re-borrowing. </w:t>
      </w:r>
      <w:r>
        <w:rPr>
          <w:rFonts w:ascii="Arial" w:cs="Arial" w:eastAsia="Arial" w:hAnsi="Arial"/>
          <w:sz w:val="17"/>
          <w:szCs w:val="17"/>
          <w:color w:val="auto"/>
        </w:rPr>
        <w:t>Any amounts that You repay on the Revolving Loan Advances may be re-borrowed during the applicable Availability Period.</w:t>
      </w:r>
    </w:p>
    <w:p>
      <w:pPr>
        <w:spacing w:after="0" w:line="344" w:lineRule="exact"/>
        <w:rPr>
          <w:sz w:val="20"/>
          <w:szCs w:val="20"/>
          <w:color w:val="auto"/>
        </w:rPr>
      </w:pPr>
    </w:p>
    <w:p>
      <w:pPr>
        <w:ind w:left="10"/>
        <w:spacing w:after="0"/>
        <w:rPr>
          <w:sz w:val="20"/>
          <w:szCs w:val="20"/>
          <w:color w:val="auto"/>
        </w:rPr>
      </w:pPr>
      <w:r>
        <w:rPr>
          <w:rFonts w:ascii="Arial" w:cs="Arial" w:eastAsia="Arial" w:hAnsi="Arial"/>
          <w:sz w:val="18"/>
          <w:szCs w:val="18"/>
          <w:b w:val="1"/>
          <w:bCs w:val="1"/>
          <w:u w:val="single" w:color="auto"/>
          <w:color w:val="auto"/>
        </w:rPr>
        <w:t>Growth Capital Loan</w:t>
      </w:r>
    </w:p>
    <w:p>
      <w:pPr>
        <w:spacing w:after="0" w:line="117" w:lineRule="exact"/>
        <w:rPr>
          <w:sz w:val="20"/>
          <w:szCs w:val="20"/>
          <w:color w:val="auto"/>
        </w:rPr>
      </w:pPr>
    </w:p>
    <w:p>
      <w:pPr>
        <w:jc w:val="both"/>
        <w:ind w:left="10" w:right="200"/>
        <w:spacing w:after="0" w:line="266" w:lineRule="auto"/>
        <w:rPr>
          <w:sz w:val="20"/>
          <w:szCs w:val="20"/>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The first payment date for each Growth Capital Loan Advance will be the first day of the month following the month in which the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Loan Advance was funded, unless that Growth Capital Loan Advance is funded on the first day of that month, in which case the first payment date shall be the Advance Date.</w:t>
      </w:r>
    </w:p>
    <w:p>
      <w:pPr>
        <w:spacing w:after="0" w:line="179" w:lineRule="exact"/>
        <w:rPr>
          <w:sz w:val="20"/>
          <w:szCs w:val="20"/>
          <w:color w:val="auto"/>
        </w:rPr>
      </w:pPr>
    </w:p>
    <w:p>
      <w:pPr>
        <w:ind w:left="10"/>
        <w:spacing w:after="0" w:line="273" w:lineRule="auto"/>
        <w:rPr>
          <w:sz w:val="20"/>
          <w:szCs w:val="20"/>
          <w:color w:val="auto"/>
        </w:rPr>
      </w:pPr>
      <w:r>
        <w:rPr>
          <w:rFonts w:ascii="Arial" w:cs="Arial" w:eastAsia="Arial" w:hAnsi="Arial"/>
          <w:sz w:val="17"/>
          <w:szCs w:val="17"/>
          <w:color w:val="auto"/>
        </w:rPr>
        <w:t>Each Growth Capital Loan Advance shall be due in monthly installments consisting of that number of months of interest only as indicated in the Growth Capital Loan Facility Information in the Table of Terms followed by the remaining monthly installment payments, as indicated in the Table of Terms, of principal and interest. All payments are payable on the first day of each month through the last payment date (unless that date falls on a day that is not a Business Day in which event such payment shall be due on the previous Business Day). The outstanding balance of each Growth Capital Loan Advance shall be due and payable in full in immediately available funds on the Maturity Date (as defined in the applicable Growth Capital Promissory Note for such Growth Capital Loan Advance), if not sooner paid in full.</w:t>
      </w:r>
    </w:p>
    <w:p>
      <w:pPr>
        <w:spacing w:after="0" w:line="173" w:lineRule="exact"/>
        <w:rPr>
          <w:sz w:val="20"/>
          <w:szCs w:val="20"/>
          <w:color w:val="auto"/>
        </w:rPr>
      </w:pPr>
    </w:p>
    <w:p>
      <w:pPr>
        <w:ind w:left="10" w:right="60"/>
        <w:spacing w:after="0" w:line="297" w:lineRule="auto"/>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The principal balance of each Growth Capital Promissory Note shall accrue interest at the percentage per year as indicated in the Table of</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shall be computed daily on the basis of a year consisting of 360 days for the actual number of days occurring in the period for which such interest is payable, and interest shall accrue in advance from the Advance Date. In the event that the Prime Rate is changed from time to time during the term of this Agreement, the applicable rate of interest for the outstanding principal balance of the Growth Capital Loan Advances shall be increased or decreased, effective as of the day the Prime Rate is changed, by an amount equal to such change in the Prime Rate.</w:t>
      </w:r>
    </w:p>
    <w:p>
      <w:pPr>
        <w:spacing w:after="0" w:line="157" w:lineRule="exact"/>
        <w:rPr>
          <w:sz w:val="20"/>
          <w:szCs w:val="20"/>
          <w:color w:val="auto"/>
        </w:rPr>
      </w:pPr>
    </w:p>
    <w:p>
      <w:pPr>
        <w:ind w:left="10"/>
        <w:spacing w:after="0" w:line="266" w:lineRule="auto"/>
        <w:rPr>
          <w:sz w:val="20"/>
          <w:szCs w:val="20"/>
          <w:color w:val="auto"/>
        </w:rPr>
      </w:pPr>
      <w:r>
        <w:rPr>
          <w:rFonts w:ascii="Arial" w:cs="Arial" w:eastAsia="Arial" w:hAnsi="Arial"/>
          <w:sz w:val="18"/>
          <w:szCs w:val="18"/>
          <w:b w:val="1"/>
          <w:bCs w:val="1"/>
          <w:color w:val="auto"/>
        </w:rPr>
        <w:t xml:space="preserve">Interim Payment. </w:t>
      </w:r>
      <w:r>
        <w:rPr>
          <w:rFonts w:ascii="Arial" w:cs="Arial" w:eastAsia="Arial" w:hAnsi="Arial"/>
          <w:sz w:val="18"/>
          <w:szCs w:val="18"/>
          <w:color w:val="auto"/>
        </w:rPr>
        <w:t>In the event a Growth Capital Loan Advance is made on any day other than the first day of the month, You shall make payment to Us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Advance Date in an amount equal to the per diem interest for the time from the Advance Date through and including the last day of the month in which the Growth Capital Loan Advance is funded.</w:t>
      </w:r>
    </w:p>
    <w:p>
      <w:pPr>
        <w:spacing w:after="0" w:line="28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You shall pay to Us the following fees and expenses:</w:t>
      </w:r>
    </w:p>
    <w:p>
      <w:pPr>
        <w:spacing w:after="0" w:line="130" w:lineRule="exact"/>
        <w:rPr>
          <w:sz w:val="20"/>
          <w:szCs w:val="20"/>
          <w:color w:val="auto"/>
        </w:rPr>
      </w:pPr>
    </w:p>
    <w:p>
      <w:pPr>
        <w:ind w:left="870" w:right="20" w:hanging="330"/>
        <w:spacing w:after="0" w:line="281" w:lineRule="auto"/>
        <w:tabs>
          <w:tab w:leader="none" w:pos="870"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 xml:space="preserve">Facility Fees. </w:t>
      </w:r>
      <w:r>
        <w:rPr>
          <w:rFonts w:ascii="Arial" w:cs="Arial" w:eastAsia="Arial" w:hAnsi="Arial"/>
          <w:sz w:val="18"/>
          <w:szCs w:val="18"/>
          <w:color w:val="auto"/>
        </w:rPr>
        <w:t>On or before the Closing Date or First Amendment Closing Date, or upon availability of additional Commitment Amounts,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may be, the respective Facility Fee as indicated in the Table of Terms.</w:t>
      </w:r>
    </w:p>
    <w:p>
      <w:pPr>
        <w:spacing w:after="0" w:line="68" w:lineRule="exact"/>
        <w:rPr>
          <w:rFonts w:ascii="Arial" w:cs="Arial" w:eastAsia="Arial" w:hAnsi="Arial"/>
          <w:sz w:val="18"/>
          <w:szCs w:val="18"/>
          <w:color w:val="auto"/>
        </w:rPr>
      </w:pPr>
    </w:p>
    <w:p>
      <w:pPr>
        <w:ind w:left="870" w:right="60" w:hanging="330"/>
        <w:spacing w:after="0" w:line="281" w:lineRule="auto"/>
        <w:tabs>
          <w:tab w:leader="none" w:pos="870"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 xml:space="preserve">End of Term Payment. </w:t>
      </w:r>
      <w:r>
        <w:rPr>
          <w:rFonts w:ascii="Arial" w:cs="Arial" w:eastAsia="Arial" w:hAnsi="Arial"/>
          <w:sz w:val="18"/>
          <w:szCs w:val="18"/>
          <w:color w:val="auto"/>
        </w:rPr>
        <w:t>Upon the earlier of the expiration of the Loan Term or last payment date for any Promissory Note, the End of Term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indicated in the Table of Terms.</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0" w:right="459" w:bottom="1440" w:gutter="0" w:footer="0" w:header="0"/>
        </w:sectPr>
      </w:pPr>
    </w:p>
    <w:bookmarkStart w:id="674" w:name="page675"/>
    <w:bookmarkEnd w:id="674"/>
    <w:p>
      <w:pPr>
        <w:ind w:left="870" w:hanging="330"/>
        <w:spacing w:after="0"/>
        <w:tabs>
          <w:tab w:leader="none" w:pos="870" w:val="left"/>
        </w:tabs>
        <w:numPr>
          <w:ilvl w:val="0"/>
          <w:numId w:val="70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Prepayment Fee. </w:t>
      </w:r>
      <w:r>
        <w:rPr>
          <w:rFonts w:ascii="Arial" w:cs="Arial" w:eastAsia="Arial" w:hAnsi="Arial"/>
          <w:sz w:val="18"/>
          <w:szCs w:val="18"/>
          <w:color w:val="auto"/>
        </w:rPr>
        <w:t>An additional prepayment premium (“</w:t>
      </w:r>
      <w:r>
        <w:rPr>
          <w:rFonts w:ascii="Arial" w:cs="Arial" w:eastAsia="Arial" w:hAnsi="Arial"/>
          <w:sz w:val="18"/>
          <w:szCs w:val="18"/>
          <w:b w:val="1"/>
          <w:bCs w:val="1"/>
          <w:color w:val="auto"/>
        </w:rPr>
        <w:t>Prepayment Fee</w:t>
      </w:r>
      <w:r>
        <w:rPr>
          <w:rFonts w:ascii="Arial" w:cs="Arial" w:eastAsia="Arial" w:hAnsi="Arial"/>
          <w:sz w:val="18"/>
          <w:szCs w:val="18"/>
          <w:color w:val="auto"/>
        </w:rPr>
        <w:t>”) shall be payable as follows:</w:t>
      </w:r>
    </w:p>
    <w:p>
      <w:pPr>
        <w:spacing w:after="0" w:line="120" w:lineRule="exact"/>
        <w:rPr>
          <w:rFonts w:ascii="Arial" w:cs="Arial" w:eastAsia="Arial" w:hAnsi="Arial"/>
          <w:sz w:val="18"/>
          <w:szCs w:val="18"/>
          <w:color w:val="auto"/>
        </w:rPr>
      </w:pPr>
    </w:p>
    <w:p>
      <w:pPr>
        <w:ind w:left="890" w:right="240" w:hanging="9"/>
        <w:spacing w:after="0" w:line="277" w:lineRule="auto"/>
        <w:tabs>
          <w:tab w:leader="none" w:pos="1269" w:val="left"/>
        </w:tabs>
        <w:numPr>
          <w:ilvl w:val="1"/>
          <w:numId w:val="704"/>
        </w:numPr>
        <w:rPr>
          <w:rFonts w:ascii="Arial" w:cs="Arial" w:eastAsia="Arial" w:hAnsi="Arial"/>
          <w:sz w:val="18"/>
          <w:szCs w:val="18"/>
          <w:color w:val="auto"/>
        </w:rPr>
      </w:pPr>
      <w:r>
        <w:rPr>
          <w:rFonts w:ascii="Arial" w:cs="Arial" w:eastAsia="Arial" w:hAnsi="Arial"/>
          <w:sz w:val="18"/>
          <w:szCs w:val="18"/>
          <w:color w:val="auto"/>
        </w:rPr>
        <w:t>If prepaid in months 1-12 of the Loan Term of any Growth Capital Promissory Note: 1.00% of the outstanding balance owing under such Promissory Note; and</w:t>
      </w:r>
    </w:p>
    <w:p>
      <w:pPr>
        <w:spacing w:after="0" w:line="61" w:lineRule="exact"/>
        <w:rPr>
          <w:rFonts w:ascii="Arial" w:cs="Arial" w:eastAsia="Arial" w:hAnsi="Arial"/>
          <w:sz w:val="18"/>
          <w:szCs w:val="18"/>
          <w:color w:val="auto"/>
        </w:rPr>
      </w:pPr>
    </w:p>
    <w:p>
      <w:pPr>
        <w:ind w:left="1270" w:hanging="389"/>
        <w:spacing w:after="0"/>
        <w:tabs>
          <w:tab w:leader="none" w:pos="1270" w:val="left"/>
        </w:tabs>
        <w:numPr>
          <w:ilvl w:val="1"/>
          <w:numId w:val="704"/>
        </w:numPr>
        <w:rPr>
          <w:rFonts w:ascii="Arial" w:cs="Arial" w:eastAsia="Arial" w:hAnsi="Arial"/>
          <w:sz w:val="16"/>
          <w:szCs w:val="16"/>
          <w:color w:val="auto"/>
        </w:rPr>
      </w:pPr>
      <w:r>
        <w:rPr>
          <w:rFonts w:ascii="Arial" w:cs="Arial" w:eastAsia="Arial" w:hAnsi="Arial"/>
          <w:sz w:val="16"/>
          <w:szCs w:val="16"/>
          <w:color w:val="auto"/>
        </w:rPr>
        <w:t>If prepaid after month 12 of the Loan Term of any Growth Capital Promissory Note, no additional prepayment premium shall be due.</w:t>
      </w:r>
    </w:p>
    <w:p>
      <w:pPr>
        <w:spacing w:after="0" w:line="24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Re-borrowing. </w:t>
      </w:r>
      <w:r>
        <w:rPr>
          <w:rFonts w:ascii="Arial" w:cs="Arial" w:eastAsia="Arial" w:hAnsi="Arial"/>
          <w:sz w:val="18"/>
          <w:szCs w:val="18"/>
          <w:color w:val="auto"/>
        </w:rPr>
        <w:t>Any amounts that You repay on the Growth Capital Loan Advances may not be re-borrowed.</w:t>
      </w:r>
    </w:p>
    <w:p>
      <w:pPr>
        <w:spacing w:after="0" w:line="225" w:lineRule="exact"/>
        <w:rPr>
          <w:sz w:val="20"/>
          <w:szCs w:val="20"/>
          <w:color w:val="auto"/>
        </w:rPr>
      </w:pPr>
    </w:p>
    <w:p>
      <w:pPr>
        <w:ind w:left="10"/>
        <w:spacing w:after="0" w:line="271" w:lineRule="auto"/>
        <w:rPr>
          <w:sz w:val="20"/>
          <w:szCs w:val="20"/>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Payments are due electronically by automatic debit through Automated Clearing House (ACH) payment on or before the last day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month in the case of a Revolving Loan or the first day of the month in the case of a Growth Capital Loan. You agree to fill out and execute the electronic funds transfer/automatic debit Authorization form that We provide. If We do not receive any payments from You within two (2) Business Days after they are due, You will pay a late charge on the overdue amount. The late charge will be equal to five percent (5%) of the amount due for each month not paid when due and until such time as payment is received. All payments shall be free and clear of any taxes, withholdings, duties, impositions or other charges, to the end that We will receive the entire amount of any Secured Obligations payable under this Agreement, regardless of the source of payment. Any interest not paid when due shall be compounded by becoming a part of the Secured Obligations, and such interest shall then accrue interest at the rate then applicable under this Agreement and the applicable Promissory Note.</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J. COVENANTS: </w:t>
      </w:r>
      <w:r>
        <w:rPr>
          <w:rFonts w:ascii="Arial" w:cs="Arial" w:eastAsia="Arial" w:hAnsi="Arial"/>
          <w:sz w:val="18"/>
          <w:szCs w:val="18"/>
          <w:color w:val="auto"/>
        </w:rPr>
        <w:t>Section 12, “YOUR CONVENANTS TO US” is hereby amended by deleting subparagraph “Dispositions, Liens and</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8"/>
          <w:szCs w:val="18"/>
          <w:color w:val="auto"/>
        </w:rPr>
        <w:t>Encumbrances” in its entirety and replacing it with the following:</w:t>
      </w:r>
    </w:p>
    <w:p>
      <w:pPr>
        <w:spacing w:after="0" w:line="206" w:lineRule="exact"/>
        <w:rPr>
          <w:sz w:val="20"/>
          <w:szCs w:val="20"/>
          <w:color w:val="auto"/>
        </w:rPr>
      </w:pPr>
    </w:p>
    <w:p>
      <w:pPr>
        <w:ind w:left="10" w:right="120"/>
        <w:spacing w:after="0" w:line="289" w:lineRule="auto"/>
        <w:rPr>
          <w:sz w:val="20"/>
          <w:szCs w:val="20"/>
          <w:color w:val="auto"/>
        </w:rPr>
      </w:pPr>
      <w:r>
        <w:rPr>
          <w:rFonts w:ascii="Arial" w:cs="Arial" w:eastAsia="Arial" w:hAnsi="Arial"/>
          <w:sz w:val="16"/>
          <w:szCs w:val="16"/>
          <w:b w:val="1"/>
          <w:bCs w:val="1"/>
          <w:color w:val="auto"/>
        </w:rPr>
        <w:t xml:space="preserve">Dispositions, Liens and Encumbrances. </w:t>
      </w:r>
      <w:r>
        <w:rPr>
          <w:rFonts w:ascii="Arial" w:cs="Arial" w:eastAsia="Arial" w:hAnsi="Arial"/>
          <w:sz w:val="16"/>
          <w:szCs w:val="16"/>
          <w:color w:val="auto"/>
        </w:rPr>
        <w:t>None of You will nor will You permit any of Your Subsidiaries to, transfer, sell, assign, grant a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hypothecate, permit or suffer to exist any Lien, or otherwise transfer any interest in or encumber any portion of Your properties or assets (or those of any Subsidiary), including the Intellectual Property, either voluntarily or involuntarily, without Our prior written consent, other than:</w:t>
      </w:r>
    </w:p>
    <w:p>
      <w:pPr>
        <w:spacing w:after="0" w:line="1" w:lineRule="exact"/>
        <w:rPr>
          <w:sz w:val="20"/>
          <w:szCs w:val="20"/>
          <w:color w:val="auto"/>
        </w:rPr>
      </w:pPr>
    </w:p>
    <w:p>
      <w:pPr>
        <w:ind w:left="10" w:right="20" w:hanging="10"/>
        <w:spacing w:after="0" w:line="286" w:lineRule="auto"/>
        <w:tabs>
          <w:tab w:leader="none" w:pos="254" w:val="left"/>
        </w:tabs>
        <w:numPr>
          <w:ilvl w:val="0"/>
          <w:numId w:val="705"/>
        </w:numPr>
        <w:rPr>
          <w:rFonts w:ascii="Arial" w:cs="Arial" w:eastAsia="Arial" w:hAnsi="Arial"/>
          <w:sz w:val="16"/>
          <w:szCs w:val="16"/>
          <w:color w:val="auto"/>
        </w:rPr>
      </w:pPr>
      <w:r>
        <w:rPr>
          <w:rFonts w:ascii="Arial" w:cs="Arial" w:eastAsia="Arial" w:hAnsi="Arial"/>
          <w:sz w:val="16"/>
          <w:szCs w:val="16"/>
          <w:color w:val="auto"/>
        </w:rPr>
        <w:t>Permitted Liens, (b) sales of Inventory in the ordinary course of business, (c) non-exclusive licenses or non-perpetual exclusive licenses with respect to geographic area, fields of use and customized products for specific customers that would not result in a transfer of title of the licensed property under applicable law, all given in the ordinary course of Your business, and (d) sales of worn-out or obsolete Equipment not financed by Us provided that the fair market value of such Equipment does not exceed $50,000 in any fiscal year. In addition, none of You will, nor will You permit any of Your Subsidiaries to, enter into any agreement with any Person (other than Us) that restricts Your ability, or the ability of any of Your Subsidiaries, to transfer, sell, assign, grant a security interest in, hypothecate, permit or suffer to exist any Lien, or otherwise transfer any interest in or encumber any portion of Your properties or assets or those of any of Your Subsidiaries, including Your Intellectual Property. Without limiting the generality of the foregoing, none of You will sell, transfer, encumber or otherwise dispose of any ownership interest that You may have in any subsidiary. Notwithstanding the forgoing, nothing in this Agreement shall limit Your Subsidiaries from transferring any of such Subsidiaries properties or assets to You or any other borrower or Guarantor or such Subsidiary making any distributions to You or any other borrower or Guarantor.</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K. DEFINITIONS: </w:t>
      </w:r>
      <w:r>
        <w:rPr>
          <w:rFonts w:ascii="Arial" w:cs="Arial" w:eastAsia="Arial" w:hAnsi="Arial"/>
          <w:sz w:val="17"/>
          <w:szCs w:val="17"/>
          <w:color w:val="auto"/>
        </w:rPr>
        <w:t>Section 21 is hereby amended by deleting the definitions of “Revolving Loan”, “Revolving Loan Maturity Date” and “Table of</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Terms” and replacing them as follows:</w:t>
      </w:r>
    </w:p>
    <w:p>
      <w:pPr>
        <w:spacing w:after="0" w:line="206" w:lineRule="exact"/>
        <w:rPr>
          <w:sz w:val="20"/>
          <w:szCs w:val="20"/>
          <w:color w:val="auto"/>
        </w:rPr>
      </w:pPr>
    </w:p>
    <w:p>
      <w:pPr>
        <w:ind w:left="10" w:right="80"/>
        <w:spacing w:after="0" w:line="281" w:lineRule="auto"/>
        <w:rPr>
          <w:sz w:val="20"/>
          <w:szCs w:val="20"/>
          <w:color w:val="auto"/>
        </w:rPr>
      </w:pPr>
      <w:r>
        <w:rPr>
          <w:rFonts w:ascii="Arial" w:cs="Arial" w:eastAsia="Arial" w:hAnsi="Arial"/>
          <w:sz w:val="18"/>
          <w:szCs w:val="18"/>
          <w:b w:val="1"/>
          <w:bCs w:val="1"/>
          <w:color w:val="auto"/>
        </w:rPr>
        <w:t xml:space="preserve">“Revolving Loan” </w:t>
      </w:r>
      <w:r>
        <w:rPr>
          <w:rFonts w:ascii="Arial" w:cs="Arial" w:eastAsia="Arial" w:hAnsi="Arial"/>
          <w:sz w:val="18"/>
          <w:szCs w:val="18"/>
          <w:color w:val="auto"/>
        </w:rPr>
        <w:t>means the loans in the maximum principal amount as stated in the Table of Terms “Revolving Loan Facility Information”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“Commitment Amount” made to You by Us pursuant to the terms of this Agreement.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“Revolving Loan Maturity Date” </w:t>
      </w:r>
      <w:r>
        <w:rPr>
          <w:rFonts w:ascii="Arial" w:cs="Arial" w:eastAsia="Arial" w:hAnsi="Arial"/>
          <w:sz w:val="18"/>
          <w:szCs w:val="18"/>
          <w:color w:val="auto"/>
        </w:rPr>
        <w:t>means the First Amendment Closing Date.</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Table of Terms”</w:t>
      </w:r>
      <w:r>
        <w:rPr>
          <w:rFonts w:ascii="Arial" w:cs="Arial" w:eastAsia="Arial" w:hAnsi="Arial"/>
          <w:sz w:val="18"/>
          <w:szCs w:val="18"/>
          <w:color w:val="auto"/>
        </w:rPr>
        <w:t xml:space="preserve"> means the table of terms on Page 1 and 2 of the Loan Agreement, and Page 2 of the First Amendment.</w:t>
      </w:r>
    </w:p>
    <w:p>
      <w:pPr>
        <w:spacing w:after="0" w:line="225" w:lineRule="exact"/>
        <w:rPr>
          <w:sz w:val="20"/>
          <w:szCs w:val="20"/>
          <w:color w:val="auto"/>
        </w:rPr>
      </w:pPr>
    </w:p>
    <w:p>
      <w:pPr>
        <w:ind w:left="350" w:hanging="350"/>
        <w:spacing w:after="0"/>
        <w:tabs>
          <w:tab w:leader="none" w:pos="350" w:val="left"/>
        </w:tabs>
        <w:numPr>
          <w:ilvl w:val="0"/>
          <w:numId w:val="7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Section 21 is hereby amended by adding the following definitions in alphabetical order:</w:t>
      </w:r>
    </w:p>
    <w:p>
      <w:pPr>
        <w:spacing w:after="0" w:line="225" w:lineRule="exact"/>
        <w:rPr>
          <w:sz w:val="20"/>
          <w:szCs w:val="20"/>
          <w:color w:val="auto"/>
        </w:rPr>
      </w:pPr>
    </w:p>
    <w:p>
      <w:pPr>
        <w:ind w:left="10" w:right="460"/>
        <w:spacing w:after="0" w:line="281" w:lineRule="auto"/>
        <w:rPr>
          <w:sz w:val="20"/>
          <w:szCs w:val="20"/>
          <w:color w:val="auto"/>
        </w:rPr>
      </w:pPr>
      <w:r>
        <w:rPr>
          <w:rFonts w:ascii="Arial" w:cs="Arial" w:eastAsia="Arial" w:hAnsi="Arial"/>
          <w:sz w:val="18"/>
          <w:szCs w:val="18"/>
          <w:b w:val="1"/>
          <w:bCs w:val="1"/>
          <w:color w:val="auto"/>
        </w:rPr>
        <w:t xml:space="preserve">“First Amendment” </w:t>
      </w:r>
      <w:r>
        <w:rPr>
          <w:rFonts w:ascii="Arial" w:cs="Arial" w:eastAsia="Arial" w:hAnsi="Arial"/>
          <w:sz w:val="18"/>
          <w:szCs w:val="18"/>
          <w:color w:val="auto"/>
        </w:rPr>
        <w:t>means that certain First Amendment to Plain English Loan and Security Agreement by and between You and Us,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22, 2019.</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“First Amendment Closing Date” </w:t>
      </w:r>
      <w:r>
        <w:rPr>
          <w:rFonts w:ascii="Arial" w:cs="Arial" w:eastAsia="Arial" w:hAnsi="Arial"/>
          <w:sz w:val="18"/>
          <w:szCs w:val="18"/>
          <w:color w:val="auto"/>
        </w:rPr>
        <w:t>means March 22, 2019.</w:t>
      </w:r>
    </w:p>
    <w:p>
      <w:pPr>
        <w:spacing w:after="0" w:line="225"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“Growth Capital Loan” </w:t>
      </w:r>
      <w:r>
        <w:rPr>
          <w:rFonts w:ascii="Arial" w:cs="Arial" w:eastAsia="Arial" w:hAnsi="Arial"/>
          <w:sz w:val="18"/>
          <w:szCs w:val="18"/>
          <w:color w:val="auto"/>
        </w:rPr>
        <w:t>means the loans in the maximum principal amount as stated in the Table of Terms “Growth Capital Loan Facility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caption “Commitment Amount” made to You by Us pursuant to the terms of this Agreement.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“Prepayment Fee” </w:t>
      </w:r>
      <w:r>
        <w:rPr>
          <w:rFonts w:ascii="Arial" w:cs="Arial" w:eastAsia="Arial" w:hAnsi="Arial"/>
          <w:sz w:val="18"/>
          <w:szCs w:val="18"/>
          <w:color w:val="auto"/>
        </w:rPr>
        <w:t>has the meaning given to it in Section 9.</w:t>
      </w:r>
    </w:p>
    <w:p>
      <w:pPr>
        <w:spacing w:after="0" w:line="16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0" w:right="459" w:bottom="1440" w:gutter="0" w:footer="0" w:header="0"/>
        </w:sectPr>
      </w:pPr>
    </w:p>
    <w:bookmarkStart w:id="675" w:name="page676"/>
    <w:bookmarkEnd w:id="675"/>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 EXHIBITS: </w:t>
      </w:r>
      <w:r>
        <w:rPr>
          <w:rFonts w:ascii="Arial" w:cs="Arial" w:eastAsia="Arial" w:hAnsi="Arial"/>
          <w:sz w:val="18"/>
          <w:szCs w:val="18"/>
          <w:color w:val="auto"/>
        </w:rPr>
        <w:t>Exhibit 1 attached hereto, shall be incorporated into and become a part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89445" cy="2540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pacing w:after="0" w:line="326" w:lineRule="exact"/>
        <w:rPr>
          <w:sz w:val="20"/>
          <w:szCs w:val="20"/>
          <w:color w:val="auto"/>
        </w:rPr>
      </w:pPr>
    </w:p>
    <w:p>
      <w:pPr>
        <w:ind w:left="310" w:hanging="310"/>
        <w:spacing w:after="0"/>
        <w:tabs>
          <w:tab w:leader="none" w:pos="310" w:val="left"/>
        </w:tabs>
        <w:numPr>
          <w:ilvl w:val="0"/>
          <w:numId w:val="70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EFFECTIVENESS</w:t>
      </w:r>
    </w:p>
    <w:p>
      <w:pPr>
        <w:spacing w:after="0" w:line="242" w:lineRule="exact"/>
        <w:rPr>
          <w:rFonts w:ascii="Arial" w:cs="Arial" w:eastAsia="Arial" w:hAnsi="Arial"/>
          <w:sz w:val="18"/>
          <w:szCs w:val="18"/>
          <w:b w:val="1"/>
          <w:bCs w:val="1"/>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Receipt by Lender of copies of this Amendment, duly executed by Borrower and Lender;</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Receipt by Lender of the Warrant Agreement of even date as this Amendment;</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Receipt by Lender of the Certificate of Perfection of even date as this Amendment;</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Receipt by Lender of the Growth Capital Loan Part 1 Facility Fee noted above;</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Receipt by Lender of a Certificate of Secretary regarding resolutions and incumbency;</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7"/>
          <w:szCs w:val="17"/>
          <w:color w:val="auto"/>
        </w:rPr>
      </w:pPr>
      <w:r>
        <w:rPr>
          <w:rFonts w:ascii="Arial" w:cs="Arial" w:eastAsia="Arial" w:hAnsi="Arial"/>
          <w:sz w:val="17"/>
          <w:szCs w:val="17"/>
          <w:color w:val="auto"/>
        </w:rPr>
        <w:t>Receipt by Lender of certified copy of Certificate of Incorporation and By-Laws as amended through the date of this Amendment;</w:t>
      </w:r>
    </w:p>
    <w:p>
      <w:pPr>
        <w:spacing w:after="0" w:line="141" w:lineRule="exact"/>
        <w:rPr>
          <w:rFonts w:ascii="Arial" w:cs="Arial" w:eastAsia="Arial" w:hAnsi="Arial"/>
          <w:sz w:val="17"/>
          <w:szCs w:val="17"/>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The absence of any Default or Event of Default; and</w:t>
      </w:r>
    </w:p>
    <w:p>
      <w:pPr>
        <w:spacing w:after="0" w:line="130" w:lineRule="exact"/>
        <w:rPr>
          <w:rFonts w:ascii="Arial" w:cs="Arial" w:eastAsia="Arial" w:hAnsi="Arial"/>
          <w:sz w:val="18"/>
          <w:szCs w:val="18"/>
          <w:color w:val="auto"/>
        </w:rPr>
      </w:pPr>
    </w:p>
    <w:p>
      <w:pPr>
        <w:ind w:left="870" w:hanging="330"/>
        <w:spacing w:after="0"/>
        <w:tabs>
          <w:tab w:leader="none" w:pos="87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Such other documents as We may reasonably request.</w:t>
      </w:r>
    </w:p>
    <w:p>
      <w:pPr>
        <w:spacing w:after="0" w:line="342" w:lineRule="exact"/>
        <w:rPr>
          <w:rFonts w:ascii="Arial" w:cs="Arial" w:eastAsia="Arial" w:hAnsi="Arial"/>
          <w:sz w:val="18"/>
          <w:szCs w:val="18"/>
          <w:color w:val="auto"/>
        </w:rPr>
      </w:pPr>
    </w:p>
    <w:p>
      <w:pPr>
        <w:ind w:left="310" w:hanging="310"/>
        <w:spacing w:after="0"/>
        <w:tabs>
          <w:tab w:leader="none" w:pos="310" w:val="left"/>
        </w:tabs>
        <w:numPr>
          <w:ilvl w:val="0"/>
          <w:numId w:val="70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-2080895</wp:posOffset>
            </wp:positionV>
            <wp:extent cx="698944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6989445" cy="2540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98944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698944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8" w:lineRule="exact"/>
        <w:rPr>
          <w:sz w:val="20"/>
          <w:szCs w:val="20"/>
          <w:color w:val="auto"/>
        </w:rPr>
      </w:pPr>
    </w:p>
    <w:p>
      <w:pPr>
        <w:ind w:left="10" w:right="40"/>
        <w:spacing w:after="0" w:line="301" w:lineRule="auto"/>
        <w:rPr>
          <w:sz w:val="20"/>
          <w:szCs w:val="20"/>
          <w:color w:val="auto"/>
        </w:rPr>
      </w:pPr>
      <w:r>
        <w:rPr>
          <w:rFonts w:ascii="Arial" w:cs="Arial" w:eastAsia="Arial" w:hAnsi="Arial"/>
          <w:sz w:val="16"/>
          <w:szCs w:val="16"/>
          <w:color w:val="auto"/>
        </w:rPr>
        <w:t>Borrower represents and warrants that the representations and warranties contained in the Loan Agreement were true and correct in all material respects when made and, except to the extent (a) that a particular representation or warranty by its terms expressly applies only to an earlier date or (b) set forth in a Schedule of Exceptions attached hereto, if any, are true and correct in all material respects as of the date of this Amendment. Borrower further represents and warrants that there are no Defaults or Events of Default that have occurred and are continuing as of the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89445" cy="2540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pacing w:after="0" w:line="267" w:lineRule="exact"/>
        <w:rPr>
          <w:sz w:val="20"/>
          <w:szCs w:val="20"/>
          <w:color w:val="auto"/>
        </w:rPr>
      </w:pPr>
    </w:p>
    <w:p>
      <w:pPr>
        <w:ind w:left="310" w:hanging="310"/>
        <w:spacing w:after="0"/>
        <w:tabs>
          <w:tab w:leader="none" w:pos="310" w:val="left"/>
        </w:tabs>
        <w:numPr>
          <w:ilvl w:val="0"/>
          <w:numId w:val="70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4" w:lineRule="exact"/>
        <w:rPr>
          <w:rFonts w:ascii="Arial" w:cs="Arial" w:eastAsia="Arial" w:hAnsi="Arial"/>
          <w:sz w:val="18"/>
          <w:szCs w:val="18"/>
          <w:b w:val="1"/>
          <w:bCs w:val="1"/>
          <w:color w:val="auto"/>
        </w:rPr>
      </w:pPr>
    </w:p>
    <w:p>
      <w:pPr>
        <w:ind w:left="870" w:right="40" w:hanging="330"/>
        <w:spacing w:after="0" w:line="292" w:lineRule="auto"/>
        <w:tabs>
          <w:tab w:leader="none" w:pos="870" w:val="left"/>
        </w:tabs>
        <w:numPr>
          <w:ilvl w:val="1"/>
          <w:numId w:val="708"/>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this Amendment shall be incorporated by reference in the Loan Agreement as though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full in the Loan Agreement. In the event of any inconsistency between the provisions of this Amendment and any other provision of the Loan Agreement, the terms and provisions of this Amendment shall govern and control. Except to the extent specifically amended or superseded by the terms of this Amendment, all of the provisions of the Loan Agreement and the other Loan Documents shall remain in full force and effect to the extent in effect on the date of this Amendment. The Loan Agreement, as modified by this Amendment, together with the other Loan Documents, constitutes the complete agreement among the parties and supersedes any prior written or oral agreements, writings, communications or understandings of the parties with respect to the subject matter the Loan Agreement.</w:t>
      </w:r>
    </w:p>
    <w:p>
      <w:pPr>
        <w:spacing w:after="0" w:line="65" w:lineRule="exact"/>
        <w:rPr>
          <w:rFonts w:ascii="Arial" w:cs="Arial" w:eastAsia="Arial" w:hAnsi="Arial"/>
          <w:sz w:val="16"/>
          <w:szCs w:val="16"/>
          <w:color w:val="auto"/>
        </w:rPr>
      </w:pPr>
    </w:p>
    <w:p>
      <w:pPr>
        <w:ind w:left="870" w:right="140" w:hanging="330"/>
        <w:spacing w:after="0" w:line="281" w:lineRule="auto"/>
        <w:tabs>
          <w:tab w:leader="none" w:pos="870" w:val="left"/>
        </w:tabs>
        <w:numPr>
          <w:ilvl w:val="1"/>
          <w:numId w:val="708"/>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used in this Amendment are for convenience of reference only, are not part of this Amendment, and are not to</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into consideration in interpreting this Amendment.</w:t>
      </w:r>
    </w:p>
    <w:p>
      <w:pPr>
        <w:spacing w:after="0" w:line="68" w:lineRule="exact"/>
        <w:rPr>
          <w:rFonts w:ascii="Arial" w:cs="Arial" w:eastAsia="Arial" w:hAnsi="Arial"/>
          <w:sz w:val="18"/>
          <w:szCs w:val="18"/>
          <w:color w:val="auto"/>
        </w:rPr>
      </w:pPr>
    </w:p>
    <w:p>
      <w:pPr>
        <w:ind w:left="870" w:hanging="330"/>
        <w:spacing w:after="0" w:line="281" w:lineRule="auto"/>
        <w:tabs>
          <w:tab w:leader="none" w:pos="870" w:val="left"/>
        </w:tabs>
        <w:numPr>
          <w:ilvl w:val="1"/>
          <w:numId w:val="708"/>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set forth at the beginning of this Amendment are true and correct, and such recitals are incorporated into and are a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w:t>
      </w:r>
    </w:p>
    <w:p>
      <w:pPr>
        <w:spacing w:after="0" w:line="68" w:lineRule="exact"/>
        <w:rPr>
          <w:rFonts w:ascii="Arial" w:cs="Arial" w:eastAsia="Arial" w:hAnsi="Arial"/>
          <w:sz w:val="18"/>
          <w:szCs w:val="18"/>
          <w:color w:val="auto"/>
        </w:rPr>
      </w:pPr>
    </w:p>
    <w:p>
      <w:pPr>
        <w:ind w:left="870" w:right="40" w:hanging="330"/>
        <w:spacing w:after="0" w:line="312" w:lineRule="auto"/>
        <w:tabs>
          <w:tab w:leader="none" w:pos="870" w:val="left"/>
        </w:tabs>
        <w:numPr>
          <w:ilvl w:val="1"/>
          <w:numId w:val="708"/>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shall be governed by, and construed and enforced in accordance with, the laws of the State of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to contracts made and performed in such state, without regard to the principles thereof regarding conflict of laws.</w:t>
      </w:r>
    </w:p>
    <w:p>
      <w:pPr>
        <w:spacing w:after="0" w:line="44" w:lineRule="exact"/>
        <w:rPr>
          <w:rFonts w:ascii="Arial" w:cs="Arial" w:eastAsia="Arial" w:hAnsi="Arial"/>
          <w:sz w:val="17"/>
          <w:szCs w:val="17"/>
          <w:color w:val="auto"/>
        </w:rPr>
      </w:pPr>
    </w:p>
    <w:p>
      <w:pPr>
        <w:ind w:left="870" w:right="60" w:hanging="330"/>
        <w:spacing w:after="0" w:line="280" w:lineRule="auto"/>
        <w:tabs>
          <w:tab w:leader="none" w:pos="870" w:val="left"/>
        </w:tabs>
        <w:numPr>
          <w:ilvl w:val="1"/>
          <w:numId w:val="708"/>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effectiveness of this Amendment, from and after the date of this Amendment, each reference in the Loan Agreement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“hereunder,” “hereof,” or words of like import shall mean and be a reference to the Loan Agreement as amended by this Amendment and each reference in the other Loan Documents to the Loan Agreement, “thereunder,” “thereof,” or words of like import shall mean and be a reference to the Loan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-2759710</wp:posOffset>
            </wp:positionV>
            <wp:extent cx="698944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84"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70"/>
          </w:cols>
          <w:pgMar w:left="450" w:top="270" w:right="479" w:bottom="1440" w:gutter="0" w:footer="0" w:header="0"/>
        </w:sectPr>
      </w:pPr>
    </w:p>
    <w:bookmarkStart w:id="676" w:name="page677"/>
    <w:bookmarkEnd w:id="676"/>
    <w:p>
      <w:pPr>
        <w:ind w:left="340" w:hanging="330"/>
        <w:spacing w:after="0"/>
        <w:tabs>
          <w:tab w:leader="none" w:pos="340" w:val="left"/>
        </w:tabs>
        <w:numPr>
          <w:ilvl w:val="0"/>
          <w:numId w:val="70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Novation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provided in</w:t>
      </w:r>
      <w:r>
        <w:rPr>
          <w:rFonts w:ascii="Arial" w:cs="Arial" w:eastAsia="Arial" w:hAnsi="Arial"/>
          <w:sz w:val="16"/>
          <w:szCs w:val="16"/>
          <w:b w:val="1"/>
          <w:bCs w:val="1"/>
          <w:color w:val="auto"/>
        </w:rPr>
        <w:t xml:space="preserve"> Section 2 </w:t>
      </w:r>
      <w:r>
        <w:rPr>
          <w:rFonts w:ascii="Arial" w:cs="Arial" w:eastAsia="Arial" w:hAnsi="Arial"/>
          <w:sz w:val="16"/>
          <w:szCs w:val="16"/>
          <w:color w:val="auto"/>
        </w:rPr>
        <w:t>above, the execution, delivery, and effectiveness of this Amendment shall not</w:t>
      </w:r>
    </w:p>
    <w:p>
      <w:pPr>
        <w:spacing w:after="0" w:line="50" w:lineRule="exact"/>
        <w:rPr>
          <w:rFonts w:ascii="Arial" w:cs="Arial" w:eastAsia="Arial" w:hAnsi="Arial"/>
          <w:sz w:val="16"/>
          <w:szCs w:val="16"/>
          <w:color w:val="auto"/>
        </w:rPr>
      </w:pPr>
    </w:p>
    <w:p>
      <w:pPr>
        <w:ind w:left="340" w:right="20"/>
        <w:spacing w:after="0" w:line="273" w:lineRule="auto"/>
        <w:rPr>
          <w:rFonts w:ascii="Arial" w:cs="Arial" w:eastAsia="Arial" w:hAnsi="Arial"/>
          <w:sz w:val="16"/>
          <w:szCs w:val="16"/>
          <w:color w:val="auto"/>
        </w:rPr>
      </w:pPr>
      <w:r>
        <w:rPr>
          <w:rFonts w:ascii="Arial" w:cs="Arial" w:eastAsia="Arial" w:hAnsi="Arial"/>
          <w:sz w:val="17"/>
          <w:szCs w:val="17"/>
          <w:color w:val="auto"/>
        </w:rPr>
        <w:t>(a) limit, impair, constitute a waiver of, or otherwise affect any right, power, or remedy of Lender under the Loan Agreement or any other Loan Document, (b) constitute a waiver of any provision in the Loan Agreement or in any of the other Loan Documents, or (c) alter, modify, amend, or in any way affect any of the terms, conditions, obligations, covenants, or agreements contained in the Loan Agreement, all of which are ratified and affirmed in all respects and shall continue in full force and effect.</w:t>
      </w:r>
    </w:p>
    <w:p>
      <w:pPr>
        <w:spacing w:after="0" w:line="76" w:lineRule="exact"/>
        <w:rPr>
          <w:rFonts w:ascii="Arial" w:cs="Arial" w:eastAsia="Arial" w:hAnsi="Arial"/>
          <w:sz w:val="16"/>
          <w:szCs w:val="16"/>
          <w:color w:val="auto"/>
        </w:rPr>
      </w:pPr>
    </w:p>
    <w:p>
      <w:pPr>
        <w:ind w:left="340" w:right="400" w:hanging="330"/>
        <w:spacing w:after="0" w:line="281" w:lineRule="auto"/>
        <w:tabs>
          <w:tab w:leader="none" w:pos="340" w:val="left"/>
        </w:tabs>
        <w:numPr>
          <w:ilvl w:val="0"/>
          <w:numId w:val="70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will be deemed an original, but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together constitute one and the same instrument.</w:t>
      </w:r>
    </w:p>
    <w:p>
      <w:pPr>
        <w:spacing w:after="0" w:line="68" w:lineRule="exact"/>
        <w:rPr>
          <w:rFonts w:ascii="Arial" w:cs="Arial" w:eastAsia="Arial" w:hAnsi="Arial"/>
          <w:sz w:val="18"/>
          <w:szCs w:val="18"/>
          <w:color w:val="auto"/>
        </w:rPr>
      </w:pPr>
    </w:p>
    <w:p>
      <w:pPr>
        <w:ind w:left="340" w:hanging="330"/>
        <w:spacing w:after="0" w:line="288" w:lineRule="auto"/>
        <w:tabs>
          <w:tab w:leader="none" w:pos="340" w:val="left"/>
        </w:tabs>
        <w:numPr>
          <w:ilvl w:val="0"/>
          <w:numId w:val="709"/>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any Promissory Note may be executed and delivered by facsimile or transmitted electronically in either</w:t>
      </w:r>
      <w:r>
        <w:rPr>
          <w:rFonts w:ascii="Arial" w:cs="Arial" w:eastAsia="Arial" w:hAnsi="Arial"/>
          <w:sz w:val="17"/>
          <w:szCs w:val="17"/>
          <w:b w:val="1"/>
          <w:bCs w:val="1"/>
          <w:color w:val="auto"/>
        </w:rPr>
        <w:t xml:space="preserve"> </w:t>
      </w:r>
      <w:r>
        <w:rPr>
          <w:rFonts w:ascii="Arial" w:cs="Arial" w:eastAsia="Arial" w:hAnsi="Arial"/>
          <w:sz w:val="17"/>
          <w:szCs w:val="17"/>
          <w:color w:val="auto"/>
        </w:rPr>
        <w:t>Tagged Image Format Files (“</w:t>
      </w:r>
      <w:r>
        <w:rPr>
          <w:rFonts w:ascii="Arial" w:cs="Arial" w:eastAsia="Arial" w:hAnsi="Arial"/>
          <w:sz w:val="17"/>
          <w:szCs w:val="17"/>
          <w:b w:val="1"/>
          <w:bCs w:val="1"/>
          <w:color w:val="auto"/>
        </w:rPr>
        <w:t>TIFF</w:t>
      </w:r>
      <w:r>
        <w:rPr>
          <w:rFonts w:ascii="Arial" w:cs="Arial" w:eastAsia="Arial" w:hAnsi="Arial"/>
          <w:sz w:val="17"/>
          <w:szCs w:val="17"/>
          <w:color w:val="auto"/>
        </w:rPr>
        <w:t>”) or Portable Document Format (“</w:t>
      </w:r>
      <w:r>
        <w:rPr>
          <w:rFonts w:ascii="Arial" w:cs="Arial" w:eastAsia="Arial" w:hAnsi="Arial"/>
          <w:sz w:val="17"/>
          <w:szCs w:val="17"/>
          <w:b w:val="1"/>
          <w:bCs w:val="1"/>
          <w:color w:val="auto"/>
        </w:rPr>
        <w:t>PDF</w:t>
      </w:r>
      <w:r>
        <w:rPr>
          <w:rFonts w:ascii="Arial" w:cs="Arial" w:eastAsia="Arial" w:hAnsi="Arial"/>
          <w:sz w:val="17"/>
          <w:szCs w:val="17"/>
          <w:color w:val="auto"/>
        </w:rPr>
        <w:t>”) and, upon such delivery, the facsimile, TIFF or PDF signature, as applicable, will be deemed to have the same effect as if the original signature had been delivered to the other party.</w:t>
      </w:r>
    </w:p>
    <w:p>
      <w:pPr>
        <w:spacing w:after="0" w:line="16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271" w:right="459" w:bottom="1440" w:gutter="0" w:footer="0" w:header="0"/>
        </w:sectPr>
      </w:pPr>
    </w:p>
    <w:bookmarkStart w:id="677" w:name="page678"/>
    <w:bookmarkEnd w:id="6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Amendment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3580" w:type="dxa"/>
            <w:vAlign w:val="bottom"/>
          </w:tcPr>
          <w:p>
            <w:pPr>
              <w:ind w:left="2500"/>
              <w:spacing w:after="0"/>
              <w:rPr>
                <w:sz w:val="20"/>
                <w:szCs w:val="20"/>
                <w:color w:val="auto"/>
              </w:rPr>
            </w:pPr>
            <w:r>
              <w:rPr>
                <w:rFonts w:ascii="Arial" w:cs="Arial" w:eastAsia="Arial" w:hAnsi="Arial"/>
                <w:sz w:val="18"/>
                <w:szCs w:val="18"/>
                <w:b w:val="1"/>
                <w:bCs w:val="1"/>
                <w:color w:val="auto"/>
              </w:rPr>
              <w:t>You:</w:t>
            </w:r>
          </w:p>
        </w:tc>
        <w:tc>
          <w:tcPr>
            <w:tcW w:w="4620" w:type="dxa"/>
            <w:vAlign w:val="bottom"/>
          </w:tcPr>
          <w:p>
            <w:pPr>
              <w:spacing w:after="0"/>
              <w:rPr>
                <w:sz w:val="20"/>
                <w:szCs w:val="20"/>
                <w:color w:val="auto"/>
              </w:rPr>
            </w:pPr>
            <w:r>
              <w:rPr>
                <w:rFonts w:ascii="Arial" w:cs="Arial" w:eastAsia="Arial" w:hAnsi="Arial"/>
                <w:sz w:val="18"/>
                <w:szCs w:val="18"/>
                <w:b w:val="1"/>
                <w:bCs w:val="1"/>
                <w:color w:val="auto"/>
              </w:rPr>
              <w:t>PERSONALIS, INC.</w:t>
            </w:r>
          </w:p>
        </w:tc>
      </w:tr>
      <w:tr>
        <w:trPr>
          <w:trHeight w:val="432"/>
        </w:trPr>
        <w:tc>
          <w:tcPr>
            <w:tcW w:w="2800" w:type="dxa"/>
            <w:vAlign w:val="bottom"/>
          </w:tcPr>
          <w:p>
            <w:pPr>
              <w:spacing w:after="0"/>
              <w:rPr>
                <w:sz w:val="24"/>
                <w:szCs w:val="24"/>
                <w:color w:val="auto"/>
              </w:rPr>
            </w:pPr>
          </w:p>
        </w:tc>
        <w:tc>
          <w:tcPr>
            <w:tcW w:w="3580" w:type="dxa"/>
            <w:vAlign w:val="bottom"/>
          </w:tcPr>
          <w:p>
            <w:pPr>
              <w:ind w:left="250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WEST</w:t>
            </w:r>
          </w:p>
        </w:tc>
      </w:tr>
      <w:tr>
        <w:trPr>
          <w:trHeight w:val="439"/>
        </w:trPr>
        <w:tc>
          <w:tcPr>
            <w:tcW w:w="2800" w:type="dxa"/>
            <w:vAlign w:val="bottom"/>
          </w:tcPr>
          <w:p>
            <w:pPr>
              <w:spacing w:after="0"/>
              <w:rPr>
                <w:sz w:val="24"/>
                <w:szCs w:val="24"/>
                <w:color w:val="auto"/>
              </w:rPr>
            </w:pPr>
          </w:p>
        </w:tc>
        <w:tc>
          <w:tcPr>
            <w:tcW w:w="3580" w:type="dxa"/>
            <w:vAlign w:val="bottom"/>
          </w:tcPr>
          <w:p>
            <w:pPr>
              <w:ind w:left="2500"/>
              <w:spacing w:after="0"/>
              <w:rPr>
                <w:sz w:val="20"/>
                <w:szCs w:val="20"/>
                <w:color w:val="auto"/>
              </w:rPr>
            </w:pPr>
            <w:r>
              <w:rPr>
                <w:rFonts w:ascii="Arial" w:cs="Arial" w:eastAsia="Arial" w:hAnsi="Arial"/>
                <w:sz w:val="18"/>
                <w:szCs w:val="18"/>
                <w:color w:val="auto"/>
              </w:rPr>
              <w:t>Print 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WEST</w:t>
            </w:r>
          </w:p>
        </w:tc>
      </w:tr>
      <w:tr>
        <w:trPr>
          <w:trHeight w:val="439"/>
        </w:trPr>
        <w:tc>
          <w:tcPr>
            <w:tcW w:w="2800" w:type="dxa"/>
            <w:vAlign w:val="bottom"/>
          </w:tcPr>
          <w:p>
            <w:pPr>
              <w:spacing w:after="0"/>
              <w:rPr>
                <w:sz w:val="24"/>
                <w:szCs w:val="24"/>
                <w:color w:val="auto"/>
              </w:rPr>
            </w:pPr>
          </w:p>
        </w:tc>
        <w:tc>
          <w:tcPr>
            <w:tcW w:w="3580" w:type="dxa"/>
            <w:vAlign w:val="bottom"/>
          </w:tcPr>
          <w:p>
            <w:pPr>
              <w:ind w:left="250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39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Accepted in Menlo Park, California:</w:t>
            </w:r>
          </w:p>
        </w:tc>
        <w:tc>
          <w:tcPr>
            <w:tcW w:w="35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3340" w:type="dxa"/>
            <w:vAlign w:val="bottom"/>
          </w:tcPr>
          <w:p>
            <w:pPr>
              <w:ind w:left="2260"/>
              <w:spacing w:after="0"/>
              <w:rPr>
                <w:sz w:val="20"/>
                <w:szCs w:val="20"/>
                <w:color w:val="auto"/>
              </w:rPr>
            </w:pPr>
            <w:r>
              <w:rPr>
                <w:rFonts w:ascii="Arial" w:cs="Arial" w:eastAsia="Arial" w:hAnsi="Arial"/>
                <w:sz w:val="18"/>
                <w:szCs w:val="18"/>
                <w:b w:val="1"/>
                <w:bCs w:val="1"/>
                <w:color w:val="auto"/>
              </w:rPr>
              <w:t>Us:</w:t>
            </w:r>
          </w:p>
        </w:tc>
        <w:tc>
          <w:tcPr>
            <w:tcW w:w="4620" w:type="dxa"/>
            <w:vAlign w:val="bottom"/>
          </w:tcPr>
          <w:p>
            <w:pPr>
              <w:spacing w:after="0"/>
              <w:rPr>
                <w:sz w:val="20"/>
                <w:szCs w:val="20"/>
                <w:color w:val="auto"/>
              </w:rPr>
            </w:pPr>
            <w:r>
              <w:rPr>
                <w:rFonts w:ascii="Arial" w:cs="Arial" w:eastAsia="Arial" w:hAnsi="Arial"/>
                <w:sz w:val="18"/>
                <w:szCs w:val="18"/>
                <w:b w:val="1"/>
                <w:bCs w:val="1"/>
                <w:color w:val="auto"/>
              </w:rPr>
              <w:t>TRIPLEPOINT CAPITAL LLC</w:t>
            </w:r>
          </w:p>
        </w:tc>
      </w:tr>
      <w:tr>
        <w:trPr>
          <w:trHeight w:val="432"/>
        </w:trPr>
        <w:tc>
          <w:tcPr>
            <w:tcW w:w="3040" w:type="dxa"/>
            <w:vAlign w:val="bottom"/>
          </w:tcPr>
          <w:p>
            <w:pPr>
              <w:spacing w:after="0"/>
              <w:rPr>
                <w:sz w:val="24"/>
                <w:szCs w:val="24"/>
                <w:color w:val="auto"/>
              </w:rPr>
            </w:pPr>
          </w:p>
        </w:tc>
        <w:tc>
          <w:tcPr>
            <w:tcW w:w="3340" w:type="dxa"/>
            <w:vAlign w:val="bottom"/>
          </w:tcPr>
          <w:p>
            <w:pPr>
              <w:ind w:left="226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Olson</w:t>
            </w:r>
          </w:p>
        </w:tc>
      </w:tr>
      <w:tr>
        <w:trPr>
          <w:trHeight w:val="439"/>
        </w:trPr>
        <w:tc>
          <w:tcPr>
            <w:tcW w:w="3040" w:type="dxa"/>
            <w:vAlign w:val="bottom"/>
          </w:tcPr>
          <w:p>
            <w:pPr>
              <w:spacing w:after="0"/>
              <w:rPr>
                <w:sz w:val="24"/>
                <w:szCs w:val="24"/>
                <w:color w:val="auto"/>
              </w:rPr>
            </w:pPr>
          </w:p>
        </w:tc>
        <w:tc>
          <w:tcPr>
            <w:tcW w:w="3340" w:type="dxa"/>
            <w:vAlign w:val="bottom"/>
          </w:tcPr>
          <w:p>
            <w:pPr>
              <w:ind w:left="2260"/>
              <w:spacing w:after="0"/>
              <w:rPr>
                <w:sz w:val="20"/>
                <w:szCs w:val="20"/>
                <w:color w:val="auto"/>
              </w:rPr>
            </w:pPr>
            <w:r>
              <w:rPr>
                <w:rFonts w:ascii="Arial" w:cs="Arial" w:eastAsia="Arial" w:hAnsi="Arial"/>
                <w:sz w:val="18"/>
                <w:szCs w:val="18"/>
                <w:color w:val="auto"/>
              </w:rPr>
              <w:t>Print 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Olson</w:t>
            </w:r>
          </w:p>
        </w:tc>
      </w:tr>
      <w:tr>
        <w:trPr>
          <w:trHeight w:val="439"/>
        </w:trPr>
        <w:tc>
          <w:tcPr>
            <w:tcW w:w="3040" w:type="dxa"/>
            <w:vAlign w:val="bottom"/>
          </w:tcPr>
          <w:p>
            <w:pPr>
              <w:spacing w:after="0"/>
              <w:rPr>
                <w:sz w:val="24"/>
                <w:szCs w:val="24"/>
                <w:color w:val="auto"/>
              </w:rPr>
            </w:pPr>
          </w:p>
        </w:tc>
        <w:tc>
          <w:tcPr>
            <w:tcW w:w="3340" w:type="dxa"/>
            <w:vAlign w:val="bottom"/>
          </w:tcPr>
          <w:p>
            <w:pPr>
              <w:ind w:left="226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FIRST AMENDMENT TO PLAIN ENGLISH LOAN and SECURITY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678" w:name="page679"/>
    <w:bookmarkEnd w:id="6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171450</wp:posOffset>
            </wp:positionV>
            <wp:extent cx="1207770" cy="29146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077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 ENGLISH GROWTH CAPITAL PROMISSORY NOTE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is a Plain English Growth Capital Promissory Note dated , 20 by and between TRIPLEPOINT CAPITAL LLC, as lender, and PERSONALIS, INC. and any other Person that executes a Joinder Agreement to become a borrower under the Loan Agreement, as borrowers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The words “We”, “Us”, and “Our”, refer to TRIPLEPOINT CAPITAL LLC. Unless otherwise specified, the words “You” and “Your” refer to PERSONALIS, INC. and any other Person that executes a Joinder Agreement to become a borrower under the Loan Agreement, and not any individual, and PERSONALIS, INC. and any other Person that executes a Joinder Agreement to become a borrower under the Loan Agreement, shall be jointly and severally liable for any and all of Your agreements and obligations under this Promissory Note. The words “Parties” refers to each of and all of TRIPLEPOINT CAPITAL LLC, PERSONALIS, INC. and any other Person that executes a Joinder Agreement to become a borrower under the Loan Agreement.</w:t>
      </w:r>
    </w:p>
    <w:p>
      <w:pPr>
        <w:spacing w:after="0" w:line="19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This Promissory Note is the Promissory Note referred to in, and is executed and delivered in connection with, the Plain English Loan and Security Agreement dated as of June 28, 2017, by and between the Parties, as the same may from time to time be amended, modified or supplemented in accordance with its terms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and is entitled to the benefit and security of that Loan Agreement and the other documents executed in connection with all principal, interest, fees or other liabilities owed by You under the Loan Agreement and other Loan Documents (as defined in the Loan Agreement). All terms defined in the Loan Agreement shall have the same definitions when used herein, unless otherwise defined herein.</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2"/>
          </w:tcPr>
          <w:p>
            <w:pPr>
              <w:jc w:val="center"/>
              <w:ind w:right="540"/>
              <w:spacing w:after="0"/>
              <w:rPr>
                <w:sz w:val="20"/>
                <w:szCs w:val="20"/>
                <w:color w:val="auto"/>
              </w:rPr>
            </w:pPr>
            <w:r>
              <w:rPr>
                <w:rFonts w:ascii="Arial" w:cs="Arial" w:eastAsia="Arial" w:hAnsi="Arial"/>
                <w:sz w:val="18"/>
                <w:szCs w:val="18"/>
                <w:b w:val="1"/>
                <w:bCs w:val="1"/>
                <w:color w:val="auto"/>
              </w:rPr>
              <w:t>PROMISSORY NOTE INFORMATION</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3"/>
              </w:rPr>
              <w:t>Facility Name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3"/>
              </w:rPr>
              <w:t>Facility Number</w:t>
            </w:r>
          </w:p>
        </w:tc>
        <w:tc>
          <w:tcPr>
            <w:tcW w:w="140" w:type="dxa"/>
            <w:vAlign w:val="bottom"/>
          </w:tcPr>
          <w:p>
            <w:pPr>
              <w:spacing w:after="0"/>
              <w:rPr>
                <w:sz w:val="24"/>
                <w:szCs w:val="24"/>
                <w:color w:val="auto"/>
              </w:rPr>
            </w:pPr>
          </w:p>
        </w:tc>
        <w:tc>
          <w:tcPr>
            <w:tcW w:w="298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0"/>
              </w:rPr>
              <w:t>Promissory Note Number</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2"/>
              </w:rPr>
              <w:t>Principal Amount</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8"/>
        </w:trPr>
        <w:tc>
          <w:tcPr>
            <w:tcW w:w="2920" w:type="dxa"/>
            <w:vAlign w:val="bottom"/>
            <w:gridSpan w:val="9"/>
          </w:tcPr>
          <w:p>
            <w:pPr>
              <w:jc w:val="center"/>
              <w:ind w:right="800"/>
              <w:spacing w:after="0"/>
              <w:rPr>
                <w:sz w:val="20"/>
                <w:szCs w:val="20"/>
                <w:color w:val="auto"/>
              </w:rPr>
            </w:pPr>
            <w:r>
              <w:rPr>
                <w:rFonts w:ascii="Arial" w:cs="Arial" w:eastAsia="Arial" w:hAnsi="Arial"/>
                <w:sz w:val="18"/>
                <w:szCs w:val="18"/>
                <w:color w:val="auto"/>
                <w:w w:val="94"/>
              </w:rPr>
              <w:t>Growth Capital Loan Facility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1115-GC-0_</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1115-GC-0_-0_</w:t>
            </w:r>
          </w:p>
        </w:tc>
        <w:tc>
          <w:tcPr>
            <w:tcW w:w="2160" w:type="dxa"/>
            <w:vAlign w:val="bottom"/>
            <w:gridSpan w:val="5"/>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Payment Amount</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Loan Term</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Interest Rate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End of Term Payment</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8"/>
        </w:trPr>
        <w:tc>
          <w:tcPr>
            <w:tcW w:w="2920" w:type="dxa"/>
            <w:vAlign w:val="bottom"/>
            <w:gridSpan w:val="9"/>
          </w:tcPr>
          <w:p>
            <w:pPr>
              <w:jc w:val="center"/>
              <w:ind w:right="780"/>
              <w:spacing w:after="0"/>
              <w:rPr>
                <w:sz w:val="20"/>
                <w:szCs w:val="20"/>
                <w:color w:val="auto"/>
              </w:rPr>
            </w:pPr>
            <w:r>
              <w:rPr>
                <w:rFonts w:ascii="Arial" w:cs="Arial" w:eastAsia="Arial" w:hAnsi="Arial"/>
                <w:sz w:val="18"/>
                <w:szCs w:val="18"/>
                <w:color w:val="auto"/>
                <w:w w:val="94"/>
              </w:rPr>
              <w:t>[Months 1-XX: interest only;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months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gridSpan w:val="6"/>
          </w:tcPr>
          <w:p>
            <w:pPr>
              <w:jc w:val="center"/>
              <w:spacing w:after="0"/>
              <w:rPr>
                <w:sz w:val="20"/>
                <w:szCs w:val="20"/>
                <w:color w:val="auto"/>
              </w:rPr>
            </w:pPr>
            <w:r>
              <w:rPr>
                <w:rFonts w:ascii="Arial" w:cs="Arial" w:eastAsia="Arial" w:hAnsi="Arial"/>
                <w:sz w:val="18"/>
                <w:szCs w:val="18"/>
                <w:color w:val="auto"/>
                <w:w w:val="96"/>
              </w:rPr>
              <w:t>[Prime Rate plus   %]</w:t>
            </w:r>
          </w:p>
        </w:tc>
        <w:tc>
          <w:tcPr>
            <w:tcW w:w="2160" w:type="dxa"/>
            <w:vAlign w:val="bottom"/>
            <w:gridSpan w:val="5"/>
          </w:tcPr>
          <w:p>
            <w:pPr>
              <w:jc w:val="center"/>
              <w:ind w:left="141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7"/>
        </w:trPr>
        <w:tc>
          <w:tcPr>
            <w:tcW w:w="1980" w:type="dxa"/>
            <w:vAlign w:val="bottom"/>
            <w:gridSpan w:val="7"/>
          </w:tcPr>
          <w:p>
            <w:pPr>
              <w:ind w:left="80"/>
              <w:spacing w:after="0"/>
              <w:rPr>
                <w:sz w:val="20"/>
                <w:szCs w:val="20"/>
                <w:color w:val="auto"/>
              </w:rPr>
            </w:pPr>
            <w:r>
              <w:rPr>
                <w:rFonts w:ascii="Arial" w:cs="Arial" w:eastAsia="Arial" w:hAnsi="Arial"/>
                <w:sz w:val="18"/>
                <w:szCs w:val="18"/>
                <w:color w:val="auto"/>
              </w:rPr>
              <w:t>Months XX-XX: $</w:t>
            </w:r>
          </w:p>
        </w:tc>
        <w:tc>
          <w:tcPr>
            <w:tcW w:w="400" w:type="dxa"/>
            <w:vAlign w:val="bottom"/>
          </w:tcPr>
          <w:p>
            <w:pPr>
              <w:jc w:val="right"/>
              <w:ind w:right="250"/>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15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4"/>
              </w:rPr>
              <w:t>Interim Payment</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Funding Date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First Payment Date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6"/>
              </w:rPr>
              <w:t>Maturity Date</w:t>
            </w:r>
          </w:p>
        </w:tc>
      </w:tr>
      <w:tr>
        <w:trPr>
          <w:trHeight w:val="358"/>
        </w:trPr>
        <w:tc>
          <w:tcPr>
            <w:tcW w:w="400" w:type="dxa"/>
            <w:vAlign w:val="bottom"/>
          </w:tcPr>
          <w:p>
            <w:pPr>
              <w:spacing w:after="0"/>
              <w:rPr>
                <w:sz w:val="24"/>
                <w:szCs w:val="24"/>
                <w:color w:val="auto"/>
              </w:rPr>
            </w:pPr>
          </w:p>
        </w:tc>
        <w:tc>
          <w:tcPr>
            <w:tcW w:w="7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 20</w:t>
            </w: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4"/>
                <w:szCs w:val="24"/>
                <w:color w:val="auto"/>
              </w:rPr>
            </w:pPr>
          </w:p>
        </w:tc>
        <w:tc>
          <w:tcPr>
            <w:tcW w:w="12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 20</w:t>
            </w: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20</w:t>
            </w: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72"/>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2"/>
          </w:tcPr>
          <w:p>
            <w:pPr>
              <w:jc w:val="center"/>
              <w:ind w:right="540"/>
              <w:spacing w:after="0"/>
              <w:rPr>
                <w:sz w:val="20"/>
                <w:szCs w:val="20"/>
                <w:color w:val="auto"/>
              </w:rPr>
            </w:pPr>
            <w:r>
              <w:rPr>
                <w:rFonts w:ascii="Arial" w:cs="Arial" w:eastAsia="Arial" w:hAnsi="Arial"/>
                <w:sz w:val="18"/>
                <w:szCs w:val="18"/>
                <w:b w:val="1"/>
                <w:bCs w:val="1"/>
                <w:color w:val="auto"/>
              </w:rPr>
              <w:t>CONTACT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Name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7"/>
              </w:rPr>
              <w:t>Address For Notices</w:t>
            </w:r>
          </w:p>
        </w:tc>
        <w:tc>
          <w:tcPr>
            <w:tcW w:w="30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Contact Person</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4"/>
            <w:shd w:val="clear" w:color="auto" w:fill="00000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34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7"/>
          </w:tcPr>
          <w:p>
            <w:pPr>
              <w:jc w:val="center"/>
              <w:spacing w:after="0"/>
              <w:rPr>
                <w:sz w:val="20"/>
                <w:szCs w:val="20"/>
                <w:color w:val="auto"/>
              </w:rPr>
            </w:pPr>
            <w:r>
              <w:rPr>
                <w:rFonts w:ascii="Arial" w:cs="Arial" w:eastAsia="Arial" w:hAnsi="Arial"/>
                <w:sz w:val="18"/>
                <w:szCs w:val="18"/>
                <w:color w:val="auto"/>
                <w:w w:val="95"/>
              </w:rPr>
              <w:t>TriplePoint Capital LLC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0"/>
          </w:tcPr>
          <w:p>
            <w:pPr>
              <w:jc w:val="center"/>
              <w:ind w:right="1180"/>
              <w:spacing w:after="0"/>
              <w:rPr>
                <w:sz w:val="20"/>
                <w:szCs w:val="20"/>
                <w:color w:val="auto"/>
              </w:rPr>
            </w:pPr>
            <w:r>
              <w:rPr>
                <w:rFonts w:ascii="Arial" w:cs="Arial" w:eastAsia="Arial" w:hAnsi="Arial"/>
                <w:sz w:val="18"/>
                <w:szCs w:val="18"/>
                <w:color w:val="auto"/>
                <w:w w:val="90"/>
              </w:rPr>
              <w:t>2755 Sand Hill Rd., Ste. 150</w:t>
            </w: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89"/>
              </w:rPr>
              <w:t>Sajal Srivastava, President</w:t>
            </w: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8"/>
          </w:tcPr>
          <w:p>
            <w:pPr>
              <w:jc w:val="center"/>
              <w:ind w:right="1300"/>
              <w:spacing w:after="0"/>
              <w:rPr>
                <w:sz w:val="20"/>
                <w:szCs w:val="20"/>
                <w:color w:val="auto"/>
              </w:rPr>
            </w:pPr>
            <w:r>
              <w:rPr>
                <w:rFonts w:ascii="Arial" w:cs="Arial" w:eastAsia="Arial" w:hAnsi="Arial"/>
                <w:sz w:val="18"/>
                <w:szCs w:val="18"/>
                <w:color w:val="auto"/>
                <w:w w:val="91"/>
              </w:rPr>
              <w:t>Menlo Park, CA 94025</w:t>
            </w: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1"/>
              </w:rPr>
              <w:t>Tel: (650) 233-2102</w:t>
            </w: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jc w:val="center"/>
              <w:ind w:right="1440"/>
              <w:spacing w:after="0"/>
              <w:rPr>
                <w:sz w:val="20"/>
                <w:szCs w:val="20"/>
                <w:color w:val="auto"/>
              </w:rPr>
            </w:pPr>
            <w:r>
              <w:rPr>
                <w:rFonts w:ascii="Arial" w:cs="Arial" w:eastAsia="Arial" w:hAnsi="Arial"/>
                <w:sz w:val="18"/>
                <w:szCs w:val="18"/>
                <w:color w:val="auto"/>
                <w:w w:val="92"/>
              </w:rPr>
              <w:t>Tel: (650) 854-2090</w:t>
            </w: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0"/>
              </w:rPr>
              <w:t>Fax: (650) 854-1850</w:t>
            </w:r>
          </w:p>
        </w:tc>
      </w:tr>
      <w:tr>
        <w:trPr>
          <w:trHeight w:val="230"/>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7"/>
          </w:tcPr>
          <w:p>
            <w:pPr>
              <w:jc w:val="center"/>
              <w:ind w:right="1440"/>
              <w:spacing w:after="0"/>
              <w:rPr>
                <w:sz w:val="20"/>
                <w:szCs w:val="20"/>
                <w:color w:val="auto"/>
              </w:rPr>
            </w:pPr>
            <w:r>
              <w:rPr>
                <w:rFonts w:ascii="Arial" w:cs="Arial" w:eastAsia="Arial" w:hAnsi="Arial"/>
                <w:sz w:val="18"/>
                <w:szCs w:val="18"/>
                <w:color w:val="auto"/>
                <w:w w:val="91"/>
              </w:rPr>
              <w:t>Fax: (650) 854-1850</w:t>
            </w: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3"/>
              </w:rPr>
              <w:t>email: legal@triplepointcapital.com</w:t>
            </w:r>
          </w:p>
        </w:tc>
      </w:tr>
      <w:tr>
        <w:trPr>
          <w:trHeight w:val="405"/>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Customer Name</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Central Billing Address</w:t>
            </w:r>
          </w:p>
        </w:tc>
        <w:tc>
          <w:tcPr>
            <w:tcW w:w="130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Contact Person</w:t>
            </w:r>
          </w:p>
        </w:tc>
        <w:tc>
          <w:tcPr>
            <w:tcW w:w="920" w:type="dxa"/>
            <w:vAlign w:val="bottom"/>
            <w:gridSpan w:val="4"/>
          </w:tcPr>
          <w:p>
            <w:pPr>
              <w:spacing w:after="0"/>
              <w:rPr>
                <w:sz w:val="24"/>
                <w:szCs w:val="24"/>
                <w:color w:val="auto"/>
              </w:rPr>
            </w:pPr>
          </w:p>
        </w:tc>
      </w:tr>
      <w:tr>
        <w:trPr>
          <w:trHeight w:val="34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6"/>
          </w:tcPr>
          <w:p>
            <w:pPr>
              <w:jc w:val="center"/>
              <w:ind w:right="540"/>
              <w:spacing w:after="0"/>
              <w:rPr>
                <w:sz w:val="20"/>
                <w:szCs w:val="20"/>
                <w:color w:val="auto"/>
              </w:rPr>
            </w:pPr>
            <w:r>
              <w:rPr>
                <w:rFonts w:ascii="Arial" w:cs="Arial" w:eastAsia="Arial" w:hAnsi="Arial"/>
                <w:sz w:val="18"/>
                <w:szCs w:val="18"/>
                <w:color w:val="auto"/>
                <w:w w:val="89"/>
              </w:rPr>
              <w:t>Personalis,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7"/>
          </w:tcPr>
          <w:p>
            <w:pPr>
              <w:jc w:val="center"/>
              <w:ind w:right="1440"/>
              <w:spacing w:after="0"/>
              <w:rPr>
                <w:sz w:val="20"/>
                <w:szCs w:val="20"/>
                <w:color w:val="auto"/>
              </w:rPr>
            </w:pPr>
            <w:r>
              <w:rPr>
                <w:rFonts w:ascii="Arial" w:cs="Arial" w:eastAsia="Arial" w:hAnsi="Arial"/>
                <w:sz w:val="18"/>
                <w:szCs w:val="18"/>
                <w:color w:val="auto"/>
                <w:w w:val="95"/>
              </w:rPr>
              <w:t>1330 O’Brien Drive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jc w:val="center"/>
              <w:ind w:right="1100"/>
              <w:spacing w:after="0"/>
              <w:rPr>
                <w:sz w:val="20"/>
                <w:szCs w:val="20"/>
                <w:color w:val="auto"/>
              </w:rPr>
            </w:pPr>
            <w:r>
              <w:rPr>
                <w:rFonts w:ascii="Arial" w:cs="Arial" w:eastAsia="Arial" w:hAnsi="Arial"/>
                <w:sz w:val="18"/>
                <w:szCs w:val="18"/>
                <w:color w:val="auto"/>
                <w:w w:val="91"/>
              </w:rPr>
              <w:t>Name, Title</w:t>
            </w: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8"/>
          </w:tcPr>
          <w:p>
            <w:pPr>
              <w:jc w:val="center"/>
              <w:ind w:right="1300"/>
              <w:spacing w:after="0"/>
              <w:rPr>
                <w:sz w:val="20"/>
                <w:szCs w:val="20"/>
                <w:color w:val="auto"/>
              </w:rPr>
            </w:pPr>
            <w:r>
              <w:rPr>
                <w:rFonts w:ascii="Arial" w:cs="Arial" w:eastAsia="Arial" w:hAnsi="Arial"/>
                <w:sz w:val="18"/>
                <w:szCs w:val="18"/>
                <w:color w:val="auto"/>
                <w:w w:val="91"/>
              </w:rPr>
              <w:t>Menlo Park, CA 94025</w:t>
            </w: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4"/>
              </w:rPr>
              <w:t>Carol Tillis, VP Finance &amp; Administration</w:t>
            </w: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1"/>
              </w:rPr>
              <w:t>Tel: (650) 752-1330</w:t>
            </w: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1"/>
              </w:rPr>
              <w:t>Fax: (650)752-1301</w:t>
            </w:r>
          </w:p>
        </w:tc>
      </w:tr>
      <w:tr>
        <w:trPr>
          <w:trHeight w:val="230"/>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9"/>
          </w:tcPr>
          <w:p>
            <w:pPr>
              <w:jc w:val="center"/>
              <w:spacing w:after="0"/>
              <w:rPr>
                <w:sz w:val="20"/>
                <w:szCs w:val="20"/>
                <w:color w:val="auto"/>
              </w:rPr>
            </w:pPr>
            <w:r>
              <w:rPr>
                <w:rFonts w:ascii="Arial" w:cs="Arial" w:eastAsia="Arial" w:hAnsi="Arial"/>
                <w:sz w:val="18"/>
                <w:szCs w:val="18"/>
                <w:color w:val="auto"/>
                <w:w w:val="93"/>
              </w:rPr>
              <w:t>email: carol.tillis@personalis.com</w:t>
            </w:r>
          </w:p>
        </w:tc>
      </w:tr>
      <w:tr>
        <w:trPr>
          <w:trHeight w:val="378"/>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960"/>
          </w:cols>
          <w:pgMar w:left="460" w:top="271" w:right="479" w:bottom="1440" w:gutter="0" w:footer="0" w:header="0"/>
        </w:sectPr>
      </w:pPr>
    </w:p>
    <w:bookmarkStart w:id="679" w:name="page680"/>
    <w:bookmarkEnd w:id="679"/>
    <w:p>
      <w:pPr>
        <w:ind w:right="18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VALUE RECEIVED, </w:t>
      </w:r>
      <w:r>
        <w:rPr>
          <w:rFonts w:ascii="Arial" w:cs="Arial" w:eastAsia="Arial" w:hAnsi="Arial"/>
          <w:sz w:val="16"/>
          <w:szCs w:val="16"/>
          <w:color w:val="auto"/>
        </w:rPr>
        <w:t>Each of You, jointly and severally, hereby promise to pay to the order of TriplePoint Capital LLC or the holder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Promissory Note at 2755 Sand Hill Road, Ste. 150, Menlo Park, CA, 94025 or such other place of payment as the holder of this Promissory Note may</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specify from time to time in writing, in lawful money of the United States of America, the principal amount of /100 Dollars ($ ) together with interest at Prime Rate plus percent ( %) per annum, from the date of this Promissory Note to maturity of each installment on the</w:t>
      </w:r>
    </w:p>
    <w:p>
      <w:pPr>
        <w:ind w:right="40"/>
        <w:spacing w:after="0" w:line="253" w:lineRule="auto"/>
        <w:rPr>
          <w:sz w:val="20"/>
          <w:szCs w:val="20"/>
          <w:color w:val="auto"/>
        </w:rPr>
      </w:pPr>
      <w:r>
        <w:rPr>
          <w:rFonts w:ascii="Arial" w:cs="Arial" w:eastAsia="Arial" w:hAnsi="Arial"/>
          <w:sz w:val="18"/>
          <w:szCs w:val="18"/>
          <w:color w:val="auto"/>
        </w:rPr>
        <w:t>principal remaining unpaid, such principal and interest to be paid as stated on Page 1 of this Promissory Note and as set forth in the Loan Agreement. In addition to Your final payment, You will pay Us an amount equal to percent ( %) of the principal amount of this Promissory Note. Interest shall be computed daily on the basis of a year consisting of 360 days for the actual number of days occurring in the period for which such interest is payable. Any payments made under this Promissory Note shall not be available for re-borrowing.</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aggregate outstanding principal balance of this Promissory Note shall be due and payable in full in immediately available funds on the Maturity Date, if not sooner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waive presentment and demand for payment, notice of dishonor, protest and notice of protest under the UCC or any applicable law.</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will not, directly or indirectly, use the proceeds of any Advance(s) under this Promissory Note, or lend, contribute or otherwise make available such proceeds to any Subsidiary, Affiliate, joint venture partner or other Person, to fund any activities or business of or with any Person, or in any country or territory, that, at the time of such funding, is the subject of any sanctions administered by OFAC, or in any other manner that would result in a violation of OFAC sanctions by any Person, including any Person participating in any capacity in any Advance(s) under this Promissory Note.</w:t>
      </w:r>
    </w:p>
    <w:p>
      <w:pPr>
        <w:spacing w:after="0" w:line="1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Promissory Note has been negotiated and delivered to Us and is payable in the State of California. This Promissory Note shall be governed by and construed and enforced in accordance with, the laws of the State of California, excluding any conflicts of law rules or principles that would cause the application of the laws of any other jurisdiction.</w:t>
      </w:r>
    </w:p>
    <w:p>
      <w:pPr>
        <w:spacing w:after="0" w:line="206" w:lineRule="exact"/>
        <w:rPr>
          <w:sz w:val="20"/>
          <w:szCs w:val="20"/>
          <w:color w:val="auto"/>
        </w:rPr>
      </w:pPr>
    </w:p>
    <w:p>
      <w:pPr>
        <w:spacing w:after="0"/>
        <w:tabs>
          <w:tab w:leader="none" w:pos="5280" w:val="left"/>
          <w:tab w:leader="none" w:pos="6360" w:val="left"/>
        </w:tabs>
        <w:rPr>
          <w:sz w:val="20"/>
          <w:szCs w:val="20"/>
          <w:color w:val="auto"/>
        </w:rPr>
      </w:pPr>
      <w:r>
        <w:rPr>
          <w:rFonts w:ascii="Arial" w:cs="Arial" w:eastAsia="Arial" w:hAnsi="Arial"/>
          <w:sz w:val="18"/>
          <w:szCs w:val="18"/>
          <w:b w:val="1"/>
          <w:bCs w:val="1"/>
          <w:color w:val="auto"/>
        </w:rPr>
        <w:t>BORROWERS</w:t>
      </w:r>
      <w:r>
        <w:rPr>
          <w:sz w:val="20"/>
          <w:szCs w:val="20"/>
          <w:color w:val="auto"/>
        </w:rPr>
        <w:tab/>
      </w:r>
      <w:r>
        <w:rPr>
          <w:rFonts w:ascii="Arial" w:cs="Arial" w:eastAsia="Arial" w:hAnsi="Arial"/>
          <w:sz w:val="18"/>
          <w:szCs w:val="18"/>
          <w:b w:val="1"/>
          <w:bCs w:val="1"/>
          <w:color w:val="auto"/>
        </w:rPr>
        <w:t>YOU:</w:t>
      </w:r>
      <w:r>
        <w:rPr>
          <w:sz w:val="20"/>
          <w:szCs w:val="20"/>
          <w:color w:val="auto"/>
        </w:rPr>
        <w:tab/>
      </w:r>
      <w:r>
        <w:rPr>
          <w:rFonts w:ascii="Arial" w:cs="Arial" w:eastAsia="Arial" w:hAnsi="Arial"/>
          <w:sz w:val="17"/>
          <w:szCs w:val="17"/>
          <w:b w:val="1"/>
          <w:bCs w:val="1"/>
          <w:color w:val="auto"/>
        </w:rPr>
        <w:t>PERSONALIS, INC.</w:t>
      </w:r>
    </w:p>
    <w:p>
      <w:pPr>
        <w:spacing w:after="0" w:line="2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-1905</wp:posOffset>
            </wp:positionV>
            <wp:extent cx="2929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2929255" cy="8255"/>
                    </a:xfrm>
                    <a:prstGeom prst="rect">
                      <a:avLst/>
                    </a:prstGeom>
                    <a:noFill/>
                  </pic:spPr>
                </pic:pic>
              </a:graphicData>
            </a:graphic>
          </wp:anchor>
        </w:drawing>
      </w:r>
    </w:p>
    <w:p>
      <w:pPr>
        <w:spacing w:after="0" w:line="2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-1905</wp:posOffset>
            </wp:positionV>
            <wp:extent cx="2929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29292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-1905</wp:posOffset>
            </wp:positionV>
            <wp:extent cx="2929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929255" cy="825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1" w:right="479" w:bottom="1440" w:gutter="0" w:footer="0" w:header="0"/>
        </w:sectPr>
      </w:pPr>
    </w:p>
    <w:bookmarkStart w:id="680" w:name="page681"/>
    <w:bookmarkEnd w:id="680"/>
    <w:p>
      <w:pPr>
        <w:ind w:left="9980"/>
        <w:spacing w:after="0"/>
        <w:rPr>
          <w:sz w:val="20"/>
          <w:szCs w:val="20"/>
          <w:color w:val="auto"/>
        </w:rPr>
      </w:pPr>
      <w:r>
        <w:rPr>
          <w:rFonts w:ascii="Arial" w:cs="Arial" w:eastAsia="Arial" w:hAnsi="Arial"/>
          <w:sz w:val="16"/>
          <w:szCs w:val="16"/>
          <w:b w:val="1"/>
          <w:bCs w:val="1"/>
          <w:color w:val="auto"/>
        </w:rPr>
        <w:t>Exhibit 10.22</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NOTE AND THE SECURITIES ISSUABLE UPON THE CONVERSION HEREOF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PROMISSORY NOTE</w:t>
      </w:r>
    </w:p>
    <w:p>
      <w:pPr>
        <w:spacing w:after="0" w:line="256" w:lineRule="exact"/>
        <w:rPr>
          <w:sz w:val="20"/>
          <w:szCs w:val="20"/>
          <w:color w:val="auto"/>
        </w:rPr>
      </w:pPr>
    </w:p>
    <w:p>
      <w:pPr>
        <w:ind w:left="7860"/>
        <w:spacing w:after="0"/>
        <w:tabs>
          <w:tab w:leader="none" w:pos="8960" w:val="left"/>
        </w:tabs>
        <w:rPr>
          <w:sz w:val="20"/>
          <w:szCs w:val="20"/>
          <w:color w:val="auto"/>
        </w:rPr>
      </w:pPr>
      <w:r>
        <w:rPr>
          <w:rFonts w:ascii="Arial" w:cs="Arial" w:eastAsia="Arial" w:hAnsi="Arial"/>
          <w:sz w:val="18"/>
          <w:szCs w:val="18"/>
          <w:color w:val="auto"/>
        </w:rPr>
        <w:t>Note Series:</w:t>
      </w:r>
      <w:r>
        <w:rPr>
          <w:sz w:val="20"/>
          <w:szCs w:val="20"/>
          <w:color w:val="auto"/>
        </w:rPr>
        <w:tab/>
      </w:r>
      <w:r>
        <w:rPr>
          <w:rFonts w:ascii="Arial" w:cs="Arial" w:eastAsia="Arial" w:hAnsi="Arial"/>
          <w:sz w:val="16"/>
          <w:szCs w:val="16"/>
          <w:color w:val="auto"/>
        </w:rPr>
        <w:t>2017A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14605</wp:posOffset>
            </wp:positionV>
            <wp:extent cx="139636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Date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14605</wp:posOffset>
            </wp:positionV>
            <wp:extent cx="139636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16" w:lineRule="exact"/>
        <w:rPr>
          <w:sz w:val="20"/>
          <w:szCs w:val="20"/>
          <w:color w:val="auto"/>
        </w:rPr>
      </w:pPr>
    </w:p>
    <w:p>
      <w:pPr>
        <w:ind w:left="6840"/>
        <w:spacing w:after="0"/>
        <w:tabs>
          <w:tab w:leader="none" w:pos="8960" w:val="left"/>
        </w:tabs>
        <w:rPr>
          <w:sz w:val="20"/>
          <w:szCs w:val="20"/>
          <w:color w:val="auto"/>
        </w:rPr>
      </w:pPr>
      <w:r>
        <w:rPr>
          <w:rFonts w:ascii="Arial" w:cs="Arial" w:eastAsia="Arial" w:hAnsi="Arial"/>
          <w:sz w:val="18"/>
          <w:szCs w:val="18"/>
          <w:color w:val="auto"/>
        </w:rPr>
        <w:t>Principal Amount of Note: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14605</wp:posOffset>
            </wp:positionV>
            <wp:extent cx="139636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28" w:lineRule="exact"/>
        <w:rPr>
          <w:sz w:val="20"/>
          <w:szCs w:val="20"/>
          <w:color w:val="auto"/>
        </w:rPr>
      </w:pPr>
    </w:p>
    <w:p>
      <w:pPr>
        <w:ind w:right="20" w:firstLine="440"/>
        <w:spacing w:after="0" w:line="297" w:lineRule="auto"/>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P</w:t>
      </w:r>
      <w:r>
        <w:rPr>
          <w:rFonts w:ascii="Arial" w:cs="Arial" w:eastAsia="Arial" w:hAnsi="Arial"/>
          <w:sz w:val="12"/>
          <w:szCs w:val="12"/>
          <w:b w:val="1"/>
          <w:bCs w:val="1"/>
          <w:color w:val="auto"/>
        </w:rPr>
        <w:t>ERSONALIS</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promises to pay to the undersigned holder or such party’s assigns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the principal amount set forth above with simple interest on the outstanding principal amount at the rate of 8% per annum. Interest shall commence with the date hereof and shall continue on the outstanding principal until paid in full or converted. Interest shall be computed on the basis of a year of 365 days for the actual number of days elapsed. All unpaid interest and principal shall be due and payable upon request of the Requisite Holders on or after June 28, 2018 or such later date as may be determined by the Requisite Holders (the “</w:t>
      </w:r>
      <w:r>
        <w:rPr>
          <w:rFonts w:ascii="Arial" w:cs="Arial" w:eastAsia="Arial" w:hAnsi="Arial"/>
          <w:sz w:val="16"/>
          <w:szCs w:val="16"/>
          <w:b w:val="1"/>
          <w:bCs w:val="1"/>
          <w:i w:val="1"/>
          <w:iCs w:val="1"/>
          <w:color w:val="auto"/>
        </w:rPr>
        <w:t>Maturity Date</w:t>
      </w:r>
      <w:r>
        <w:rPr>
          <w:rFonts w:ascii="Arial" w:cs="Arial" w:eastAsia="Arial" w:hAnsi="Arial"/>
          <w:sz w:val="16"/>
          <w:szCs w:val="16"/>
          <w:color w:val="auto"/>
        </w:rPr>
        <w:t>”).</w:t>
      </w:r>
    </w:p>
    <w:p>
      <w:pPr>
        <w:spacing w:after="0" w:line="305" w:lineRule="exact"/>
        <w:rPr>
          <w:sz w:val="20"/>
          <w:szCs w:val="20"/>
          <w:color w:val="auto"/>
        </w:rPr>
      </w:pPr>
    </w:p>
    <w:p>
      <w:pPr>
        <w:ind w:left="860" w:hanging="438"/>
        <w:spacing w:after="0"/>
        <w:tabs>
          <w:tab w:leader="none" w:pos="860" w:val="left"/>
        </w:tabs>
        <w:numPr>
          <w:ilvl w:val="0"/>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ASIC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right="220" w:firstLine="871"/>
        <w:spacing w:after="0" w:line="266" w:lineRule="auto"/>
        <w:tabs>
          <w:tab w:leader="none" w:pos="1270" w:val="left"/>
        </w:tabs>
        <w:numPr>
          <w:ilvl w:val="1"/>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Series of Notes</w:t>
      </w:r>
      <w:r>
        <w:rPr>
          <w:rFonts w:ascii="Arial" w:cs="Arial" w:eastAsia="Arial" w:hAnsi="Arial"/>
          <w:sz w:val="18"/>
          <w:szCs w:val="18"/>
          <w:color w:val="auto"/>
        </w:rPr>
        <w:t>. This convertible promissory note (the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is issued as part of a series of notes designated by the Note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above (collectively,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and issued in a series of multiple closings to certain persons and entities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The Company shall maintain a ledger of all Holders.</w:t>
      </w:r>
    </w:p>
    <w:p>
      <w:pPr>
        <w:spacing w:after="0" w:line="175" w:lineRule="exact"/>
        <w:rPr>
          <w:rFonts w:ascii="Arial" w:cs="Arial" w:eastAsia="Arial" w:hAnsi="Arial"/>
          <w:sz w:val="18"/>
          <w:szCs w:val="18"/>
          <w:b w:val="1"/>
          <w:bCs w:val="1"/>
          <w:color w:val="auto"/>
        </w:rPr>
      </w:pPr>
    </w:p>
    <w:p>
      <w:pPr>
        <w:ind w:right="100" w:firstLine="871"/>
        <w:spacing w:after="0" w:line="281" w:lineRule="auto"/>
        <w:tabs>
          <w:tab w:leader="none" w:pos="1280" w:val="left"/>
        </w:tabs>
        <w:numPr>
          <w:ilvl w:val="1"/>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 All payments of interest and principal shall be in lawful money of the United States of America and shall be made 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among all Holders. All payments shall be applied first to accrued interest, and thereafter to principal.</w:t>
      </w:r>
    </w:p>
    <w:p>
      <w:pPr>
        <w:spacing w:after="0" w:line="162" w:lineRule="exact"/>
        <w:rPr>
          <w:rFonts w:ascii="Arial" w:cs="Arial" w:eastAsia="Arial" w:hAnsi="Arial"/>
          <w:sz w:val="18"/>
          <w:szCs w:val="18"/>
          <w:b w:val="1"/>
          <w:bCs w:val="1"/>
          <w:color w:val="auto"/>
        </w:rPr>
      </w:pPr>
    </w:p>
    <w:p>
      <w:pPr>
        <w:ind w:right="200" w:firstLine="871"/>
        <w:spacing w:after="0" w:line="281" w:lineRule="auto"/>
        <w:tabs>
          <w:tab w:leader="none" w:pos="1260" w:val="left"/>
        </w:tabs>
        <w:numPr>
          <w:ilvl w:val="1"/>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r>
        <w:rPr>
          <w:rFonts w:ascii="Arial" w:cs="Arial" w:eastAsia="Arial" w:hAnsi="Arial"/>
          <w:sz w:val="18"/>
          <w:szCs w:val="18"/>
          <w:color w:val="auto"/>
        </w:rPr>
        <w:t>. The Company may not prepay this Note prior to the Maturity Date without the consent of Lightspeed Venture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VIII, L.P. and Abingworth Bioventures V, LP (the “</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w:t>
      </w:r>
    </w:p>
    <w:p>
      <w:pPr>
        <w:spacing w:after="0" w:line="311" w:lineRule="exact"/>
        <w:rPr>
          <w:rFonts w:ascii="Arial" w:cs="Arial" w:eastAsia="Arial" w:hAnsi="Arial"/>
          <w:sz w:val="18"/>
          <w:szCs w:val="18"/>
          <w:b w:val="1"/>
          <w:bCs w:val="1"/>
          <w:color w:val="auto"/>
        </w:rPr>
      </w:pPr>
    </w:p>
    <w:p>
      <w:pPr>
        <w:ind w:left="860" w:hanging="438"/>
        <w:spacing w:after="0"/>
        <w:tabs>
          <w:tab w:leader="none" w:pos="860" w:val="left"/>
        </w:tabs>
        <w:numPr>
          <w:ilvl w:val="0"/>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EPAYMENT</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right="60" w:firstLine="871"/>
        <w:spacing w:after="0" w:line="260" w:lineRule="auto"/>
        <w:tabs>
          <w:tab w:leader="none" w:pos="1270" w:val="left"/>
        </w:tabs>
        <w:numPr>
          <w:ilvl w:val="1"/>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a Qualified Financing</w:t>
      </w:r>
      <w:r>
        <w:rPr>
          <w:rFonts w:ascii="Arial" w:cs="Arial" w:eastAsia="Arial" w:hAnsi="Arial"/>
          <w:sz w:val="18"/>
          <w:szCs w:val="18"/>
          <w:color w:val="auto"/>
        </w:rPr>
        <w:t>. In the event that the Company issues and sells shares of its equity securities (the “</w:t>
      </w:r>
      <w:r>
        <w:rPr>
          <w:rFonts w:ascii="Arial" w:cs="Arial" w:eastAsia="Arial" w:hAnsi="Arial"/>
          <w:sz w:val="18"/>
          <w:szCs w:val="18"/>
          <w:b w:val="1"/>
          <w:bCs w:val="1"/>
          <w:i w:val="1"/>
          <w:iCs w:val="1"/>
          <w:color w:val="auto"/>
        </w:rPr>
        <w:t>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investors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on or before the Maturity Date in an equity financing with total proceeds to the Company of not less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$10,000,000 (excluding the conversion of the Notes and any other convertible securities issued for capital raising purposes (</w:t>
      </w:r>
      <w:r>
        <w:rPr>
          <w:rFonts w:ascii="Arial" w:cs="Arial" w:eastAsia="Arial" w:hAnsi="Arial"/>
          <w:sz w:val="18"/>
          <w:szCs w:val="18"/>
          <w:i w:val="1"/>
          <w:iCs w:val="1"/>
          <w:color w:val="auto"/>
        </w:rPr>
        <w:t>e.g.</w:t>
      </w:r>
      <w:r>
        <w:rPr>
          <w:rFonts w:ascii="Arial" w:cs="Arial" w:eastAsia="Arial" w:hAnsi="Arial"/>
          <w:sz w:val="18"/>
          <w:szCs w:val="18"/>
          <w:color w:val="auto"/>
        </w:rPr>
        <w:t>, Simple Agreements for Future Equity)) (a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 then the outstanding</w:t>
      </w:r>
    </w:p>
    <w:p>
      <w:pPr>
        <w:sectPr>
          <w:pgSz w:w="11900" w:h="16838" w:orient="portrait"/>
          <w:cols w:equalWidth="0" w:num="1">
            <w:col w:w="11000"/>
          </w:cols>
          <w:pgMar w:left="460" w:top="121" w:right="439" w:bottom="1440" w:gutter="0" w:footer="0" w:header="0"/>
        </w:sectPr>
      </w:pPr>
    </w:p>
    <w:bookmarkStart w:id="681" w:name="page682"/>
    <w:bookmarkEnd w:id="68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amount of this Note and any unpaid accrued interest shall automatically convert in whole without any further action by the Holder into such Equity Securities sold in the Qualified Financing at a conversion price equal to the price paid per share for Equity Securities by the Investors in the Qualified Financing multiplied by 0.80. The issuance of Equity Securities pursuant to the conversion of this Note pursuant to this Section 2(a) shall be upon and subject to the same terms and conditions applicable to the Equity Securities sold in the Qualified Financing. Notwithstanding this paragraph, if the conversion price of the Notes as determined pursuant to this paragraph (the “</w:t>
      </w:r>
      <w:r>
        <w:rPr>
          <w:rFonts w:ascii="Arial" w:cs="Arial" w:eastAsia="Arial" w:hAnsi="Arial"/>
          <w:sz w:val="17"/>
          <w:szCs w:val="17"/>
          <w:b w:val="1"/>
          <w:bCs w:val="1"/>
          <w:i w:val="1"/>
          <w:iCs w:val="1"/>
          <w:color w:val="auto"/>
        </w:rPr>
        <w:t>QF Conversion Price</w:t>
      </w:r>
      <w:r>
        <w:rPr>
          <w:rFonts w:ascii="Arial" w:cs="Arial" w:eastAsia="Arial" w:hAnsi="Arial"/>
          <w:sz w:val="17"/>
          <w:szCs w:val="17"/>
          <w:color w:val="auto"/>
        </w:rPr>
        <w:t>”) is less than the price per share at which Equity Securities are issued in the Qualified Financing, the Company may, solely at its option, elect to convert this Note into shares of a newly created series of preferred stock having the identical rights, privileges, preferences and restrictions as the Equity Securities issued in the Qualified Financing, and otherwise on the same terms and conditions, other than with respect to: (i) the per share liquidation preference and the conversion price for purposes of price-based anti-dilution protection, which will equal the QF Conversion Price; and (ii) the per share dividend, which will be the same percentage of the QF Conversion Price as applied to determine the per share dividends of new Investors in the Qualified Financing relative to the purchase price paid by such Investors.</w:t>
      </w:r>
    </w:p>
    <w:p>
      <w:pPr>
        <w:spacing w:after="0" w:line="176" w:lineRule="exact"/>
        <w:rPr>
          <w:sz w:val="20"/>
          <w:szCs w:val="20"/>
          <w:color w:val="auto"/>
        </w:rPr>
      </w:pPr>
    </w:p>
    <w:p>
      <w:pPr>
        <w:ind w:firstLine="871"/>
        <w:spacing w:after="0" w:line="286" w:lineRule="auto"/>
        <w:tabs>
          <w:tab w:leader="none" w:pos="1280" w:val="left"/>
        </w:tabs>
        <w:numPr>
          <w:ilvl w:val="0"/>
          <w:numId w:val="711"/>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upon other Financings</w:t>
      </w:r>
      <w:r>
        <w:rPr>
          <w:rFonts w:ascii="Arial" w:cs="Arial" w:eastAsia="Arial" w:hAnsi="Arial"/>
          <w:sz w:val="16"/>
          <w:szCs w:val="16"/>
          <w:color w:val="auto"/>
        </w:rPr>
        <w:t>. In the event that the Company issues and sells Equity Securities to Investors on or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Date in an equity financing that does not qualify as a Qualified Financing (a “</w:t>
      </w:r>
      <w:r>
        <w:rPr>
          <w:rFonts w:ascii="Arial" w:cs="Arial" w:eastAsia="Arial" w:hAnsi="Arial"/>
          <w:sz w:val="16"/>
          <w:szCs w:val="16"/>
          <w:b w:val="1"/>
          <w:bCs w:val="1"/>
          <w:i w:val="1"/>
          <w:iCs w:val="1"/>
          <w:color w:val="auto"/>
        </w:rPr>
        <w:t>Non-Qualified Financing</w:t>
      </w:r>
      <w:r>
        <w:rPr>
          <w:rFonts w:ascii="Arial" w:cs="Arial" w:eastAsia="Arial" w:hAnsi="Arial"/>
          <w:sz w:val="16"/>
          <w:szCs w:val="16"/>
          <w:color w:val="auto"/>
        </w:rPr>
        <w:t>”), then at the option of either (x) the Requisite Holders or (y) the Holder, the outstanding principal amount of this Note and any unpaid accrued interest shall automatically convert in whole without any further action by the Holder into such Equity Securities sold in the Non-Qualified Financing at a conversion price equal to the price paid per share for Equity Securities by the Investors in the Non-Qualified Financing multiplied by 0.80 (provided that in the event of conversion requested by the Requisite Holders, all of the Notes shall be converted upon the same terms). The issuance of Equity Securities pursuant to the conversion of this Note pursuant to this Section 2(b) shall be upon and subject to the same terms and conditions applicable to the Equity Securities sold in the Non-Qualified Financing. Notwithstanding this paragraph, if the conversion price of the Notes as determined pursuant to this paragraph (the “</w:t>
      </w:r>
      <w:r>
        <w:rPr>
          <w:rFonts w:ascii="Arial" w:cs="Arial" w:eastAsia="Arial" w:hAnsi="Arial"/>
          <w:sz w:val="16"/>
          <w:szCs w:val="16"/>
          <w:b w:val="1"/>
          <w:bCs w:val="1"/>
          <w:i w:val="1"/>
          <w:iCs w:val="1"/>
          <w:color w:val="auto"/>
        </w:rPr>
        <w:t>NQF Conversion Price</w:t>
      </w:r>
      <w:r>
        <w:rPr>
          <w:rFonts w:ascii="Arial" w:cs="Arial" w:eastAsia="Arial" w:hAnsi="Arial"/>
          <w:sz w:val="16"/>
          <w:szCs w:val="16"/>
          <w:color w:val="auto"/>
        </w:rPr>
        <w:t>”) is less than the price per share at which Equity Securities are issued in the Non-Qualified Financing, then upon the conversion of this Note pursuant to this Section 2(b), the Company may, solely at its option, elect to convert this Note into shares of a newly created series of preferred stock having the identical rights, privileges, preferences and restrictions as the Equity Securities issued in the Non-Qualified Financing, and otherwise on the same terms and conditions, other than with respect to: (i) the per share liquidation preference and the conversion price for purposes of price-based anti-dilution protection, which will equal the NQF Conversion Price; and (ii) the per share dividend, which will be the same percentage of the NQF Conversion Price as applied to determine the per share dividends of new Investors in the Non-Qualified Financing relative to the purchase price paid by such Investors.</w:t>
      </w:r>
    </w:p>
    <w:p>
      <w:pPr>
        <w:spacing w:after="0" w:line="168" w:lineRule="exact"/>
        <w:rPr>
          <w:rFonts w:ascii="Arial" w:cs="Arial" w:eastAsia="Arial" w:hAnsi="Arial"/>
          <w:sz w:val="16"/>
          <w:szCs w:val="16"/>
          <w:b w:val="1"/>
          <w:bCs w:val="1"/>
          <w:color w:val="auto"/>
        </w:rPr>
      </w:pPr>
    </w:p>
    <w:p>
      <w:pPr>
        <w:ind w:firstLine="871"/>
        <w:spacing w:after="0" w:line="270" w:lineRule="auto"/>
        <w:tabs>
          <w:tab w:leader="none" w:pos="1260" w:val="left"/>
        </w:tabs>
        <w:numPr>
          <w:ilvl w:val="0"/>
          <w:numId w:val="711"/>
        </w:numPr>
        <w:rPr>
          <w:rFonts w:ascii="Arial" w:cs="Arial" w:eastAsia="Arial" w:hAnsi="Arial"/>
          <w:sz w:val="17"/>
          <w:szCs w:val="17"/>
          <w:b w:val="1"/>
          <w:bCs w:val="1"/>
          <w:color w:val="auto"/>
        </w:rPr>
      </w:pPr>
      <w:r>
        <w:rPr>
          <w:rFonts w:ascii="Arial" w:cs="Arial" w:eastAsia="Arial" w:hAnsi="Arial"/>
          <w:sz w:val="17"/>
          <w:szCs w:val="17"/>
          <w:b w:val="1"/>
          <w:bCs w:val="1"/>
          <w:color w:val="auto"/>
        </w:rPr>
        <w:t>Maturity Date Conversion</w:t>
      </w:r>
      <w:r>
        <w:rPr>
          <w:rFonts w:ascii="Arial" w:cs="Arial" w:eastAsia="Arial" w:hAnsi="Arial"/>
          <w:sz w:val="17"/>
          <w:szCs w:val="17"/>
          <w:color w:val="auto"/>
        </w:rPr>
        <w:t>. In the event that this Note remains outstanding on the Maturity Date, then the outstanding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of this Note and any unpaid accrued interest shall upon the election of the Holder given prior to the Maturity Date, convert as of the Maturity Date into shares of a newly created series of the Company’s preferred stock (the “</w:t>
      </w:r>
      <w:r>
        <w:rPr>
          <w:rFonts w:ascii="Arial" w:cs="Arial" w:eastAsia="Arial" w:hAnsi="Arial"/>
          <w:sz w:val="17"/>
          <w:szCs w:val="17"/>
          <w:b w:val="1"/>
          <w:bCs w:val="1"/>
          <w:i w:val="1"/>
          <w:iCs w:val="1"/>
          <w:color w:val="auto"/>
        </w:rPr>
        <w:t>Series C-1 Preferred</w:t>
      </w:r>
      <w:r>
        <w:rPr>
          <w:rFonts w:ascii="Arial" w:cs="Arial" w:eastAsia="Arial" w:hAnsi="Arial"/>
          <w:sz w:val="17"/>
          <w:szCs w:val="17"/>
          <w:color w:val="auto"/>
        </w:rPr>
        <w:t>”) at a conversion price equal to the price paid per share for the Company’s Series C Preferred Stock and which will have identical rights, privileges, preferences and restrictions as the Company’s Series C Preferred Stock, other than the Series C-1 Preferred shall be entitled to no vote on any matters submitted to the Company’s stockholders (the “</w:t>
      </w:r>
      <w:r>
        <w:rPr>
          <w:rFonts w:ascii="Arial" w:cs="Arial" w:eastAsia="Arial" w:hAnsi="Arial"/>
          <w:sz w:val="17"/>
          <w:szCs w:val="17"/>
          <w:b w:val="1"/>
          <w:bCs w:val="1"/>
          <w:i w:val="1"/>
          <w:iCs w:val="1"/>
          <w:color w:val="auto"/>
        </w:rPr>
        <w:t>Maturity Date Conversion</w:t>
      </w:r>
      <w:r>
        <w:rPr>
          <w:rFonts w:ascii="Arial" w:cs="Arial" w:eastAsia="Arial" w:hAnsi="Arial"/>
          <w:sz w:val="17"/>
          <w:szCs w:val="17"/>
          <w:color w:val="auto"/>
        </w:rPr>
        <w:t>”). The Series C-1 Preferred will be subject to the Amended and Restated Investor Rights Agreement, by and among the Company and the Investors party thereto, dated as of December 16, 2014 (the “</w:t>
      </w:r>
      <w:r>
        <w:rPr>
          <w:rFonts w:ascii="Arial" w:cs="Arial" w:eastAsia="Arial" w:hAnsi="Arial"/>
          <w:sz w:val="17"/>
          <w:szCs w:val="17"/>
          <w:b w:val="1"/>
          <w:bCs w:val="1"/>
          <w:i w:val="1"/>
          <w:iCs w:val="1"/>
          <w:color w:val="auto"/>
        </w:rPr>
        <w:t>IRA</w:t>
      </w:r>
      <w:r>
        <w:rPr>
          <w:rFonts w:ascii="Arial" w:cs="Arial" w:eastAsia="Arial" w:hAnsi="Arial"/>
          <w:sz w:val="17"/>
          <w:szCs w:val="17"/>
          <w:color w:val="auto"/>
        </w:rPr>
        <w:t>”) and the Amended and Restated Voting Agreement, by and among the Company and the Investors party thereto, dated as of December 16, 2014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Series C-1 Preferred will not be included in the voting or amendment thresholds under such agreements. In the event of a Maturity Date Conversion by any of the Holders of the Notes,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682" w:name="page683"/>
    <w:bookmarkEnd w:id="682"/>
    <w:p>
      <w:pPr>
        <w:ind w:right="14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Holder, and each of the Holder’s affiliates that holds any shares of capital stock of the Company as of the date of such Maturity Date Conversion, shall amend the IRA, the Voting Agreement and the Company’s certificate of incorporation to include the Series C-1 Preferred.</w:t>
      </w:r>
    </w:p>
    <w:p>
      <w:pPr>
        <w:spacing w:after="0" w:line="121" w:lineRule="exact"/>
        <w:rPr>
          <w:sz w:val="20"/>
          <w:szCs w:val="20"/>
          <w:color w:val="auto"/>
        </w:rPr>
      </w:pPr>
    </w:p>
    <w:p>
      <w:pPr>
        <w:ind w:firstLine="871"/>
        <w:spacing w:after="0" w:line="267" w:lineRule="auto"/>
        <w:tabs>
          <w:tab w:leader="none" w:pos="1280" w:val="left"/>
        </w:tabs>
        <w:numPr>
          <w:ilvl w:val="0"/>
          <w:numId w:val="712"/>
        </w:numPr>
        <w:rPr>
          <w:rFonts w:ascii="Arial" w:cs="Arial" w:eastAsia="Arial" w:hAnsi="Arial"/>
          <w:sz w:val="17"/>
          <w:szCs w:val="17"/>
          <w:b w:val="1"/>
          <w:bCs w:val="1"/>
          <w:color w:val="auto"/>
        </w:rPr>
      </w:pPr>
      <w:r>
        <w:rPr>
          <w:rFonts w:ascii="Arial" w:cs="Arial" w:eastAsia="Arial" w:hAnsi="Arial"/>
          <w:sz w:val="17"/>
          <w:szCs w:val="17"/>
          <w:b w:val="1"/>
          <w:bCs w:val="1"/>
          <w:color w:val="auto"/>
        </w:rPr>
        <w:t>Change of Control</w:t>
      </w:r>
      <w:r>
        <w:rPr>
          <w:rFonts w:ascii="Arial" w:cs="Arial" w:eastAsia="Arial" w:hAnsi="Arial"/>
          <w:sz w:val="17"/>
          <w:szCs w:val="17"/>
          <w:color w:val="auto"/>
        </w:rPr>
        <w:t>. If the Company consummates a Change of Control (as defined below) while this Note remains outstanding,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shall provide the Holder with at least ten (10) days’ prior written notice thereof and shall repay the Holder in cash in an amount equal to 150% of the outstanding principal amount of this Note plus any unpaid accrued interest on the original principal;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requested in writing by (x) the Requisite Holders or (y) the Holder, in lieu of such repayment, the outstanding principal amount and unpaid accrued interest thereon shall convert into shares of the then-most recently issued series of preferred stock of the Company issued in a bona fide equity financing transaction at a conversion price equal to the lowest price paid per share by investors in such financing, which conversion shall take place immediately prior to the closing of such Change of Control (provided that in the event of conversion requested by the Requisite Holders, all of the Notes shall be converted upon the same terms). For purposes of this Note, a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xml:space="preserve">” means (i) a consolidation or merger of the Company with or into any other corporation or other entity or person, 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immediately after such consolidation, merger or reorganization; (ii) any transaction or series of related transactions to which the Company is a party in which in excess of 50% of the Company’s voting power is transferred; or (iii) the sale or transfer of all or substantially all of the Company’s assets, or the exclusive license of all or substantially all of the Company’s material intellectual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Change of Control shall not include any transaction or series of transactions principally for bona fide equity financing purposes in which cash is received by the Company or any successor, indebtedness of the Company is cancelled, or converted or a combination thereof. The Company shall give the Holder notice of a Change of Control not less than 10 days prior to the anticipated date of consummation of the Change of Control. Any repayment pursuant to this paragraph in connection with a Change of Control shall be subject to any required tax withholdings, and may be made by the Company (or any party to such Change of Control or its agent) following the Change of Control in connection with payment procedures established in connection with such Change of Control.</w:t>
      </w:r>
    </w:p>
    <w:p>
      <w:pPr>
        <w:spacing w:after="0" w:line="184" w:lineRule="exact"/>
        <w:rPr>
          <w:rFonts w:ascii="Arial" w:cs="Arial" w:eastAsia="Arial" w:hAnsi="Arial"/>
          <w:sz w:val="17"/>
          <w:szCs w:val="17"/>
          <w:b w:val="1"/>
          <w:bCs w:val="1"/>
          <w:color w:val="auto"/>
        </w:rPr>
      </w:pPr>
    </w:p>
    <w:p>
      <w:pPr>
        <w:ind w:right="160" w:firstLine="871"/>
        <w:spacing w:after="0" w:line="294" w:lineRule="auto"/>
        <w:tabs>
          <w:tab w:leader="none" w:pos="1260" w:val="left"/>
        </w:tabs>
        <w:numPr>
          <w:ilvl w:val="0"/>
          <w:numId w:val="712"/>
        </w:numPr>
        <w:rPr>
          <w:rFonts w:ascii="Arial" w:cs="Arial" w:eastAsia="Arial" w:hAnsi="Arial"/>
          <w:sz w:val="16"/>
          <w:szCs w:val="16"/>
          <w:b w:val="1"/>
          <w:bCs w:val="1"/>
          <w:color w:val="auto"/>
        </w:rPr>
      </w:pPr>
      <w:r>
        <w:rPr>
          <w:rFonts w:ascii="Arial" w:cs="Arial" w:eastAsia="Arial" w:hAnsi="Arial"/>
          <w:sz w:val="16"/>
          <w:szCs w:val="16"/>
          <w:b w:val="1"/>
          <w:bCs w:val="1"/>
          <w:color w:val="auto"/>
        </w:rPr>
        <w:t>Procedure for Conversion</w:t>
      </w:r>
      <w:r>
        <w:rPr>
          <w:rFonts w:ascii="Arial" w:cs="Arial" w:eastAsia="Arial" w:hAnsi="Arial"/>
          <w:sz w:val="16"/>
          <w:szCs w:val="16"/>
          <w:color w:val="auto"/>
        </w:rPr>
        <w:t>. In connection with any conversion of this Note into capital stock, the Holder shall surrender this Note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and deliver to the Company any documentation reasonably required by the Company (including, in the case of a Qualified Financing, all financing documents executed by other investors in connection with such Qualified Financing). The Company </w:t>
      </w:r>
      <w:r>
        <w:rPr>
          <w:rFonts w:ascii="Arial" w:cs="Arial" w:eastAsia="Arial" w:hAnsi="Arial"/>
          <w:sz w:val="16"/>
          <w:szCs w:val="16"/>
          <w:i w:val="1"/>
          <w:iCs w:val="1"/>
          <w:color w:val="auto"/>
        </w:rPr>
        <w:t>shall</w:t>
      </w:r>
      <w:r>
        <w:rPr>
          <w:rFonts w:ascii="Arial" w:cs="Arial" w:eastAsia="Arial" w:hAnsi="Arial"/>
          <w:sz w:val="16"/>
          <w:szCs w:val="16"/>
          <w:color w:val="auto"/>
        </w:rPr>
        <w:t xml:space="preserve"> not be required to issue or deliver the capital stock into which this Note may convert until the Holder has surrendered this Note to the Company and delivered to the Company any such documentation. Upon the conversion of this Note into capital stock pursuant to the terms hereof, in lieu of any fractional shares to which the Holder would otherwise be entitled, the Company shall pay the Holder cash equal to such fraction multiplied by the price at which this Note converts.</w:t>
      </w:r>
    </w:p>
    <w:p>
      <w:pPr>
        <w:spacing w:after="0" w:line="158" w:lineRule="exact"/>
        <w:rPr>
          <w:rFonts w:ascii="Arial" w:cs="Arial" w:eastAsia="Arial" w:hAnsi="Arial"/>
          <w:sz w:val="16"/>
          <w:szCs w:val="16"/>
          <w:b w:val="1"/>
          <w:bCs w:val="1"/>
          <w:color w:val="auto"/>
        </w:rPr>
      </w:pPr>
    </w:p>
    <w:p>
      <w:pPr>
        <w:ind w:right="220" w:firstLine="871"/>
        <w:spacing w:after="0" w:line="266" w:lineRule="auto"/>
        <w:tabs>
          <w:tab w:leader="none" w:pos="1240" w:val="left"/>
        </w:tabs>
        <w:numPr>
          <w:ilvl w:val="0"/>
          <w:numId w:val="71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Accrual</w:t>
      </w:r>
      <w:r>
        <w:rPr>
          <w:rFonts w:ascii="Arial" w:cs="Arial" w:eastAsia="Arial" w:hAnsi="Arial"/>
          <w:sz w:val="18"/>
          <w:szCs w:val="18"/>
          <w:color w:val="auto"/>
        </w:rPr>
        <w:t>. If a Change of Control or Qualified Financing is consummated, all interest on this Note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stopped accruing as of a date selected by the Company that is not more than 10 days prior to the signing of the definitive agreement for the Change of Control or Qualified Financing.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5" w:right="459" w:bottom="1440" w:gutter="0" w:footer="0" w:header="0"/>
        </w:sectPr>
      </w:pPr>
    </w:p>
    <w:bookmarkStart w:id="683" w:name="page684"/>
    <w:bookmarkEnd w:id="683"/>
    <w:p>
      <w:pPr>
        <w:ind w:left="860" w:hanging="438"/>
        <w:spacing w:after="0"/>
        <w:tabs>
          <w:tab w:leader="none" w:pos="860" w:val="left"/>
        </w:tabs>
        <w:numPr>
          <w:ilvl w:val="0"/>
          <w:numId w:val="7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right="340" w:firstLine="871"/>
        <w:spacing w:after="0" w:line="281" w:lineRule="auto"/>
        <w:tabs>
          <w:tab w:leader="none" w:pos="1270" w:val="left"/>
        </w:tabs>
        <w:numPr>
          <w:ilvl w:val="1"/>
          <w:numId w:val="71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r>
        <w:rPr>
          <w:rFonts w:ascii="Arial" w:cs="Arial" w:eastAsia="Arial" w:hAnsi="Arial"/>
          <w:sz w:val="18"/>
          <w:szCs w:val="18"/>
          <w:color w:val="auto"/>
        </w:rPr>
        <w:t>. The Company hereby represents and warrants to the Holder as of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Note was issued as follows:</w:t>
      </w:r>
    </w:p>
    <w:p>
      <w:pPr>
        <w:spacing w:after="0" w:line="162" w:lineRule="exact"/>
        <w:rPr>
          <w:rFonts w:ascii="Arial" w:cs="Arial" w:eastAsia="Arial" w:hAnsi="Arial"/>
          <w:sz w:val="18"/>
          <w:szCs w:val="18"/>
          <w:b w:val="1"/>
          <w:bCs w:val="1"/>
          <w:color w:val="auto"/>
        </w:rPr>
      </w:pPr>
    </w:p>
    <w:p>
      <w:pPr>
        <w:ind w:right="80" w:firstLine="1421"/>
        <w:spacing w:after="0" w:line="297" w:lineRule="auto"/>
        <w:tabs>
          <w:tab w:leader="none" w:pos="1780" w:val="left"/>
        </w:tabs>
        <w:numPr>
          <w:ilvl w:val="2"/>
          <w:numId w:val="71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Good Standing and Qualification</w:t>
      </w:r>
      <w:r>
        <w:rPr>
          <w:rFonts w:ascii="Arial" w:cs="Arial" w:eastAsia="Arial" w:hAnsi="Arial"/>
          <w:sz w:val="16"/>
          <w:szCs w:val="16"/>
          <w:color w:val="auto"/>
        </w:rPr>
        <w:t>. The Company is a corporation duly organized,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State of Delaware. The Company has the requisite corporate power to own and operate its properties and assets and to carry on its business as now conducted and as proposed to be conducted.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w:t>
      </w:r>
    </w:p>
    <w:p>
      <w:pPr>
        <w:spacing w:after="0" w:line="156" w:lineRule="exact"/>
        <w:rPr>
          <w:rFonts w:ascii="Arial" w:cs="Arial" w:eastAsia="Arial" w:hAnsi="Arial"/>
          <w:sz w:val="16"/>
          <w:szCs w:val="16"/>
          <w:b w:val="1"/>
          <w:bCs w:val="1"/>
          <w:color w:val="auto"/>
        </w:rPr>
      </w:pPr>
    </w:p>
    <w:p>
      <w:pPr>
        <w:ind w:firstLine="1421"/>
        <w:spacing w:after="0" w:line="314" w:lineRule="auto"/>
        <w:tabs>
          <w:tab w:leader="none" w:pos="1830" w:val="left"/>
        </w:tabs>
        <w:numPr>
          <w:ilvl w:val="2"/>
          <w:numId w:val="713"/>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Power</w:t>
      </w:r>
      <w:r>
        <w:rPr>
          <w:rFonts w:ascii="Arial" w:cs="Arial" w:eastAsia="Arial" w:hAnsi="Arial"/>
          <w:sz w:val="16"/>
          <w:szCs w:val="16"/>
          <w:color w:val="auto"/>
        </w:rPr>
        <w:t>. The Company has all requisite corporate power to issue this Note and to carry out and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Note.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has approved the issuance of this Note based upon a reasonable belief that the issuance of this Note is appropriate for the Company after reasonable inquiry concerning the Company’s financing objectives and financial situation.</w:t>
      </w:r>
    </w:p>
    <w:p>
      <w:pPr>
        <w:spacing w:after="0" w:line="141" w:lineRule="exact"/>
        <w:rPr>
          <w:rFonts w:ascii="Arial" w:cs="Arial" w:eastAsia="Arial" w:hAnsi="Arial"/>
          <w:sz w:val="16"/>
          <w:szCs w:val="16"/>
          <w:b w:val="1"/>
          <w:bCs w:val="1"/>
          <w:color w:val="auto"/>
        </w:rPr>
      </w:pPr>
    </w:p>
    <w:p>
      <w:pPr>
        <w:ind w:firstLine="1421"/>
        <w:spacing w:after="0" w:line="256" w:lineRule="auto"/>
        <w:tabs>
          <w:tab w:leader="none" w:pos="1880" w:val="left"/>
        </w:tabs>
        <w:numPr>
          <w:ilvl w:val="2"/>
          <w:numId w:val="713"/>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All corporate action on the part of the Company, the Board and the Company’s stockholders necessary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delivery of this Note has been taken. This Note constitutes a valid and binding obligation of the Company enforceable in accordance with its terms, subject to laws of general application relating to bankruptcy, insolvency, the relief of debtors and, with respect to rights to indemnity, subject to federal and state securities laws. Any securities issued upon conversion of this Note (the “</w:t>
      </w:r>
      <w:r>
        <w:rPr>
          <w:rFonts w:ascii="Arial" w:cs="Arial" w:eastAsia="Arial" w:hAnsi="Arial"/>
          <w:sz w:val="18"/>
          <w:szCs w:val="18"/>
          <w:b w:val="1"/>
          <w:bCs w:val="1"/>
          <w:i w:val="1"/>
          <w:iCs w:val="1"/>
          <w:color w:val="auto"/>
        </w:rPr>
        <w:t>Conversion Securities</w:t>
      </w:r>
      <w:r>
        <w:rPr>
          <w:rFonts w:ascii="Arial" w:cs="Arial" w:eastAsia="Arial" w:hAnsi="Arial"/>
          <w:sz w:val="18"/>
          <w:szCs w:val="18"/>
          <w:color w:val="auto"/>
        </w:rPr>
        <w:t>”), when issued in compliance with the provisions of this Note, will be validly issued, fully paid, nonassessable, free of any liens or encumbrances and issued in compliance with all applicable federal and securities laws.</w:t>
      </w:r>
    </w:p>
    <w:p>
      <w:pPr>
        <w:spacing w:after="0" w:line="186" w:lineRule="exact"/>
        <w:rPr>
          <w:rFonts w:ascii="Arial" w:cs="Arial" w:eastAsia="Arial" w:hAnsi="Arial"/>
          <w:sz w:val="18"/>
          <w:szCs w:val="18"/>
          <w:b w:val="1"/>
          <w:bCs w:val="1"/>
          <w:color w:val="auto"/>
        </w:rPr>
      </w:pPr>
    </w:p>
    <w:p>
      <w:pPr>
        <w:ind w:right="40" w:firstLine="1421"/>
        <w:spacing w:after="0" w:line="347" w:lineRule="auto"/>
        <w:tabs>
          <w:tab w:leader="none" w:pos="1870" w:val="left"/>
        </w:tabs>
        <w:numPr>
          <w:ilvl w:val="2"/>
          <w:numId w:val="713"/>
        </w:numPr>
        <w:rPr>
          <w:rFonts w:ascii="Arial" w:cs="Arial" w:eastAsia="Arial" w:hAnsi="Arial"/>
          <w:sz w:val="16"/>
          <w:szCs w:val="16"/>
          <w:b w:val="1"/>
          <w:bCs w:val="1"/>
          <w:color w:val="auto"/>
        </w:rPr>
      </w:pPr>
      <w:r>
        <w:rPr>
          <w:rFonts w:ascii="Arial" w:cs="Arial" w:eastAsia="Arial" w:hAnsi="Arial"/>
          <w:sz w:val="16"/>
          <w:szCs w:val="16"/>
          <w:b w:val="1"/>
          <w:bCs w:val="1"/>
          <w:color w:val="auto"/>
        </w:rPr>
        <w:t>Governmental Consents</w:t>
      </w:r>
      <w:r>
        <w:rPr>
          <w:rFonts w:ascii="Arial" w:cs="Arial" w:eastAsia="Arial" w:hAnsi="Arial"/>
          <w:sz w:val="16"/>
          <w:szCs w:val="16"/>
          <w:color w:val="auto"/>
        </w:rPr>
        <w:t>. All consents, approvals, orders or authorizations of, or registrations, qualifications, designations,</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declarations or filings with, any governmental authority required on the part of the Company in connection with issuance of this Note has been obtained.</w:t>
      </w:r>
    </w:p>
    <w:p>
      <w:pPr>
        <w:spacing w:after="0" w:line="115" w:lineRule="exact"/>
        <w:rPr>
          <w:rFonts w:ascii="Arial" w:cs="Arial" w:eastAsia="Arial" w:hAnsi="Arial"/>
          <w:sz w:val="16"/>
          <w:szCs w:val="16"/>
          <w:b w:val="1"/>
          <w:bCs w:val="1"/>
          <w:color w:val="auto"/>
        </w:rPr>
      </w:pPr>
    </w:p>
    <w:p>
      <w:pPr>
        <w:ind w:right="40" w:firstLine="1421"/>
        <w:spacing w:after="0" w:line="260" w:lineRule="auto"/>
        <w:tabs>
          <w:tab w:leader="none" w:pos="1820" w:val="left"/>
        </w:tabs>
        <w:numPr>
          <w:ilvl w:val="2"/>
          <w:numId w:val="71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To its knowledge, the Company is not in violation of any applicable statute, rule, regulation, order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of any domestic or foreign government or any instrumentality or agency thereof in respect of the conduct of its business or the ownership of its properties, which violation of which would materially and adversely affect the business, assets, liabilities, financial condition, operations or prospects of the Company.</w:t>
      </w:r>
    </w:p>
    <w:p>
      <w:pPr>
        <w:spacing w:after="0" w:line="182" w:lineRule="exact"/>
        <w:rPr>
          <w:rFonts w:ascii="Arial" w:cs="Arial" w:eastAsia="Arial" w:hAnsi="Arial"/>
          <w:sz w:val="18"/>
          <w:szCs w:val="18"/>
          <w:b w:val="1"/>
          <w:bCs w:val="1"/>
          <w:color w:val="auto"/>
        </w:rPr>
      </w:pPr>
    </w:p>
    <w:p>
      <w:pPr>
        <w:ind w:right="40" w:firstLine="1421"/>
        <w:spacing w:after="0" w:line="269" w:lineRule="auto"/>
        <w:tabs>
          <w:tab w:leader="none" w:pos="1870" w:val="left"/>
        </w:tabs>
        <w:numPr>
          <w:ilvl w:val="2"/>
          <w:numId w:val="713"/>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Other Instruments</w:t>
      </w:r>
      <w:r>
        <w:rPr>
          <w:rFonts w:ascii="Arial" w:cs="Arial" w:eastAsia="Arial" w:hAnsi="Arial"/>
          <w:sz w:val="17"/>
          <w:szCs w:val="17"/>
          <w:color w:val="auto"/>
        </w:rPr>
        <w:t>. The Company is not in violation or default of any term of its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or bylaws, or of any provision of any mortgage, indenture or contract to which it is a party and by which it is bound or of any judgment, decree, order or writ, other than such violation(s) that would not have a material adverse effect on the Company. The execution, delivery and performance of this Note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 Without limiting the foregoing, the Company has obtained all waivers reasonably necessary with respect to any preemptive rights, rights of first refusal or similar rights, including any notice or offering periods provided for as part of any such rights, in order for the Company to consummate the transactions contemplated hereunder without any third party obtaining any rights to cause the Company to offer or issue any securities of the Company as a result of the consummation of the transactions contemplated 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0" w:right="439" w:bottom="1440" w:gutter="0" w:footer="0" w:header="0"/>
        </w:sectPr>
      </w:pPr>
    </w:p>
    <w:bookmarkStart w:id="684" w:name="page685"/>
    <w:bookmarkEnd w:id="684"/>
    <w:p>
      <w:pPr>
        <w:jc w:val="both"/>
        <w:ind w:left="10" w:firstLine="1421"/>
        <w:spacing w:after="0" w:line="293" w:lineRule="auto"/>
        <w:tabs>
          <w:tab w:leader="none" w:pos="1930" w:val="left"/>
        </w:tabs>
        <w:numPr>
          <w:ilvl w:val="2"/>
          <w:numId w:val="71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“Bad Actor” Disqualification</w:t>
      </w:r>
      <w:r>
        <w:rPr>
          <w:rFonts w:ascii="Arial" w:cs="Arial" w:eastAsia="Arial" w:hAnsi="Arial"/>
          <w:sz w:val="16"/>
          <w:szCs w:val="16"/>
          <w:color w:val="auto"/>
        </w:rPr>
        <w:t>. The Company has exercised reasonable care to determine whether any Company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(as defined below) is subject to any of the “bad actor” disqualifications described in Rule 506(d)(1)(i) through (viii), as modified by Rules 506(d)</w:t>
      </w:r>
    </w:p>
    <w:p>
      <w:pPr>
        <w:ind w:left="10" w:right="120" w:hanging="10"/>
        <w:spacing w:after="0" w:line="252" w:lineRule="auto"/>
        <w:tabs>
          <w:tab w:leader="none" w:pos="264" w:val="left"/>
        </w:tabs>
        <w:numPr>
          <w:ilvl w:val="0"/>
          <w:numId w:val="715"/>
        </w:numPr>
        <w:rPr>
          <w:rFonts w:ascii="Arial" w:cs="Arial" w:eastAsia="Arial" w:hAnsi="Arial"/>
          <w:sz w:val="18"/>
          <w:szCs w:val="18"/>
          <w:color w:val="auto"/>
        </w:rPr>
      </w:pPr>
      <w:r>
        <w:rPr>
          <w:rFonts w:ascii="Arial" w:cs="Arial" w:eastAsia="Arial" w:hAnsi="Arial"/>
          <w:sz w:val="18"/>
          <w:szCs w:val="18"/>
          <w:color w:val="auto"/>
        </w:rPr>
        <w:t>and (d)(3), under the Act (“</w:t>
      </w:r>
      <w:r>
        <w:rPr>
          <w:rFonts w:ascii="Arial" w:cs="Arial" w:eastAsia="Arial" w:hAnsi="Arial"/>
          <w:sz w:val="18"/>
          <w:szCs w:val="18"/>
          <w:b w:val="1"/>
          <w:bCs w:val="1"/>
          <w:i w:val="1"/>
          <w:iCs w:val="1"/>
          <w:color w:val="auto"/>
        </w:rPr>
        <w:t>Disqualification Events</w:t>
      </w:r>
      <w:r>
        <w:rPr>
          <w:rFonts w:ascii="Arial" w:cs="Arial" w:eastAsia="Arial" w:hAnsi="Arial"/>
          <w:sz w:val="18"/>
          <w:szCs w:val="18"/>
          <w:color w:val="auto"/>
        </w:rPr>
        <w:t>”). To the Company’s knowledge, no Company Covered Person is subject to a Disqualification Event. The Company has complied, to the extent required, with any disclosure obligations under Rule 506(e) under the Act. For purposes of this Note, “</w:t>
      </w:r>
      <w:r>
        <w:rPr>
          <w:rFonts w:ascii="Arial" w:cs="Arial" w:eastAsia="Arial" w:hAnsi="Arial"/>
          <w:sz w:val="18"/>
          <w:szCs w:val="18"/>
          <w:b w:val="1"/>
          <w:bCs w:val="1"/>
          <w:i w:val="1"/>
          <w:iCs w:val="1"/>
          <w:color w:val="auto"/>
        </w:rPr>
        <w:t>Company Covered Persons</w:t>
      </w:r>
      <w:r>
        <w:rPr>
          <w:rFonts w:ascii="Arial" w:cs="Arial" w:eastAsia="Arial" w:hAnsi="Arial"/>
          <w:sz w:val="18"/>
          <w:szCs w:val="18"/>
          <w:color w:val="auto"/>
        </w:rPr>
        <w:t>” are those persons specified in Rule 506(d)(1) under the Act; provided, however, that Company Covered Persons do not include (a) any Holder, or (b) any person or entity that is deemed to be an affiliated issuer of the Company solely as a result of the relationship between the Company and any Holder.</w:t>
      </w:r>
    </w:p>
    <w:p>
      <w:pPr>
        <w:spacing w:after="0" w:line="189" w:lineRule="exact"/>
        <w:rPr>
          <w:rFonts w:ascii="Arial" w:cs="Arial" w:eastAsia="Arial" w:hAnsi="Arial"/>
          <w:sz w:val="18"/>
          <w:szCs w:val="18"/>
          <w:color w:val="auto"/>
        </w:rPr>
      </w:pPr>
    </w:p>
    <w:p>
      <w:pPr>
        <w:ind w:left="10" w:firstLine="1421"/>
        <w:spacing w:after="0" w:line="260" w:lineRule="auto"/>
        <w:tabs>
          <w:tab w:leader="none" w:pos="1980" w:val="left"/>
        </w:tabs>
        <w:numPr>
          <w:ilvl w:val="2"/>
          <w:numId w:val="715"/>
        </w:numPr>
        <w:rPr>
          <w:rFonts w:ascii="Arial" w:cs="Arial" w:eastAsia="Arial" w:hAnsi="Arial"/>
          <w:sz w:val="18"/>
          <w:szCs w:val="18"/>
          <w:b w:val="1"/>
          <w:bCs w:val="1"/>
          <w:color w:val="auto"/>
        </w:rPr>
      </w:pPr>
      <w:r>
        <w:rPr>
          <w:rFonts w:ascii="Arial" w:cs="Arial" w:eastAsia="Arial" w:hAnsi="Arial"/>
          <w:sz w:val="18"/>
          <w:szCs w:val="18"/>
          <w:b w:val="1"/>
          <w:bCs w:val="1"/>
          <w:color w:val="auto"/>
        </w:rPr>
        <w:t>Offering</w:t>
      </w:r>
      <w:r>
        <w:rPr>
          <w:rFonts w:ascii="Arial" w:cs="Arial" w:eastAsia="Arial" w:hAnsi="Arial"/>
          <w:sz w:val="18"/>
          <w:szCs w:val="18"/>
          <w:color w:val="auto"/>
        </w:rPr>
        <w:t>. Assuming the accuracy of the representations and warranties of the Holder contained in subsection (b)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sale of this Note and any Conversion Securities are and will be exempt from the registration and prospectus delivery requirements of the Act, and have been registered or qualified (or are exempt from registration and qualification) under the registration, permit or qualification requirements of all applicable state securities laws.</w:t>
      </w:r>
    </w:p>
    <w:p>
      <w:pPr>
        <w:spacing w:after="0" w:line="182" w:lineRule="exact"/>
        <w:rPr>
          <w:rFonts w:ascii="Arial" w:cs="Arial" w:eastAsia="Arial" w:hAnsi="Arial"/>
          <w:sz w:val="18"/>
          <w:szCs w:val="18"/>
          <w:b w:val="1"/>
          <w:bCs w:val="1"/>
          <w:color w:val="auto"/>
        </w:rPr>
      </w:pPr>
    </w:p>
    <w:p>
      <w:pPr>
        <w:ind w:left="10" w:right="320" w:firstLine="1421"/>
        <w:spacing w:after="0" w:line="281" w:lineRule="auto"/>
        <w:tabs>
          <w:tab w:leader="none" w:pos="1880" w:val="left"/>
        </w:tabs>
        <w:numPr>
          <w:ilvl w:val="2"/>
          <w:numId w:val="71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The Company shall use the proceeds of this Note solely for the operation of its business, and not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family or household purpose.</w:t>
      </w:r>
    </w:p>
    <w:p>
      <w:pPr>
        <w:spacing w:after="0" w:line="162" w:lineRule="exact"/>
        <w:rPr>
          <w:rFonts w:ascii="Arial" w:cs="Arial" w:eastAsia="Arial" w:hAnsi="Arial"/>
          <w:sz w:val="18"/>
          <w:szCs w:val="18"/>
          <w:b w:val="1"/>
          <w:bCs w:val="1"/>
          <w:color w:val="auto"/>
        </w:rPr>
      </w:pPr>
    </w:p>
    <w:p>
      <w:pPr>
        <w:ind w:left="1290" w:hanging="409"/>
        <w:spacing w:after="0"/>
        <w:tabs>
          <w:tab w:leader="none" w:pos="1290" w:val="left"/>
        </w:tabs>
        <w:numPr>
          <w:ilvl w:val="1"/>
          <w:numId w:val="715"/>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the Holder</w:t>
      </w:r>
      <w:r>
        <w:rPr>
          <w:rFonts w:ascii="Arial" w:cs="Arial" w:eastAsia="Arial" w:hAnsi="Arial"/>
          <w:sz w:val="16"/>
          <w:szCs w:val="16"/>
          <w:color w:val="auto"/>
        </w:rPr>
        <w:t>. The Holder hereby represents and warrants to the Company as of the date hereof as</w:t>
      </w:r>
    </w:p>
    <w:p>
      <w:pPr>
        <w:spacing w:after="0" w:line="50"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follows:</w:t>
      </w:r>
    </w:p>
    <w:p>
      <w:pPr>
        <w:spacing w:after="0" w:line="206" w:lineRule="exact"/>
        <w:rPr>
          <w:rFonts w:ascii="Arial" w:cs="Arial" w:eastAsia="Arial" w:hAnsi="Arial"/>
          <w:sz w:val="16"/>
          <w:szCs w:val="16"/>
          <w:b w:val="1"/>
          <w:bCs w:val="1"/>
          <w:color w:val="auto"/>
        </w:rPr>
      </w:pPr>
    </w:p>
    <w:p>
      <w:pPr>
        <w:ind w:left="10" w:right="200" w:firstLine="1421"/>
        <w:spacing w:after="0" w:line="260" w:lineRule="auto"/>
        <w:tabs>
          <w:tab w:leader="none" w:pos="1790" w:val="left"/>
        </w:tabs>
        <w:numPr>
          <w:ilvl w:val="2"/>
          <w:numId w:val="71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for Own Account</w:t>
      </w:r>
      <w:r>
        <w:rPr>
          <w:rFonts w:ascii="Arial" w:cs="Arial" w:eastAsia="Arial" w:hAnsi="Arial"/>
          <w:sz w:val="18"/>
          <w:szCs w:val="18"/>
          <w:color w:val="auto"/>
        </w:rPr>
        <w:t>. The Holder is acquiring this Note and the Conversion Securities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solely for the Holder’s own account and 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182" w:lineRule="exact"/>
        <w:rPr>
          <w:rFonts w:ascii="Arial" w:cs="Arial" w:eastAsia="Arial" w:hAnsi="Arial"/>
          <w:sz w:val="18"/>
          <w:szCs w:val="18"/>
          <w:b w:val="1"/>
          <w:bCs w:val="1"/>
          <w:color w:val="auto"/>
        </w:rPr>
      </w:pPr>
    </w:p>
    <w:p>
      <w:pPr>
        <w:ind w:left="10" w:right="100" w:firstLine="1421"/>
        <w:spacing w:after="0" w:line="294" w:lineRule="auto"/>
        <w:tabs>
          <w:tab w:leader="none" w:pos="1840" w:val="left"/>
        </w:tabs>
        <w:numPr>
          <w:ilvl w:val="2"/>
          <w:numId w:val="716"/>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and Sophistication</w:t>
      </w:r>
      <w:r>
        <w:rPr>
          <w:rFonts w:ascii="Arial" w:cs="Arial" w:eastAsia="Arial" w:hAnsi="Arial"/>
          <w:sz w:val="16"/>
          <w:szCs w:val="16"/>
          <w:color w:val="auto"/>
        </w:rPr>
        <w:t>. Without lessening or obviating the representations and warranties of the Company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subsection (a) above, the Holder hereby: (A) acknowledges that the Holder has received all the information the Holder has requested from the Company and the Holder considers necessary or appropriate for deciding whether to acquire the Securities, (B) represents that the Holder has had an opportunity to ask questions and receive answers from the Company regarding the terms and conditions of the offering of the Securities and to obtain any additional information necessary to verify the accuracy of the information given the Holder and (C) further represents that the Holder has such knowledge and experience in financial and business matters that the Holder is capable of evaluating the merits and risk of this investment.</w:t>
      </w:r>
    </w:p>
    <w:p>
      <w:pPr>
        <w:spacing w:after="0" w:line="158" w:lineRule="exact"/>
        <w:rPr>
          <w:rFonts w:ascii="Arial" w:cs="Arial" w:eastAsia="Arial" w:hAnsi="Arial"/>
          <w:sz w:val="16"/>
          <w:szCs w:val="16"/>
          <w:b w:val="1"/>
          <w:bCs w:val="1"/>
          <w:color w:val="auto"/>
        </w:rPr>
      </w:pPr>
    </w:p>
    <w:p>
      <w:pPr>
        <w:ind w:left="10" w:right="220" w:firstLine="1421"/>
        <w:spacing w:after="0" w:line="266" w:lineRule="auto"/>
        <w:tabs>
          <w:tab w:leader="none" w:pos="1890" w:val="left"/>
        </w:tabs>
        <w:numPr>
          <w:ilvl w:val="2"/>
          <w:numId w:val="716"/>
        </w:numPr>
        <w:rPr>
          <w:rFonts w:ascii="Arial" w:cs="Arial" w:eastAsia="Arial" w:hAnsi="Arial"/>
          <w:sz w:val="18"/>
          <w:szCs w:val="18"/>
          <w:b w:val="1"/>
          <w:bCs w:val="1"/>
          <w:color w:val="auto"/>
        </w:rPr>
      </w:pPr>
      <w:r>
        <w:rPr>
          <w:rFonts w:ascii="Arial" w:cs="Arial" w:eastAsia="Arial" w:hAnsi="Arial"/>
          <w:sz w:val="18"/>
          <w:szCs w:val="18"/>
          <w:b w:val="1"/>
          <w:bCs w:val="1"/>
          <w:color w:val="auto"/>
        </w:rPr>
        <w:t>Ability to Bear Economic Risk</w:t>
      </w:r>
      <w:r>
        <w:rPr>
          <w:rFonts w:ascii="Arial" w:cs="Arial" w:eastAsia="Arial" w:hAnsi="Arial"/>
          <w:sz w:val="18"/>
          <w:szCs w:val="18"/>
          <w:color w:val="auto"/>
        </w:rPr>
        <w:t>. The Holder acknowledges that investment in the Securities involves a high degree of risk,</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represents that the Holder is able, without materially impairing the Holder’s financial condition, to hold the Securities for an indefinite period of time and to suffer a complete loss of the Holder’s investment.</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0" w:right="459" w:bottom="1440" w:gutter="0" w:footer="0" w:header="0"/>
        </w:sectPr>
      </w:pPr>
    </w:p>
    <w:bookmarkStart w:id="685" w:name="page686"/>
    <w:bookmarkEnd w:id="685"/>
    <w:p>
      <w:pPr>
        <w:ind w:left="-20" w:right="420" w:firstLine="1421"/>
        <w:spacing w:after="0" w:line="281" w:lineRule="auto"/>
        <w:tabs>
          <w:tab w:leader="none" w:pos="1850" w:val="left"/>
        </w:tabs>
        <w:numPr>
          <w:ilvl w:val="0"/>
          <w:numId w:val="7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Limitations on Disposition</w:t>
      </w:r>
      <w:r>
        <w:rPr>
          <w:rFonts w:ascii="Arial" w:cs="Arial" w:eastAsia="Arial" w:hAnsi="Arial"/>
          <w:sz w:val="18"/>
          <w:szCs w:val="18"/>
          <w:color w:val="auto"/>
        </w:rPr>
        <w:t>. Without in any way limiting the representations set forth above, the Holder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agrees not to make any disposition of all or any portion of the Securities unless and until:</w:t>
      </w:r>
    </w:p>
    <w:p>
      <w:pPr>
        <w:spacing w:after="0" w:line="166" w:lineRule="exact"/>
        <w:rPr>
          <w:rFonts w:ascii="Arial" w:cs="Arial" w:eastAsia="Arial" w:hAnsi="Arial"/>
          <w:sz w:val="18"/>
          <w:szCs w:val="18"/>
          <w:b w:val="1"/>
          <w:bCs w:val="1"/>
          <w:color w:val="auto"/>
        </w:rPr>
      </w:pPr>
    </w:p>
    <w:p>
      <w:pPr>
        <w:ind w:left="-20" w:right="140" w:firstLine="1862"/>
        <w:spacing w:after="0" w:line="277" w:lineRule="auto"/>
        <w:tabs>
          <w:tab w:leader="none" w:pos="2237" w:val="left"/>
        </w:tabs>
        <w:numPr>
          <w:ilvl w:val="1"/>
          <w:numId w:val="717"/>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Act covering such proposed disposition and such disposition is made in accordance with such registration statement; or</w:t>
      </w:r>
    </w:p>
    <w:p>
      <w:pPr>
        <w:spacing w:after="0" w:line="169" w:lineRule="exact"/>
        <w:rPr>
          <w:rFonts w:ascii="Arial" w:cs="Arial" w:eastAsia="Arial" w:hAnsi="Arial"/>
          <w:sz w:val="18"/>
          <w:szCs w:val="18"/>
          <w:b w:val="1"/>
          <w:bCs w:val="1"/>
          <w:color w:val="auto"/>
        </w:rPr>
      </w:pPr>
    </w:p>
    <w:p>
      <w:pPr>
        <w:ind w:left="-20" w:right="160" w:firstLine="1862"/>
        <w:spacing w:after="0" w:line="256" w:lineRule="auto"/>
        <w:tabs>
          <w:tab w:leader="none" w:pos="2237" w:val="left"/>
        </w:tabs>
        <w:numPr>
          <w:ilvl w:val="1"/>
          <w:numId w:val="717"/>
        </w:numPr>
        <w:rPr>
          <w:rFonts w:ascii="Arial" w:cs="Arial" w:eastAsia="Arial" w:hAnsi="Arial"/>
          <w:sz w:val="18"/>
          <w:szCs w:val="18"/>
          <w:b w:val="1"/>
          <w:bCs w:val="1"/>
          <w:color w:val="auto"/>
        </w:rPr>
      </w:pPr>
      <w:r>
        <w:rPr>
          <w:rFonts w:ascii="Arial" w:cs="Arial" w:eastAsia="Arial" w:hAnsi="Arial"/>
          <w:sz w:val="18"/>
          <w:szCs w:val="18"/>
          <w:color w:val="auto"/>
        </w:rPr>
        <w:t>The Holder shall have notified the Company of the proposed disposition and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under the Act or any applicable state securities laws, provided that no such opinion shall be required for dispositions in compliance with Rule 144 under the Act, except in unusual circumstances.</w:t>
      </w:r>
    </w:p>
    <w:p>
      <w:pPr>
        <w:spacing w:after="0" w:line="191" w:lineRule="exact"/>
        <w:rPr>
          <w:rFonts w:ascii="Arial" w:cs="Arial" w:eastAsia="Arial" w:hAnsi="Arial"/>
          <w:sz w:val="18"/>
          <w:szCs w:val="18"/>
          <w:b w:val="1"/>
          <w:bCs w:val="1"/>
          <w:color w:val="auto"/>
        </w:rPr>
      </w:pPr>
    </w:p>
    <w:p>
      <w:pPr>
        <w:ind w:left="-20" w:right="120" w:firstLine="1862"/>
        <w:spacing w:after="0" w:line="301" w:lineRule="auto"/>
        <w:tabs>
          <w:tab w:leader="none" w:pos="2241" w:val="left"/>
        </w:tabs>
        <w:numPr>
          <w:ilvl w:val="1"/>
          <w:numId w:val="717"/>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paragraphs (1) and (2) above, no such registration statement or opinion of counsel shall be necessary for a transfer by the Holder to a partner (or retired partner) or member (or retired member) of the Holder in accordance with partnership or limited liability company interests, or transfers by gift, will or intestate succession to any spouse or lineal descendants or ancestors, if all transferees agree in writing to be subject to the terms hereof to the same extent as if they were the Holders hereunder.</w:t>
      </w:r>
    </w:p>
    <w:p>
      <w:pPr>
        <w:spacing w:after="0" w:line="152" w:lineRule="exact"/>
        <w:rPr>
          <w:rFonts w:ascii="Arial" w:cs="Arial" w:eastAsia="Arial" w:hAnsi="Arial"/>
          <w:sz w:val="16"/>
          <w:szCs w:val="16"/>
          <w:b w:val="1"/>
          <w:bCs w:val="1"/>
          <w:color w:val="auto"/>
        </w:rPr>
      </w:pPr>
    </w:p>
    <w:p>
      <w:pPr>
        <w:ind w:left="1800" w:hanging="399"/>
        <w:spacing w:after="0"/>
        <w:tabs>
          <w:tab w:leader="none" w:pos="1800" w:val="left"/>
        </w:tabs>
        <w:numPr>
          <w:ilvl w:val="0"/>
          <w:numId w:val="717"/>
        </w:numPr>
        <w:rPr>
          <w:rFonts w:ascii="Arial" w:cs="Arial" w:eastAsia="Arial" w:hAnsi="Arial"/>
          <w:sz w:val="17"/>
          <w:szCs w:val="17"/>
          <w:b w:val="1"/>
          <w:bCs w:val="1"/>
          <w:color w:val="auto"/>
        </w:rPr>
      </w:pPr>
      <w:r>
        <w:rPr>
          <w:rFonts w:ascii="Arial" w:cs="Arial" w:eastAsia="Arial" w:hAnsi="Arial"/>
          <w:sz w:val="17"/>
          <w:szCs w:val="17"/>
          <w:b w:val="1"/>
          <w:bCs w:val="1"/>
          <w:color w:val="auto"/>
        </w:rPr>
        <w:t>Accredited Investor Status</w:t>
      </w:r>
      <w:r>
        <w:rPr>
          <w:rFonts w:ascii="Arial" w:cs="Arial" w:eastAsia="Arial" w:hAnsi="Arial"/>
          <w:sz w:val="17"/>
          <w:szCs w:val="17"/>
          <w:color w:val="auto"/>
        </w:rPr>
        <w:t>. The Holder is an “accredited investor” as such term is defined in Rule 501 under the Act.</w:t>
      </w:r>
    </w:p>
    <w:p>
      <w:pPr>
        <w:spacing w:after="0" w:line="236" w:lineRule="exact"/>
        <w:rPr>
          <w:rFonts w:ascii="Arial" w:cs="Arial" w:eastAsia="Arial" w:hAnsi="Arial"/>
          <w:sz w:val="17"/>
          <w:szCs w:val="17"/>
          <w:b w:val="1"/>
          <w:bCs w:val="1"/>
          <w:color w:val="auto"/>
        </w:rPr>
      </w:pPr>
    </w:p>
    <w:p>
      <w:pPr>
        <w:ind w:left="-20" w:right="160" w:firstLine="1421"/>
        <w:spacing w:after="0" w:line="297" w:lineRule="auto"/>
        <w:tabs>
          <w:tab w:leader="none" w:pos="1850" w:val="left"/>
        </w:tabs>
        <w:numPr>
          <w:ilvl w:val="0"/>
          <w:numId w:val="717"/>
        </w:numPr>
        <w:rPr>
          <w:rFonts w:ascii="Arial" w:cs="Arial" w:eastAsia="Arial" w:hAnsi="Arial"/>
          <w:sz w:val="16"/>
          <w:szCs w:val="16"/>
          <w:b w:val="1"/>
          <w:bCs w:val="1"/>
          <w:color w:val="auto"/>
        </w:rPr>
      </w:pPr>
      <w:r>
        <w:rPr>
          <w:rFonts w:ascii="Arial" w:cs="Arial" w:eastAsia="Arial" w:hAnsi="Arial"/>
          <w:sz w:val="16"/>
          <w:szCs w:val="16"/>
          <w:b w:val="1"/>
          <w:bCs w:val="1"/>
          <w:color w:val="auto"/>
        </w:rPr>
        <w:t>No “Bad Actor” Disqualification</w:t>
      </w:r>
      <w:r>
        <w:rPr>
          <w:rFonts w:ascii="Arial" w:cs="Arial" w:eastAsia="Arial" w:hAnsi="Arial"/>
          <w:sz w:val="16"/>
          <w:szCs w:val="16"/>
          <w:color w:val="auto"/>
        </w:rPr>
        <w:t>. The Holder represents and warrants that neither (A) the Holder nor (B) any entity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the Holder or is under the control of, or under common control with, the Holder, is subject to any Disqualification Event, except for Disqualification Events covered by Rule 506(d)(2)(ii) or (iii) or (d)(3) under the Act and disclosed in writing in reasonable detail to the Company. The Holder represents that the Holder has exercised reasonable care to determine the accuracy of the representation made by the Holder in this paragraph, and agrees to notify the Company if the Holder becomes aware of any fact that makes the representation given by the Holder hereunder inaccurate.</w:t>
      </w:r>
    </w:p>
    <w:p>
      <w:pPr>
        <w:spacing w:after="0" w:line="156" w:lineRule="exact"/>
        <w:rPr>
          <w:rFonts w:ascii="Arial" w:cs="Arial" w:eastAsia="Arial" w:hAnsi="Arial"/>
          <w:sz w:val="16"/>
          <w:szCs w:val="16"/>
          <w:b w:val="1"/>
          <w:bCs w:val="1"/>
          <w:color w:val="auto"/>
        </w:rPr>
      </w:pPr>
    </w:p>
    <w:p>
      <w:pPr>
        <w:ind w:left="-20" w:firstLine="1421"/>
        <w:spacing w:after="0" w:line="272" w:lineRule="auto"/>
        <w:tabs>
          <w:tab w:leader="none" w:pos="1900" w:val="left"/>
        </w:tabs>
        <w:numPr>
          <w:ilvl w:val="0"/>
          <w:numId w:val="717"/>
        </w:numPr>
        <w:rPr>
          <w:rFonts w:ascii="Arial" w:cs="Arial" w:eastAsia="Arial" w:hAnsi="Arial"/>
          <w:sz w:val="17"/>
          <w:szCs w:val="17"/>
          <w:b w:val="1"/>
          <w:bCs w:val="1"/>
          <w:color w:val="auto"/>
        </w:rPr>
      </w:pPr>
      <w:r>
        <w:rPr>
          <w:rFonts w:ascii="Arial" w:cs="Arial" w:eastAsia="Arial" w:hAnsi="Arial"/>
          <w:sz w:val="17"/>
          <w:szCs w:val="17"/>
          <w:b w:val="1"/>
          <w:bCs w:val="1"/>
          <w:color w:val="auto"/>
        </w:rPr>
        <w:t>Foreign Investors</w:t>
      </w:r>
      <w:r>
        <w:rPr>
          <w:rFonts w:ascii="Arial" w:cs="Arial" w:eastAsia="Arial" w:hAnsi="Arial"/>
          <w:sz w:val="17"/>
          <w:szCs w:val="17"/>
          <w:color w:val="auto"/>
        </w:rPr>
        <w:t>. If the Holder is not a United States person (as defined by Section 7701(a)(30) of the Internal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the Holder hereby represents that he, she or it has satisfied itself as to the full observance of the laws of the Holder’s jurisdiction in connection with any invitation to subscribe for the Securities or any use of this Note, including (A) the legal requirements within the Holder’s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redemption, sale, or transfer of the Securities. The Holder’s subscription, payment for and continued beneficial ownership of the Securities will not violate any applicable securities or other laws of the Holder’s jurisdiction.</w:t>
      </w:r>
    </w:p>
    <w:p>
      <w:pPr>
        <w:spacing w:after="0" w:line="175" w:lineRule="exact"/>
        <w:rPr>
          <w:rFonts w:ascii="Arial" w:cs="Arial" w:eastAsia="Arial" w:hAnsi="Arial"/>
          <w:sz w:val="17"/>
          <w:szCs w:val="17"/>
          <w:b w:val="1"/>
          <w:bCs w:val="1"/>
          <w:color w:val="auto"/>
        </w:rPr>
      </w:pPr>
    </w:p>
    <w:p>
      <w:pPr>
        <w:ind w:left="-20" w:right="20" w:firstLine="1421"/>
        <w:spacing w:after="0" w:line="260" w:lineRule="auto"/>
        <w:tabs>
          <w:tab w:leader="none" w:pos="1950" w:val="left"/>
        </w:tabs>
        <w:numPr>
          <w:ilvl w:val="0"/>
          <w:numId w:val="717"/>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r>
        <w:rPr>
          <w:rFonts w:ascii="Arial" w:cs="Arial" w:eastAsia="Arial" w:hAnsi="Arial"/>
          <w:sz w:val="18"/>
          <w:szCs w:val="18"/>
          <w:color w:val="auto"/>
        </w:rPr>
        <w:t>. With respect to any forecasts, projections of results and other forward-looking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information provided to the Holder, the Holder acknowledges that the Company represents to the Holder that such statements were prepared based upon assumptions deemed reasonable by the Company at the time of preparation. There is no assurance that such statements will prove accurate, and the Company has no obligation to update such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71" w:right="459" w:bottom="1440" w:gutter="0" w:footer="0" w:header="0"/>
        </w:sectPr>
      </w:pPr>
    </w:p>
    <w:bookmarkStart w:id="686" w:name="page687"/>
    <w:bookmarkEnd w:id="686"/>
    <w:p>
      <w:pPr>
        <w:ind w:left="860" w:hanging="438"/>
        <w:spacing w:after="0"/>
        <w:tabs>
          <w:tab w:leader="none" w:pos="860" w:val="left"/>
        </w:tabs>
        <w:numPr>
          <w:ilvl w:val="0"/>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right="20" w:firstLine="871"/>
        <w:spacing w:after="0" w:line="259" w:lineRule="auto"/>
        <w:tabs>
          <w:tab w:leader="none" w:pos="1270" w:val="left"/>
        </w:tabs>
        <w:numPr>
          <w:ilvl w:val="1"/>
          <w:numId w:val="718"/>
        </w:numPr>
        <w:rPr>
          <w:rFonts w:ascii="Arial" w:cs="Arial" w:eastAsia="Arial" w:hAnsi="Arial"/>
          <w:sz w:val="18"/>
          <w:szCs w:val="18"/>
          <w:b w:val="1"/>
          <w:bCs w:val="1"/>
          <w:color w:val="auto"/>
        </w:rPr>
      </w:pPr>
      <w:r>
        <w:rPr>
          <w:rFonts w:ascii="Arial" w:cs="Arial" w:eastAsia="Arial" w:hAnsi="Arial"/>
          <w:sz w:val="18"/>
          <w:szCs w:val="18"/>
          <w:color w:val="auto"/>
        </w:rPr>
        <w:t>If there shall be any Event of Default (as defined below) hereunder, at the option and upon the declaration of the Requisite Holders and upon written notice to the Company (which election and notice shall not be required in the case of an Event of Default under subsection (ii) or (iii) below), this Note shall accelerate and all principal and unpaid accrued interest shall become due and payable. The occurrence of any one or more of the following shall constitute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185" w:lineRule="exact"/>
        <w:rPr>
          <w:rFonts w:ascii="Arial" w:cs="Arial" w:eastAsia="Arial" w:hAnsi="Arial"/>
          <w:sz w:val="18"/>
          <w:szCs w:val="18"/>
          <w:b w:val="1"/>
          <w:bCs w:val="1"/>
          <w:color w:val="auto"/>
        </w:rPr>
      </w:pPr>
    </w:p>
    <w:p>
      <w:pPr>
        <w:ind w:right="580" w:firstLine="1421"/>
        <w:spacing w:after="0" w:line="307" w:lineRule="auto"/>
        <w:tabs>
          <w:tab w:leader="none" w:pos="1777" w:val="left"/>
        </w:tabs>
        <w:numPr>
          <w:ilvl w:val="2"/>
          <w:numId w:val="718"/>
        </w:numPr>
        <w:rPr>
          <w:rFonts w:ascii="Arial" w:cs="Arial" w:eastAsia="Arial" w:hAnsi="Arial"/>
          <w:sz w:val="17"/>
          <w:szCs w:val="17"/>
          <w:b w:val="1"/>
          <w:bCs w:val="1"/>
          <w:color w:val="auto"/>
        </w:rPr>
      </w:pPr>
      <w:r>
        <w:rPr>
          <w:rFonts w:ascii="Arial" w:cs="Arial" w:eastAsia="Arial" w:hAnsi="Arial"/>
          <w:sz w:val="17"/>
          <w:szCs w:val="17"/>
          <w:color w:val="auto"/>
        </w:rPr>
        <w:t>The Company fails to pay timely any of the principal amount due under this Note on the date the same becomes due and payable or any unpaid accrued interest or other amounts due under this Note on the date the same becomes due and payable;</w:t>
      </w:r>
    </w:p>
    <w:p>
      <w:pPr>
        <w:spacing w:after="0" w:line="147" w:lineRule="exact"/>
        <w:rPr>
          <w:rFonts w:ascii="Arial" w:cs="Arial" w:eastAsia="Arial" w:hAnsi="Arial"/>
          <w:sz w:val="17"/>
          <w:szCs w:val="17"/>
          <w:b w:val="1"/>
          <w:bCs w:val="1"/>
          <w:color w:val="auto"/>
        </w:rPr>
      </w:pPr>
    </w:p>
    <w:p>
      <w:pPr>
        <w:ind w:right="60" w:firstLine="1421"/>
        <w:spacing w:after="0" w:line="263" w:lineRule="auto"/>
        <w:tabs>
          <w:tab w:leader="none" w:pos="1827" w:val="left"/>
        </w:tabs>
        <w:numPr>
          <w:ilvl w:val="2"/>
          <w:numId w:val="718"/>
        </w:numPr>
        <w:rPr>
          <w:rFonts w:ascii="Arial" w:cs="Arial" w:eastAsia="Arial" w:hAnsi="Arial"/>
          <w:sz w:val="18"/>
          <w:szCs w:val="18"/>
          <w:b w:val="1"/>
          <w:bCs w:val="1"/>
          <w:color w:val="auto"/>
        </w:rPr>
      </w:pPr>
      <w:r>
        <w:rPr>
          <w:rFonts w:ascii="Arial" w:cs="Arial" w:eastAsia="Arial" w:hAnsi="Arial"/>
          <w:sz w:val="18"/>
          <w:szCs w:val="18"/>
          <w:color w:val="auto"/>
        </w:rPr>
        <w:t>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82" w:lineRule="exact"/>
        <w:rPr>
          <w:rFonts w:ascii="Arial" w:cs="Arial" w:eastAsia="Arial" w:hAnsi="Arial"/>
          <w:sz w:val="18"/>
          <w:szCs w:val="18"/>
          <w:b w:val="1"/>
          <w:bCs w:val="1"/>
          <w:color w:val="auto"/>
        </w:rPr>
      </w:pPr>
    </w:p>
    <w:p>
      <w:pPr>
        <w:ind w:right="20" w:firstLine="1421"/>
        <w:spacing w:after="0" w:line="263" w:lineRule="auto"/>
        <w:tabs>
          <w:tab w:leader="none" w:pos="1870" w:val="left"/>
        </w:tabs>
        <w:numPr>
          <w:ilvl w:val="2"/>
          <w:numId w:val="718"/>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the Company (unless such petition is dismissed or discharged within 60 days under any bankruptcy statute now or hereafter in effect, or a custodian, receiver, trustee, assignee for the benefit of creditors (or other similar official) is appointed to take possession, custody or control of any property of the Company).</w:t>
      </w:r>
    </w:p>
    <w:p>
      <w:pPr>
        <w:spacing w:after="0" w:line="182" w:lineRule="exact"/>
        <w:rPr>
          <w:rFonts w:ascii="Arial" w:cs="Arial" w:eastAsia="Arial" w:hAnsi="Arial"/>
          <w:sz w:val="18"/>
          <w:szCs w:val="18"/>
          <w:b w:val="1"/>
          <w:bCs w:val="1"/>
          <w:color w:val="auto"/>
        </w:rPr>
      </w:pPr>
    </w:p>
    <w:p>
      <w:pPr>
        <w:ind w:right="240" w:firstLine="871"/>
        <w:spacing w:after="0" w:line="277" w:lineRule="auto"/>
        <w:tabs>
          <w:tab w:leader="none" w:pos="1280" w:val="left"/>
        </w:tabs>
        <w:numPr>
          <w:ilvl w:val="1"/>
          <w:numId w:val="718"/>
        </w:numPr>
        <w:rPr>
          <w:rFonts w:ascii="Arial" w:cs="Arial" w:eastAsia="Arial" w:hAnsi="Arial"/>
          <w:sz w:val="18"/>
          <w:szCs w:val="18"/>
          <w:b w:val="1"/>
          <w:bCs w:val="1"/>
          <w:color w:val="auto"/>
        </w:rPr>
      </w:pPr>
      <w:r>
        <w:rPr>
          <w:rFonts w:ascii="Arial" w:cs="Arial" w:eastAsia="Arial" w:hAnsi="Arial"/>
          <w:sz w:val="18"/>
          <w:szCs w:val="18"/>
          <w:color w:val="auto"/>
        </w:rPr>
        <w:t>In the event of any Event of Default hereunder, the Company shall pay all reasonable attorneys’ fees and court costs incurred by the Holder in enforcing and collecting this Note.</w:t>
      </w:r>
    </w:p>
    <w:p>
      <w:pPr>
        <w:spacing w:after="0" w:line="314" w:lineRule="exact"/>
        <w:rPr>
          <w:rFonts w:ascii="Arial" w:cs="Arial" w:eastAsia="Arial" w:hAnsi="Arial"/>
          <w:sz w:val="18"/>
          <w:szCs w:val="18"/>
          <w:b w:val="1"/>
          <w:bCs w:val="1"/>
          <w:color w:val="auto"/>
        </w:rPr>
      </w:pPr>
    </w:p>
    <w:p>
      <w:pPr>
        <w:ind w:left="860" w:hanging="438"/>
        <w:spacing w:after="0"/>
        <w:tabs>
          <w:tab w:leader="none" w:pos="860" w:val="left"/>
        </w:tabs>
        <w:numPr>
          <w:ilvl w:val="0"/>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260" w:hanging="389"/>
        <w:spacing w:after="0"/>
        <w:tabs>
          <w:tab w:leader="none" w:pos="1260" w:val="left"/>
        </w:tabs>
        <w:numPr>
          <w:ilvl w:val="1"/>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Company hereby waives demand, notice, presentment, protest and notice of dishonor.</w:t>
      </w:r>
    </w:p>
    <w:p>
      <w:pPr>
        <w:spacing w:after="0" w:line="224" w:lineRule="exact"/>
        <w:rPr>
          <w:rFonts w:ascii="Arial" w:cs="Arial" w:eastAsia="Arial" w:hAnsi="Arial"/>
          <w:sz w:val="18"/>
          <w:szCs w:val="18"/>
          <w:b w:val="1"/>
          <w:bCs w:val="1"/>
          <w:color w:val="auto"/>
        </w:rPr>
      </w:pPr>
    </w:p>
    <w:p>
      <w:pPr>
        <w:jc w:val="both"/>
        <w:ind w:right="220" w:firstLine="871"/>
        <w:spacing w:after="0" w:line="314" w:lineRule="auto"/>
        <w:tabs>
          <w:tab w:leader="none" w:pos="1280" w:val="left"/>
        </w:tabs>
        <w:numPr>
          <w:ilvl w:val="1"/>
          <w:numId w:val="718"/>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r>
        <w:rPr>
          <w:rFonts w:ascii="Arial" w:cs="Arial" w:eastAsia="Arial" w:hAnsi="Arial"/>
          <w:sz w:val="16"/>
          <w:szCs w:val="16"/>
          <w:color w:val="auto"/>
        </w:rPr>
        <w:t>. The Holder agrees and covenants that at any time and from time to time the Holder will promptly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the Company such further instruments and documents and take such further action as the Company may reasonably require in order to carry out the full intent and purpose of this Note and to comply with state or federal securities laws or other regulatory approvals.</w:t>
      </w:r>
    </w:p>
    <w:p>
      <w:pPr>
        <w:spacing w:after="0" w:line="141" w:lineRule="exact"/>
        <w:rPr>
          <w:rFonts w:ascii="Arial" w:cs="Arial" w:eastAsia="Arial" w:hAnsi="Arial"/>
          <w:sz w:val="16"/>
          <w:szCs w:val="16"/>
          <w:b w:val="1"/>
          <w:bCs w:val="1"/>
          <w:color w:val="auto"/>
        </w:rPr>
      </w:pPr>
    </w:p>
    <w:p>
      <w:pPr>
        <w:ind w:firstLine="871"/>
        <w:spacing w:after="0" w:line="258" w:lineRule="auto"/>
        <w:tabs>
          <w:tab w:leader="none" w:pos="1260" w:val="left"/>
        </w:tabs>
        <w:numPr>
          <w:ilvl w:val="1"/>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of Notes</w:t>
      </w:r>
      <w:r>
        <w:rPr>
          <w:rFonts w:ascii="Arial" w:cs="Arial" w:eastAsia="Arial" w:hAnsi="Arial"/>
          <w:sz w:val="18"/>
          <w:szCs w:val="18"/>
          <w:color w:val="auto"/>
        </w:rPr>
        <w:t>. This Note may be transferred only upon its surrender to the Company for registration of transfer,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w:t>
      </w:r>
    </w:p>
    <w:p>
      <w:pPr>
        <w:spacing w:after="0" w:line="182" w:lineRule="exact"/>
        <w:rPr>
          <w:rFonts w:ascii="Arial" w:cs="Arial" w:eastAsia="Arial" w:hAnsi="Arial"/>
          <w:sz w:val="18"/>
          <w:szCs w:val="18"/>
          <w:b w:val="1"/>
          <w:bCs w:val="1"/>
          <w:color w:val="auto"/>
        </w:rPr>
      </w:pPr>
    </w:p>
    <w:p>
      <w:pPr>
        <w:ind w:right="40" w:firstLine="871"/>
        <w:spacing w:after="0" w:line="297" w:lineRule="auto"/>
        <w:tabs>
          <w:tab w:leader="none" w:pos="1280" w:val="left"/>
        </w:tabs>
        <w:numPr>
          <w:ilvl w:val="1"/>
          <w:numId w:val="718"/>
        </w:numPr>
        <w:rPr>
          <w:rFonts w:ascii="Arial" w:cs="Arial" w:eastAsia="Arial" w:hAnsi="Arial"/>
          <w:sz w:val="16"/>
          <w:szCs w:val="16"/>
          <w:b w:val="1"/>
          <w:bCs w:val="1"/>
          <w:color w:val="auto"/>
        </w:rPr>
      </w:pPr>
      <w:r>
        <w:rPr>
          <w:rFonts w:ascii="Arial" w:cs="Arial" w:eastAsia="Arial" w:hAnsi="Arial"/>
          <w:sz w:val="16"/>
          <w:szCs w:val="16"/>
          <w:b w:val="1"/>
          <w:bCs w:val="1"/>
          <w:color w:val="auto"/>
        </w:rPr>
        <w:t>Market Standoff</w:t>
      </w:r>
      <w:r>
        <w:rPr>
          <w:rFonts w:ascii="Arial" w:cs="Arial" w:eastAsia="Arial" w:hAnsi="Arial"/>
          <w:sz w:val="16"/>
          <w:szCs w:val="16"/>
          <w:color w:val="auto"/>
        </w:rPr>
        <w:t>. The Holder hereby agrees that the Holder shall not sell, dispose of, transfer, make any short sale of, grant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purchase of, or enter into any hedging or similar transaction with the same economic effect as a sale of, any shares of Common Stock (or other securities) of the Company held by the Holder (other than those included in the registration) during the 180-day period following the effective date of the initial public offering of the Company (or such longer period, not to exceed 34 days after the expiration of the 180-day period, as the underwriters or the Company shall request in order to facilitate compliance with FINRA Rule 2241 or NYSE Member Rule 472 or any successor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1" w:right="439" w:bottom="1440" w:gutter="0" w:footer="0" w:header="0"/>
        </w:sectPr>
      </w:pPr>
    </w:p>
    <w:bookmarkStart w:id="687" w:name="page688"/>
    <w:bookmarkEnd w:id="68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rule or regulation). The Holder agrees to execute and deliver such other agreements as may be reasonably requested by the Company or the managing underwriters that are consistent with the foregoing or that are necessary to give further effect thereto. In addition, if requested by the Company or the representative of the underwriters of the Company’s Common Stock (or other securities of the Company), the Holder shall provide, within 10 days of such request, such information as may be required by the Company or such representative in connection with the completion of any public offering of the Company’s securities pursuant to a registration statement filed under the Act. The obligations described in this paragraph shall not apply to a registration relating solely to employee benefit plans on Form S-1 or Form S-8 or similar forms that may be promulgated in the future, or a registration relating solely to a transaction on Form S-4 or similar forms that may be promulgated in the future. In order to enforce the foregoing covenant, the Company may impose stop-transfer instructions with respect to such Common Stock (or other securities of the Company) until the end of such period. The Holder agrees that any transferee of any of the Securities (or other securities of the Company) held by the Holder shall be bound by this paragraph. The underwriters of the Company’s stock are intended third-party beneficiaries of this paragraph and shall have the right, power and authority to enforce the provisions hereof as though they were a party hereto.</w:t>
      </w:r>
    </w:p>
    <w:p>
      <w:pPr>
        <w:spacing w:after="0" w:line="176" w:lineRule="exact"/>
        <w:rPr>
          <w:sz w:val="20"/>
          <w:szCs w:val="20"/>
          <w:color w:val="auto"/>
        </w:rPr>
      </w:pPr>
    </w:p>
    <w:p>
      <w:pPr>
        <w:ind w:right="220" w:firstLine="871"/>
        <w:spacing w:after="0" w:line="258" w:lineRule="auto"/>
        <w:tabs>
          <w:tab w:leader="none" w:pos="1260" w:val="left"/>
        </w:tabs>
        <w:numPr>
          <w:ilvl w:val="0"/>
          <w:numId w:val="7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Any term of this Note may be amended or waived with the written consent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Requisite Holders. Upon the effectuation of such waiver or amendment with the consent of the Requisite Holders in conformance with this paragraph, such amendment or waiver shall be effective as to, and binding against the holders of, all of the Notes and the Company shall promptly give written notice thereof to the Holder if the Holder has not previously consented to such amendment or waiver in writing, provided that the failure to give such notice shall not affect the validity of such amendment or waiver.</w:t>
      </w:r>
    </w:p>
    <w:p>
      <w:pPr>
        <w:spacing w:after="0" w:line="182" w:lineRule="exact"/>
        <w:rPr>
          <w:rFonts w:ascii="Arial" w:cs="Arial" w:eastAsia="Arial" w:hAnsi="Arial"/>
          <w:sz w:val="18"/>
          <w:szCs w:val="18"/>
          <w:b w:val="1"/>
          <w:bCs w:val="1"/>
          <w:color w:val="auto"/>
        </w:rPr>
      </w:pPr>
    </w:p>
    <w:p>
      <w:pPr>
        <w:ind w:right="420" w:firstLine="871"/>
        <w:spacing w:after="0" w:line="347" w:lineRule="auto"/>
        <w:tabs>
          <w:tab w:leader="none" w:pos="1240" w:val="left"/>
        </w:tabs>
        <w:numPr>
          <w:ilvl w:val="0"/>
          <w:numId w:val="719"/>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Note shall be governed by and construed under the laws of the State of Delaware, as applied to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among Delaware residents, made and to be performed entirely within the State of Delaware, without giving effect to conflicts of laws principles.</w:t>
      </w:r>
    </w:p>
    <w:p>
      <w:pPr>
        <w:spacing w:after="0" w:line="115" w:lineRule="exact"/>
        <w:rPr>
          <w:rFonts w:ascii="Arial" w:cs="Arial" w:eastAsia="Arial" w:hAnsi="Arial"/>
          <w:sz w:val="16"/>
          <w:szCs w:val="16"/>
          <w:b w:val="1"/>
          <w:bCs w:val="1"/>
          <w:color w:val="auto"/>
        </w:rPr>
      </w:pPr>
    </w:p>
    <w:p>
      <w:pPr>
        <w:ind w:right="80" w:firstLine="871"/>
        <w:spacing w:after="0" w:line="266" w:lineRule="auto"/>
        <w:tabs>
          <w:tab w:leader="none" w:pos="1270" w:val="left"/>
        </w:tabs>
        <w:numPr>
          <w:ilvl w:val="0"/>
          <w:numId w:val="719"/>
        </w:numPr>
        <w:rPr>
          <w:rFonts w:ascii="Arial" w:cs="Arial" w:eastAsia="Arial" w:hAnsi="Arial"/>
          <w:sz w:val="18"/>
          <w:szCs w:val="18"/>
          <w:b w:val="1"/>
          <w:bCs w:val="1"/>
          <w:color w:val="auto"/>
        </w:rPr>
      </w:pPr>
      <w:r>
        <w:rPr>
          <w:rFonts w:ascii="Arial" w:cs="Arial" w:eastAsia="Arial" w:hAnsi="Arial"/>
          <w:sz w:val="18"/>
          <w:szCs w:val="18"/>
          <w:b w:val="1"/>
          <w:bCs w:val="1"/>
          <w:color w:val="auto"/>
        </w:rPr>
        <w:t>Binding Agreement</w:t>
      </w:r>
      <w:r>
        <w:rPr>
          <w:rFonts w:ascii="Arial" w:cs="Arial" w:eastAsia="Arial" w:hAnsi="Arial"/>
          <w:sz w:val="18"/>
          <w:szCs w:val="18"/>
          <w:color w:val="auto"/>
        </w:rPr>
        <w:t>. The terms and conditions of this Note shall inure to the benefit of and be binding upon the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 of the parties. Nothing in this Note, expressed or implied, is intended to confer upon any third party any rights, remedies, obligations, or liabilities under or by reason of this Note, except as expressly provided in this Note.</w:t>
      </w:r>
    </w:p>
    <w:p>
      <w:pPr>
        <w:spacing w:after="0" w:line="175" w:lineRule="exact"/>
        <w:rPr>
          <w:rFonts w:ascii="Arial" w:cs="Arial" w:eastAsia="Arial" w:hAnsi="Arial"/>
          <w:sz w:val="18"/>
          <w:szCs w:val="18"/>
          <w:b w:val="1"/>
          <w:bCs w:val="1"/>
          <w:color w:val="auto"/>
        </w:rPr>
      </w:pPr>
    </w:p>
    <w:p>
      <w:pPr>
        <w:ind w:right="240" w:firstLine="871"/>
        <w:spacing w:after="0" w:line="303" w:lineRule="auto"/>
        <w:tabs>
          <w:tab w:leader="none" w:pos="1280" w:val="left"/>
        </w:tabs>
        <w:numPr>
          <w:ilvl w:val="0"/>
          <w:numId w:val="719"/>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Note may be executed in two or more counterparts, each of which shall be deemed an original, but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0" w:lineRule="exact"/>
        <w:rPr>
          <w:rFonts w:ascii="Arial" w:cs="Arial" w:eastAsia="Arial" w:hAnsi="Arial"/>
          <w:sz w:val="16"/>
          <w:szCs w:val="16"/>
          <w:b w:val="1"/>
          <w:bCs w:val="1"/>
          <w:color w:val="auto"/>
        </w:rPr>
      </w:pPr>
    </w:p>
    <w:p>
      <w:pPr>
        <w:ind w:right="80" w:firstLine="871"/>
        <w:spacing w:after="0" w:line="281" w:lineRule="auto"/>
        <w:tabs>
          <w:tab w:leader="none" w:pos="1230" w:val="left"/>
        </w:tabs>
        <w:numPr>
          <w:ilvl w:val="0"/>
          <w:numId w:val="719"/>
        </w:numPr>
        <w:rPr>
          <w:rFonts w:ascii="Arial" w:cs="Arial" w:eastAsia="Arial" w:hAnsi="Arial"/>
          <w:sz w:val="18"/>
          <w:szCs w:val="18"/>
          <w:b w:val="1"/>
          <w:bCs w:val="1"/>
          <w:color w:val="auto"/>
        </w:rPr>
      </w:pPr>
      <w:r>
        <w:rPr>
          <w:rFonts w:ascii="Arial" w:cs="Arial" w:eastAsia="Arial" w:hAnsi="Arial"/>
          <w:sz w:val="18"/>
          <w:szCs w:val="18"/>
          <w:b w:val="1"/>
          <w:bCs w:val="1"/>
          <w:color w:val="auto"/>
        </w:rPr>
        <w:t>Titles and Subtitles</w:t>
      </w:r>
      <w:r>
        <w:rPr>
          <w:rFonts w:ascii="Arial" w:cs="Arial" w:eastAsia="Arial" w:hAnsi="Arial"/>
          <w:sz w:val="18"/>
          <w:szCs w:val="18"/>
          <w:color w:val="auto"/>
        </w:rPr>
        <w:t>. The titles and subtitles used in this Note are used for convenience only and are not to be considered in construing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interpreting this Note.</w:t>
      </w:r>
    </w:p>
    <w:p>
      <w:pPr>
        <w:spacing w:after="0" w:line="162" w:lineRule="exact"/>
        <w:rPr>
          <w:rFonts w:ascii="Arial" w:cs="Arial" w:eastAsia="Arial" w:hAnsi="Arial"/>
          <w:sz w:val="18"/>
          <w:szCs w:val="18"/>
          <w:b w:val="1"/>
          <w:bCs w:val="1"/>
          <w:color w:val="auto"/>
        </w:rPr>
      </w:pPr>
    </w:p>
    <w:p>
      <w:pPr>
        <w:ind w:right="20" w:firstLine="871"/>
        <w:spacing w:after="0" w:line="272" w:lineRule="auto"/>
        <w:tabs>
          <w:tab w:leader="none" w:pos="1240" w:val="left"/>
        </w:tabs>
        <w:numPr>
          <w:ilvl w:val="0"/>
          <w:numId w:val="71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required or permitted hereunder shall be in writing and shall be deemed effectively given: (i) upon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to a party shall be sent to the party’s address set forth on the signature page hereto or at such other address(es) as such party may designate by 10 days advance written notice to the other party hereto. A copy of any notice to the Company shall be sent to Cooley LLP, 3175 Hanover Street, Palo Alto, CA 94304-1130, Attn: James C. Kitch, e-mail: kitchjc@cooley.com.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688" w:name="page689"/>
    <w:bookmarkEnd w:id="688"/>
    <w:p>
      <w:pPr>
        <w:ind w:left="-20" w:right="20" w:firstLine="871"/>
        <w:spacing w:after="0" w:line="281" w:lineRule="auto"/>
        <w:tabs>
          <w:tab w:leader="none" w:pos="1260" w:val="left"/>
        </w:tabs>
        <w:numPr>
          <w:ilvl w:val="0"/>
          <w:numId w:val="7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8"/>
          <w:szCs w:val="18"/>
          <w:color w:val="auto"/>
        </w:rPr>
        <w:t>. The Company and the Holder shall each bear its respective expenses and legal fees incurred with respect to the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Note and the transactions contemplated herein.</w:t>
      </w:r>
    </w:p>
    <w:p>
      <w:pPr>
        <w:spacing w:after="0" w:line="162" w:lineRule="exact"/>
        <w:rPr>
          <w:rFonts w:ascii="Arial" w:cs="Arial" w:eastAsia="Arial" w:hAnsi="Arial"/>
          <w:sz w:val="18"/>
          <w:szCs w:val="18"/>
          <w:b w:val="1"/>
          <w:bCs w:val="1"/>
          <w:color w:val="auto"/>
        </w:rPr>
      </w:pPr>
    </w:p>
    <w:p>
      <w:pPr>
        <w:ind w:left="-20" w:right="20" w:firstLine="871"/>
        <w:spacing w:after="0" w:line="270" w:lineRule="auto"/>
        <w:tabs>
          <w:tab w:leader="none" w:pos="1210" w:val="left"/>
        </w:tabs>
        <w:numPr>
          <w:ilvl w:val="0"/>
          <w:numId w:val="720"/>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Conflicts</w:t>
      </w:r>
      <w:r>
        <w:rPr>
          <w:rFonts w:ascii="Arial" w:cs="Arial" w:eastAsia="Arial" w:hAnsi="Arial"/>
          <w:sz w:val="17"/>
          <w:szCs w:val="17"/>
          <w:color w:val="auto"/>
        </w:rPr>
        <w:t>. Each party to this Note acknowledges that Cooley LLP (“</w:t>
      </w:r>
      <w:r>
        <w:rPr>
          <w:rFonts w:ascii="Arial" w:cs="Arial" w:eastAsia="Arial" w:hAnsi="Arial"/>
          <w:sz w:val="17"/>
          <w:szCs w:val="17"/>
          <w:b w:val="1"/>
          <w:bCs w:val="1"/>
          <w:i w:val="1"/>
          <w:iCs w:val="1"/>
          <w:color w:val="auto"/>
        </w:rPr>
        <w:t>Cooley</w:t>
      </w:r>
      <w:r>
        <w:rPr>
          <w:rFonts w:ascii="Arial" w:cs="Arial" w:eastAsia="Arial" w:hAnsi="Arial"/>
          <w:sz w:val="17"/>
          <w:szCs w:val="17"/>
          <w:color w:val="auto"/>
        </w:rPr>
        <w:t>”), outside general counsel to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past performed and is or may now or in the future represent the Holder or the Holder’s affiliates in matters unrelated to the transactions contemplated by this Note (the “</w:t>
      </w:r>
      <w:r>
        <w:rPr>
          <w:rFonts w:ascii="Arial" w:cs="Arial" w:eastAsia="Arial" w:hAnsi="Arial"/>
          <w:sz w:val="17"/>
          <w:szCs w:val="17"/>
          <w:b w:val="1"/>
          <w:bCs w:val="1"/>
          <w:i w:val="1"/>
          <w:iCs w:val="1"/>
          <w:color w:val="auto"/>
        </w:rPr>
        <w:t>Note Financing</w:t>
      </w:r>
      <w:r>
        <w:rPr>
          <w:rFonts w:ascii="Arial" w:cs="Arial" w:eastAsia="Arial" w:hAnsi="Arial"/>
          <w:sz w:val="17"/>
          <w:szCs w:val="17"/>
          <w:color w:val="auto"/>
        </w:rPr>
        <w:t>”), including representation of the Holder or the Holder’s affiliates in matters of a similar nature to the Note Financing. The applicable rules of professional conduct require that Cooley inform the parties hereunder of this representation and obtain their consent. Cooley has served as outside general counsel to the Company and has negotiated the terms of the Note Financing solely on behalf of the Company. The Company and the Holder hereby (i) acknowledge that they have had an opportunity to ask for and have obtained information relevant to such representation, including disclosure of the reasonably foreseeable adverse consequences of such representation; (ii) acknowledge that with respect to the Note Financing, Cooley has represented solely the Company, and not any Holder or any stockholder, Board member or employee of the Company or director, stockholder or employee of the Holder; and (iii) gives the Holder’s informed consent to Cooley’s representation of the Company in the Note Financing.</w:t>
      </w:r>
    </w:p>
    <w:p>
      <w:pPr>
        <w:spacing w:after="0" w:line="175" w:lineRule="exact"/>
        <w:rPr>
          <w:rFonts w:ascii="Arial" w:cs="Arial" w:eastAsia="Arial" w:hAnsi="Arial"/>
          <w:sz w:val="17"/>
          <w:szCs w:val="17"/>
          <w:b w:val="1"/>
          <w:bCs w:val="1"/>
          <w:color w:val="auto"/>
        </w:rPr>
      </w:pPr>
    </w:p>
    <w:p>
      <w:pPr>
        <w:ind w:left="-20" w:right="20" w:firstLine="871"/>
        <w:spacing w:after="0" w:line="290" w:lineRule="auto"/>
        <w:tabs>
          <w:tab w:leader="none" w:pos="1310" w:val="left"/>
        </w:tabs>
        <w:numPr>
          <w:ilvl w:val="0"/>
          <w:numId w:val="720"/>
        </w:numPr>
        <w:rPr>
          <w:rFonts w:ascii="Arial" w:cs="Arial" w:eastAsia="Arial" w:hAnsi="Arial"/>
          <w:sz w:val="16"/>
          <w:szCs w:val="16"/>
          <w:b w:val="1"/>
          <w:bCs w:val="1"/>
          <w:color w:val="auto"/>
        </w:rPr>
      </w:pPr>
      <w:r>
        <w:rPr>
          <w:rFonts w:ascii="Arial" w:cs="Arial" w:eastAsia="Arial" w:hAnsi="Arial"/>
          <w:sz w:val="16"/>
          <w:szCs w:val="16"/>
          <w:b w:val="1"/>
          <w:bCs w:val="1"/>
          <w:color w:val="auto"/>
        </w:rPr>
        <w:t>Delays or Omissions</w:t>
      </w:r>
      <w:r>
        <w:rPr>
          <w:rFonts w:ascii="Arial" w:cs="Arial" w:eastAsia="Arial" w:hAnsi="Arial"/>
          <w:sz w:val="16"/>
          <w:szCs w:val="16"/>
          <w:color w:val="auto"/>
        </w:rPr>
        <w:t>. It is agreed that no delay or omission to exercise any right, power or remedy accruing to the Holder,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the Holder of any breach or default under this Note, or any waiver by the Holder of any provisions or conditions of this Note, must be in writing and shall be effective only to the extent specifically set forth in writing and that all remedies, either under this Note, or by law or otherwise afforded to the Holder, shall be cumulative and not alternative. This Note shall be void and of no force or effect in the event that the Holder fails to remit the full principal amount to the Company within five calendar days of the date of this Note.</w:t>
      </w:r>
    </w:p>
    <w:p>
      <w:pPr>
        <w:spacing w:after="0" w:line="163" w:lineRule="exact"/>
        <w:rPr>
          <w:rFonts w:ascii="Arial" w:cs="Arial" w:eastAsia="Arial" w:hAnsi="Arial"/>
          <w:sz w:val="16"/>
          <w:szCs w:val="16"/>
          <w:b w:val="1"/>
          <w:bCs w:val="1"/>
          <w:color w:val="auto"/>
        </w:rPr>
      </w:pPr>
    </w:p>
    <w:p>
      <w:pPr>
        <w:ind w:left="-20" w:right="340" w:firstLine="871"/>
        <w:spacing w:after="0" w:line="266" w:lineRule="auto"/>
        <w:tabs>
          <w:tab w:leader="none" w:pos="1260" w:val="left"/>
        </w:tabs>
        <w:numPr>
          <w:ilvl w:val="0"/>
          <w:numId w:val="72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Note constitutes the full and entire understanding and agreement between the parties with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subjects hereof and no party shall be liable or bound to any other party in any manner by any representations, warranties, covenants and agreements except as specifically set forth herein.</w:t>
      </w:r>
    </w:p>
    <w:p>
      <w:pPr>
        <w:spacing w:after="0" w:line="175" w:lineRule="exact"/>
        <w:rPr>
          <w:rFonts w:ascii="Arial" w:cs="Arial" w:eastAsia="Arial" w:hAnsi="Arial"/>
          <w:sz w:val="18"/>
          <w:szCs w:val="18"/>
          <w:b w:val="1"/>
          <w:bCs w:val="1"/>
          <w:color w:val="auto"/>
        </w:rPr>
      </w:pPr>
    </w:p>
    <w:p>
      <w:pPr>
        <w:ind w:left="-20" w:right="120" w:firstLine="871"/>
        <w:spacing w:after="0" w:line="312" w:lineRule="auto"/>
        <w:tabs>
          <w:tab w:leader="none" w:pos="1250" w:val="left"/>
        </w:tabs>
        <w:numPr>
          <w:ilvl w:val="0"/>
          <w:numId w:val="720"/>
        </w:numPr>
        <w:rPr>
          <w:rFonts w:ascii="Arial" w:cs="Arial" w:eastAsia="Arial" w:hAnsi="Arial"/>
          <w:sz w:val="17"/>
          <w:szCs w:val="17"/>
          <w:b w:val="1"/>
          <w:bCs w:val="1"/>
          <w:color w:val="auto"/>
        </w:rPr>
      </w:pPr>
      <w:r>
        <w:rPr>
          <w:rFonts w:ascii="Arial" w:cs="Arial" w:eastAsia="Arial" w:hAnsi="Arial"/>
          <w:sz w:val="17"/>
          <w:szCs w:val="17"/>
          <w:b w:val="1"/>
          <w:bCs w:val="1"/>
          <w:color w:val="auto"/>
        </w:rPr>
        <w:t>Exculpation among Holders</w:t>
      </w:r>
      <w:r>
        <w:rPr>
          <w:rFonts w:ascii="Arial" w:cs="Arial" w:eastAsia="Arial" w:hAnsi="Arial"/>
          <w:sz w:val="17"/>
          <w:szCs w:val="17"/>
          <w:color w:val="auto"/>
        </w:rPr>
        <w:t>. The Holder acknowledges that the Holder is not relying on any person, firm or corporation,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its officers and Board members, in making its investment or decision to invest in the Company.</w:t>
      </w:r>
    </w:p>
    <w:p>
      <w:pPr>
        <w:spacing w:after="0" w:line="139" w:lineRule="exact"/>
        <w:rPr>
          <w:rFonts w:ascii="Arial" w:cs="Arial" w:eastAsia="Arial" w:hAnsi="Arial"/>
          <w:sz w:val="17"/>
          <w:szCs w:val="17"/>
          <w:b w:val="1"/>
          <w:bCs w:val="1"/>
          <w:color w:val="auto"/>
        </w:rPr>
      </w:pPr>
    </w:p>
    <w:p>
      <w:pPr>
        <w:ind w:left="-20" w:firstLine="871"/>
        <w:spacing w:after="0" w:line="272" w:lineRule="auto"/>
        <w:tabs>
          <w:tab w:leader="none" w:pos="1260" w:val="left"/>
        </w:tabs>
        <w:numPr>
          <w:ilvl w:val="0"/>
          <w:numId w:val="720"/>
        </w:numPr>
        <w:rPr>
          <w:rFonts w:ascii="Arial" w:cs="Arial" w:eastAsia="Arial" w:hAnsi="Arial"/>
          <w:sz w:val="17"/>
          <w:szCs w:val="17"/>
          <w:b w:val="1"/>
          <w:bCs w:val="1"/>
          <w:color w:val="auto"/>
        </w:rPr>
      </w:pPr>
      <w:r>
        <w:rPr>
          <w:rFonts w:ascii="Arial" w:cs="Arial" w:eastAsia="Arial" w:hAnsi="Arial"/>
          <w:sz w:val="17"/>
          <w:szCs w:val="17"/>
          <w:b w:val="1"/>
          <w:bCs w:val="1"/>
          <w:color w:val="auto"/>
        </w:rPr>
        <w:t>Senior Indebtedness</w:t>
      </w:r>
      <w:r>
        <w:rPr>
          <w:rFonts w:ascii="Arial" w:cs="Arial" w:eastAsia="Arial" w:hAnsi="Arial"/>
          <w:sz w:val="17"/>
          <w:szCs w:val="17"/>
          <w:color w:val="auto"/>
        </w:rPr>
        <w:t>. The indebtedness evidenced by this Note is subordinated in right of payment to the prior payment in full of any</w:t>
      </w:r>
      <w:r>
        <w:rPr>
          <w:rFonts w:ascii="Arial" w:cs="Arial" w:eastAsia="Arial" w:hAnsi="Arial"/>
          <w:sz w:val="17"/>
          <w:szCs w:val="17"/>
          <w:b w:val="1"/>
          <w:bCs w:val="1"/>
          <w:color w:val="auto"/>
        </w:rPr>
        <w:t xml:space="preserve"> </w:t>
      </w:r>
      <w:r>
        <w:rPr>
          <w:rFonts w:ascii="Arial" w:cs="Arial" w:eastAsia="Arial" w:hAnsi="Arial"/>
          <w:sz w:val="17"/>
          <w:szCs w:val="17"/>
          <w:color w:val="auto"/>
        </w:rPr>
        <w:t>Senior Indebtedness in existence on the date of this Note or hereafter incurred. “</w:t>
      </w:r>
      <w:r>
        <w:rPr>
          <w:rFonts w:ascii="Arial" w:cs="Arial" w:eastAsia="Arial" w:hAnsi="Arial"/>
          <w:sz w:val="17"/>
          <w:szCs w:val="17"/>
          <w:b w:val="1"/>
          <w:bCs w:val="1"/>
          <w:i w:val="1"/>
          <w:iCs w:val="1"/>
          <w:color w:val="auto"/>
        </w:rPr>
        <w:t>Senior Indebtedness</w:t>
      </w:r>
      <w:r>
        <w:rPr>
          <w:rFonts w:ascii="Arial" w:cs="Arial" w:eastAsia="Arial" w:hAnsi="Arial"/>
          <w:sz w:val="17"/>
          <w:szCs w:val="17"/>
          <w:color w:val="auto"/>
        </w:rPr>
        <w:t>” shall mean, unless expressly subordinated to or made on a parity with the amounts due under this Note, all amounts due in connection with (i) indebtedness of the Company to banks or other lending institutions regularly engaged in the business of lending money (excluding venture capital, investment banking or similar institutions and their affiliates, which sometimes engage in lending activities but which are primarily engaged in investments in equity securities), and (ii) any such indebtedness or any debentures, notes or other evidence of indebtedness issued in exchange for such Senior Indebtedness, or any indebtedness arising from the satisfaction of such Senior Indebtedness by a guarantor.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80" w:top="271" w:right="479" w:bottom="1440" w:gutter="0" w:footer="0" w:header="0"/>
        </w:sectPr>
      </w:pPr>
    </w:p>
    <w:bookmarkStart w:id="689" w:name="page690"/>
    <w:bookmarkEnd w:id="689"/>
    <w:p>
      <w:pPr>
        <w:ind w:left="-20" w:right="80" w:firstLine="871"/>
        <w:spacing w:after="0" w:line="260" w:lineRule="auto"/>
        <w:tabs>
          <w:tab w:leader="none" w:pos="1260" w:val="left"/>
        </w:tabs>
        <w:numPr>
          <w:ilvl w:val="0"/>
          <w:numId w:val="7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Broker’s Fees</w:t>
      </w:r>
      <w:r>
        <w:rPr>
          <w:rFonts w:ascii="Arial" w:cs="Arial" w:eastAsia="Arial" w:hAnsi="Arial"/>
          <w:sz w:val="18"/>
          <w:szCs w:val="18"/>
          <w:color w:val="auto"/>
        </w:rPr>
        <w:t>. Each party hereto represents and warrants that no agent, broker, investment banker, person or firm acting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subsection being untrue.</w:t>
      </w:r>
    </w:p>
    <w:p>
      <w:pPr>
        <w:spacing w:after="0" w:line="182" w:lineRule="exact"/>
        <w:rPr>
          <w:rFonts w:ascii="Arial" w:cs="Arial" w:eastAsia="Arial" w:hAnsi="Arial"/>
          <w:sz w:val="18"/>
          <w:szCs w:val="18"/>
          <w:b w:val="1"/>
          <w:bCs w:val="1"/>
          <w:color w:val="auto"/>
        </w:rPr>
      </w:pPr>
    </w:p>
    <w:p>
      <w:pPr>
        <w:ind w:left="-20" w:firstLine="871"/>
        <w:spacing w:after="0" w:line="274" w:lineRule="auto"/>
        <w:tabs>
          <w:tab w:leader="none" w:pos="1240" w:val="left"/>
        </w:tabs>
        <w:numPr>
          <w:ilvl w:val="0"/>
          <w:numId w:val="721"/>
        </w:numPr>
        <w:rPr>
          <w:rFonts w:ascii="Arial" w:cs="Arial" w:eastAsia="Arial" w:hAnsi="Arial"/>
          <w:sz w:val="17"/>
          <w:szCs w:val="17"/>
          <w:b w:val="1"/>
          <w:bCs w:val="1"/>
          <w:color w:val="auto"/>
        </w:rPr>
      </w:pPr>
      <w:r>
        <w:rPr>
          <w:rFonts w:ascii="Arial" w:cs="Arial" w:eastAsia="Arial" w:hAnsi="Arial"/>
          <w:sz w:val="17"/>
          <w:szCs w:val="17"/>
          <w:b w:val="1"/>
          <w:bCs w:val="1"/>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SUCH SECURITIES OR THE PAYMENT OR RECEIPT OF ANY PART OF THE CONSIDERATION THEREFOR PRIOR TO SUCH QUALIFICATION OR IN THE ABSENCE OF AN EXEMPTION FROM SUCH QUALIFICATION IS UNLAWFUL. PRIOR TO ACCEPTANCE OF SUCH CONSIDERATION BY THE COMPANY, THE RIGHTS OF ALL PARTIES TO THIS AGREEMENT ARE EXPRESSLY CONDITIONED UPON SUCH QUALIFICATION BEING OBTAINED OR AN EXEMPTION FROM SUCH QUALIFICATION BEING AVAILABLE.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pages follow]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1" w:right="479"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parties have executed this </w:t>
      </w:r>
      <w:r>
        <w:rPr>
          <w:rFonts w:ascii="Arial" w:cs="Arial" w:eastAsia="Arial" w:hAnsi="Arial"/>
          <w:sz w:val="18"/>
          <w:szCs w:val="18"/>
          <w:b w:val="1"/>
          <w:bCs w:val="1"/>
          <w:color w:val="auto"/>
        </w:rPr>
        <w:t>C</w:t>
      </w:r>
      <w:r>
        <w:rPr>
          <w:rFonts w:ascii="Arial" w:cs="Arial" w:eastAsia="Arial" w:hAnsi="Arial"/>
          <w:sz w:val="14"/>
          <w:szCs w:val="14"/>
          <w:b w:val="1"/>
          <w:bCs w:val="1"/>
          <w:color w:val="auto"/>
        </w:rPr>
        <w:t>ONVERTIBLE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ROMISSORY</w:t>
      </w:r>
      <w:r>
        <w:rPr>
          <w:rFonts w:ascii="Arial" w:cs="Arial" w:eastAsia="Arial" w:hAnsi="Arial"/>
          <w:sz w:val="18"/>
          <w:szCs w:val="18"/>
          <w:color w:val="auto"/>
        </w:rPr>
        <w:t xml:space="preserve"> </w:t>
      </w: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color w:val="auto"/>
        </w:rPr>
        <w:t xml:space="preserve"> as of the date first noted above.</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West</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John West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91"/>
        </w:trPr>
        <w:tc>
          <w:tcPr>
            <w:tcW w:w="258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E-mail:</w:t>
            </w:r>
          </w:p>
        </w:tc>
        <w:tc>
          <w:tcPr>
            <w:tcW w:w="2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60" w:type="dxa"/>
            <w:vAlign w:val="bottom"/>
            <w:gridSpan w:val="3"/>
            <w:vMerge w:val="restart"/>
          </w:tcPr>
          <w:p>
            <w:pPr>
              <w:spacing w:after="0"/>
              <w:rPr>
                <w:sz w:val="20"/>
                <w:szCs w:val="20"/>
                <w:color w:val="auto"/>
              </w:rPr>
            </w:pPr>
            <w:r>
              <w:rPr>
                <w:rFonts w:ascii="Arial" w:cs="Arial" w:eastAsia="Arial" w:hAnsi="Arial"/>
                <w:sz w:val="18"/>
                <w:szCs w:val="18"/>
                <w:color w:val="auto"/>
              </w:rPr>
              <w:t>Address:</w:t>
            </w:r>
          </w:p>
        </w:tc>
        <w:tc>
          <w:tcPr>
            <w:tcW w:w="3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3640" w:type="dxa"/>
            <w:vAlign w:val="bottom"/>
          </w:tcPr>
          <w:p>
            <w:pPr>
              <w:spacing w:after="0" w:line="182" w:lineRule="exact"/>
              <w:rPr>
                <w:sz w:val="20"/>
                <w:szCs w:val="20"/>
                <w:color w:val="auto"/>
              </w:rPr>
            </w:pPr>
            <w:r>
              <w:rPr>
                <w:rFonts w:ascii="Arial" w:cs="Arial" w:eastAsia="Arial" w:hAnsi="Arial"/>
                <w:sz w:val="18"/>
                <w:szCs w:val="18"/>
                <w:color w:val="auto"/>
              </w:rPr>
              <w:t>1330 O’Brien Drive</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Menlo Park, California 94025</w:t>
            </w:r>
          </w:p>
        </w:tc>
        <w:tc>
          <w:tcPr>
            <w:tcW w:w="0" w:type="dxa"/>
            <w:vAlign w:val="bottom"/>
          </w:tcPr>
          <w:p>
            <w:pPr>
              <w:spacing w:after="0"/>
              <w:rPr>
                <w:sz w:val="1"/>
                <w:szCs w:val="1"/>
                <w:color w:val="auto"/>
              </w:rPr>
            </w:pPr>
          </w:p>
        </w:tc>
      </w:tr>
      <w:tr>
        <w:trPr>
          <w:trHeight w:val="350"/>
        </w:trPr>
        <w:tc>
          <w:tcPr>
            <w:tcW w:w="3340" w:type="dxa"/>
            <w:vAlign w:val="bottom"/>
            <w:gridSpan w:val="4"/>
          </w:tcPr>
          <w:p>
            <w:pPr>
              <w:jc w:val="center"/>
              <w:ind w:right="400"/>
              <w:spacing w:after="0"/>
              <w:rPr>
                <w:sz w:val="20"/>
                <w:szCs w:val="20"/>
                <w:color w:val="auto"/>
              </w:rPr>
            </w:pPr>
            <w:r>
              <w:rPr>
                <w:rFonts w:ascii="Arial" w:cs="Arial" w:eastAsia="Arial" w:hAnsi="Arial"/>
                <w:sz w:val="18"/>
                <w:szCs w:val="18"/>
                <w:color w:val="auto"/>
                <w:w w:val="93"/>
              </w:rPr>
              <w:t>SIGNATURE PAGE TO</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jc w:val="center"/>
              <w:ind w:right="400"/>
              <w:spacing w:after="0"/>
              <w:rPr>
                <w:sz w:val="20"/>
                <w:szCs w:val="20"/>
                <w:color w:val="auto"/>
              </w:rPr>
            </w:pPr>
            <w:r>
              <w:rPr>
                <w:rFonts w:ascii="Arial" w:cs="Arial" w:eastAsia="Arial" w:hAnsi="Arial"/>
                <w:sz w:val="18"/>
                <w:szCs w:val="18"/>
                <w:color w:val="auto"/>
                <w:w w:val="95"/>
              </w:rPr>
              <w:t>PERSONALIS, INC.</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4"/>
          </w:tcPr>
          <w:p>
            <w:pPr>
              <w:jc w:val="center"/>
              <w:ind w:right="400"/>
              <w:spacing w:after="0"/>
              <w:rPr>
                <w:sz w:val="20"/>
                <w:szCs w:val="20"/>
                <w:color w:val="auto"/>
              </w:rPr>
            </w:pPr>
            <w:r>
              <w:rPr>
                <w:rFonts w:ascii="Arial" w:cs="Arial" w:eastAsia="Arial" w:hAnsi="Arial"/>
                <w:sz w:val="18"/>
                <w:szCs w:val="18"/>
                <w:color w:val="auto"/>
                <w:w w:val="95"/>
              </w:rPr>
              <w:t>CONVERTIBLE PROMISSORY NOTE</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691" w:name="page692"/>
    <w:bookmarkEnd w:id="6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have executed this </w:t>
      </w:r>
      <w:r>
        <w:rPr>
          <w:rFonts w:ascii="Arial" w:cs="Arial" w:eastAsia="Arial" w:hAnsi="Arial"/>
          <w:sz w:val="18"/>
          <w:szCs w:val="18"/>
          <w:b w:val="1"/>
          <w:bCs w:val="1"/>
          <w:color w:val="auto"/>
        </w:rPr>
        <w:t>C</w:t>
      </w:r>
      <w:r>
        <w:rPr>
          <w:rFonts w:ascii="Arial" w:cs="Arial" w:eastAsia="Arial" w:hAnsi="Arial"/>
          <w:sz w:val="14"/>
          <w:szCs w:val="14"/>
          <w:b w:val="1"/>
          <w:bCs w:val="1"/>
          <w:color w:val="auto"/>
        </w:rPr>
        <w:t>ONVERTIBLE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ROMISSORY</w:t>
      </w:r>
      <w:r>
        <w:rPr>
          <w:rFonts w:ascii="Arial" w:cs="Arial" w:eastAsia="Arial" w:hAnsi="Arial"/>
          <w:sz w:val="18"/>
          <w:szCs w:val="18"/>
          <w:color w:val="auto"/>
        </w:rPr>
        <w:t xml:space="preserve"> </w:t>
      </w: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color w:val="auto"/>
        </w:rPr>
        <w:t xml:space="preserve"> as of the date first noted above.</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HOLDER (if an entity):</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0357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2724150"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168910</wp:posOffset>
            </wp:positionV>
            <wp:extent cx="272415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2724150"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323215</wp:posOffset>
            </wp:positionV>
            <wp:extent cx="272415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1879"/>
        <w:spacing w:after="0"/>
        <w:rPr>
          <w:sz w:val="20"/>
          <w:szCs w:val="20"/>
          <w:color w:val="auto"/>
        </w:rPr>
      </w:pPr>
      <w:r>
        <w:rPr>
          <w:rFonts w:ascii="Arial" w:cs="Arial" w:eastAsia="Arial" w:hAnsi="Arial"/>
          <w:sz w:val="18"/>
          <w:szCs w:val="18"/>
          <w:b w:val="1"/>
          <w:bCs w:val="1"/>
          <w:color w:val="auto"/>
        </w:rPr>
        <w:t>HOLDER (if an individual):</w:t>
      </w:r>
    </w:p>
    <w:p>
      <w:pPr>
        <w:spacing w:after="0" w:line="229"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0357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32"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0357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14605</wp:posOffset>
            </wp:positionV>
            <wp:extent cx="272415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2724150"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168910</wp:posOffset>
            </wp:positionV>
            <wp:extent cx="272415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724150"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323215</wp:posOffset>
            </wp:positionV>
            <wp:extent cx="272415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PERSONALIS,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CONVERTIBLE PROMISSORY NOTE</w:t>
      </w:r>
    </w:p>
    <w:p>
      <w:pPr>
        <w:sectPr>
          <w:pgSz w:w="11900" w:h="16838" w:orient="portrait"/>
          <w:cols w:equalWidth="0" w:num="1">
            <w:col w:w="9999"/>
          </w:cols>
          <w:pgMar w:left="460" w:top="271" w:right="1440" w:bottom="1440" w:gutter="0" w:footer="0" w:header="0"/>
        </w:sectPr>
      </w:pPr>
    </w:p>
    <w:bookmarkStart w:id="692" w:name="page693"/>
    <w:bookmarkEnd w:id="69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PERSONALIS, INC.</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CONVERTIBLE PROMISSORY NOTES</w:t>
      </w:r>
    </w:p>
    <w:p>
      <w:pPr>
        <w:spacing w:after="0" w:line="229" w:lineRule="exact"/>
        <w:rPr>
          <w:sz w:val="20"/>
          <w:szCs w:val="20"/>
          <w:color w:val="auto"/>
        </w:rPr>
      </w:pPr>
    </w:p>
    <w:p>
      <w:pPr>
        <w:ind w:left="10" w:right="380" w:firstLine="440"/>
        <w:spacing w:after="0" w:line="263" w:lineRule="auto"/>
        <w:rPr>
          <w:sz w:val="20"/>
          <w:szCs w:val="20"/>
          <w:color w:val="auto"/>
        </w:rPr>
      </w:pPr>
      <w:r>
        <w:rPr>
          <w:rFonts w:ascii="Arial" w:cs="Arial" w:eastAsia="Arial" w:hAnsi="Arial"/>
          <w:sz w:val="18"/>
          <w:szCs w:val="18"/>
          <w:color w:val="auto"/>
        </w:rPr>
        <w:t>THIS AMENDMENT TO CONVERTIBLE PROMISSORY NOTES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as of May 31</w:t>
      </w:r>
      <w:r>
        <w:rPr>
          <w:rFonts w:ascii="Arial" w:cs="Arial" w:eastAsia="Arial" w:hAnsi="Arial"/>
          <w:sz w:val="15"/>
          <w:szCs w:val="15"/>
          <w:color w:val="auto"/>
        </w:rPr>
        <w:t>st</w:t>
      </w:r>
      <w:r>
        <w:rPr>
          <w:rFonts w:ascii="Arial" w:cs="Arial" w:eastAsia="Arial" w:hAnsi="Arial"/>
          <w:sz w:val="18"/>
          <w:szCs w:val="18"/>
          <w:color w:val="auto"/>
        </w:rPr>
        <w:t xml:space="preserve">, 2018 by and among </w:t>
      </w: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each of the individuals and entities set forth on the signature pages hereto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10" w:right="480" w:hanging="10"/>
        <w:spacing w:after="0" w:line="307" w:lineRule="auto"/>
        <w:tabs>
          <w:tab w:leader="none" w:pos="361"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Holders are holders of convertible promissory notes (each, a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by and between the Company and the Holders named therein dated June 29, 2017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constitute the Requisite Holders (as defined in the Notes).</w:t>
      </w:r>
    </w:p>
    <w:p>
      <w:pPr>
        <w:spacing w:after="0" w:line="147" w:lineRule="exact"/>
        <w:rPr>
          <w:rFonts w:ascii="Arial" w:cs="Arial" w:eastAsia="Arial" w:hAnsi="Arial"/>
          <w:sz w:val="17"/>
          <w:szCs w:val="17"/>
          <w:color w:val="auto"/>
        </w:rPr>
      </w:pPr>
    </w:p>
    <w:p>
      <w:pPr>
        <w:ind w:left="350" w:hanging="350"/>
        <w:spacing w:after="0"/>
        <w:tabs>
          <w:tab w:leader="none" w:pos="35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Notes provide that the terms of the Notes may be amended by the Requisite Holders.</w:t>
      </w:r>
    </w:p>
    <w:p>
      <w:pPr>
        <w:spacing w:after="0" w:line="224" w:lineRule="exact"/>
        <w:rPr>
          <w:rFonts w:ascii="Arial" w:cs="Arial" w:eastAsia="Arial" w:hAnsi="Arial"/>
          <w:sz w:val="18"/>
          <w:szCs w:val="18"/>
          <w:color w:val="auto"/>
        </w:rPr>
      </w:pPr>
    </w:p>
    <w:p>
      <w:pPr>
        <w:ind w:left="350" w:hanging="350"/>
        <w:spacing w:after="0"/>
        <w:tabs>
          <w:tab w:leader="none" w:pos="35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undersigned desire to amend the Notes to provide that the Maturity Date shall be extended to June 28, 2019.</w:t>
      </w: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750" w:hanging="310"/>
        <w:spacing w:after="0"/>
        <w:tabs>
          <w:tab w:leader="none" w:pos="75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Notes are hereby amended to extend the “Maturity Date” to June 28, 2019.</w:t>
      </w:r>
    </w:p>
    <w:p>
      <w:pPr>
        <w:spacing w:after="0" w:line="224" w:lineRule="exact"/>
        <w:rPr>
          <w:rFonts w:ascii="Arial" w:cs="Arial" w:eastAsia="Arial" w:hAnsi="Arial"/>
          <w:sz w:val="18"/>
          <w:szCs w:val="18"/>
          <w:color w:val="auto"/>
        </w:rPr>
      </w:pPr>
    </w:p>
    <w:p>
      <w:pPr>
        <w:ind w:left="10" w:right="440" w:firstLine="430"/>
        <w:spacing w:after="0" w:line="277" w:lineRule="auto"/>
        <w:tabs>
          <w:tab w:leader="none" w:pos="761"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under the laws of the State of Delaware as applied to agreements among Delaware residents, made and to be performed entirely within the State of Delaware.</w:t>
      </w:r>
    </w:p>
    <w:p>
      <w:pPr>
        <w:spacing w:after="0" w:line="169" w:lineRule="exact"/>
        <w:rPr>
          <w:rFonts w:ascii="Arial" w:cs="Arial" w:eastAsia="Arial" w:hAnsi="Arial"/>
          <w:sz w:val="18"/>
          <w:szCs w:val="18"/>
          <w:color w:val="auto"/>
        </w:rPr>
      </w:pPr>
    </w:p>
    <w:p>
      <w:pPr>
        <w:ind w:left="10" w:right="160" w:firstLine="430"/>
        <w:spacing w:after="0" w:line="307" w:lineRule="auto"/>
        <w:tabs>
          <w:tab w:leader="none" w:pos="765" w:val="left"/>
        </w:tabs>
        <w:numPr>
          <w:ilvl w:val="0"/>
          <w:numId w:val="723"/>
        </w:numPr>
        <w:rPr>
          <w:rFonts w:ascii="Arial" w:cs="Arial" w:eastAsia="Arial" w:hAnsi="Arial"/>
          <w:sz w:val="17"/>
          <w:szCs w:val="17"/>
          <w:color w:val="auto"/>
        </w:rPr>
      </w:pPr>
      <w:r>
        <w:rPr>
          <w:rFonts w:ascii="Arial" w:cs="Arial" w:eastAsia="Arial" w:hAnsi="Arial"/>
          <w:sz w:val="17"/>
          <w:szCs w:val="17"/>
          <w:color w:val="auto"/>
        </w:rPr>
        <w:t>Except as provided herein, the Notes shall remain unamended and in full force and effect. This Amendment may be executed in one or more counterparts each of which shall be deemed an original, but all of which together shall constitute one and the same instrument.</w:t>
      </w:r>
    </w:p>
    <w:p>
      <w:pPr>
        <w:spacing w:after="0" w:line="14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10"/>
          </w:cols>
          <w:pgMar w:left="450" w:top="123" w:right="439" w:bottom="1440" w:gutter="0" w:footer="0" w:header="0"/>
        </w:sectPr>
      </w:pPr>
    </w:p>
    <w:bookmarkStart w:id="693" w:name="page694"/>
    <w:bookmarkEnd w:id="693"/>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West</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Chief Executive Officer</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 N</w:t>
      </w:r>
      <w:r>
        <w:rPr>
          <w:rFonts w:ascii="Arial" w:cs="Arial" w:eastAsia="Arial" w:hAnsi="Arial"/>
          <w:sz w:val="14"/>
          <w:szCs w:val="14"/>
          <w:color w:val="auto"/>
        </w:rPr>
        <w:t>OVEMBER</w:t>
      </w:r>
      <w:r>
        <w:rPr>
          <w:rFonts w:ascii="Arial" w:cs="Arial" w:eastAsia="Arial" w:hAnsi="Arial"/>
          <w:sz w:val="18"/>
          <w:szCs w:val="18"/>
          <w:color w:val="auto"/>
        </w:rPr>
        <w:t xml:space="preserve"> 2017]</w:t>
      </w:r>
    </w:p>
    <w:p>
      <w:pPr>
        <w:sectPr>
          <w:pgSz w:w="11900" w:h="16838" w:orient="portrait"/>
          <w:cols w:equalWidth="0" w:num="1">
            <w:col w:w="10900"/>
          </w:cols>
          <w:pgMar w:left="460" w:top="270" w:right="539" w:bottom="1440" w:gutter="0" w:footer="0" w:header="0"/>
        </w:sectPr>
      </w:pPr>
    </w:p>
    <w:bookmarkStart w:id="694" w:name="page695"/>
    <w:bookmarkEnd w:id="694"/>
    <w:p>
      <w:pPr>
        <w:ind w:right="100"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Abingworth Bioventures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of Holder)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James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James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3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38 Jermyn Street</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UK SW1Y6DN</w:t>
      </w:r>
    </w:p>
    <w:p>
      <w:pPr>
        <w:spacing w:after="0" w:line="237"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Phone: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+44 207 534 1500</w:t>
            </w:r>
          </w:p>
        </w:tc>
      </w:tr>
      <w:tr>
        <w:trPr>
          <w:trHeight w:val="208"/>
        </w:trPr>
        <w:tc>
          <w:tcPr>
            <w:tcW w:w="620" w:type="dxa"/>
            <w:vAlign w:val="bottom"/>
          </w:tcPr>
          <w:p>
            <w:pPr>
              <w:spacing w:after="0"/>
              <w:rPr>
                <w:sz w:val="20"/>
                <w:szCs w:val="20"/>
                <w:color w:val="auto"/>
              </w:rPr>
            </w:pPr>
            <w:r>
              <w:rPr>
                <w:rFonts w:ascii="Arial" w:cs="Arial" w:eastAsia="Arial" w:hAnsi="Arial"/>
                <w:sz w:val="18"/>
                <w:szCs w:val="18"/>
                <w:color w:val="auto"/>
              </w:rPr>
              <w:t>Fax:</w:t>
            </w:r>
          </w:p>
        </w:tc>
        <w:tc>
          <w:tcPr>
            <w:tcW w:w="3780" w:type="dxa"/>
            <w:vAlign w:val="bottom"/>
          </w:tcPr>
          <w:p>
            <w:pPr>
              <w:spacing w:after="0"/>
              <w:rPr>
                <w:sz w:val="20"/>
                <w:szCs w:val="20"/>
                <w:color w:val="auto"/>
              </w:rPr>
            </w:pPr>
            <w:r>
              <w:rPr>
                <w:rFonts w:ascii="Arial" w:cs="Arial" w:eastAsia="Arial" w:hAnsi="Arial"/>
                <w:sz w:val="18"/>
                <w:szCs w:val="18"/>
                <w:color w:val="auto"/>
              </w:rPr>
              <w:t>+44 207 534 1539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Email:</w:t>
            </w:r>
          </w:p>
        </w:tc>
        <w:tc>
          <w:tcPr>
            <w:tcW w:w="3780" w:type="dxa"/>
            <w:vAlign w:val="bottom"/>
          </w:tcPr>
          <w:p>
            <w:pPr>
              <w:spacing w:after="0"/>
              <w:rPr>
                <w:sz w:val="20"/>
                <w:szCs w:val="20"/>
                <w:color w:val="auto"/>
              </w:rPr>
            </w:pPr>
            <w:r>
              <w:rPr>
                <w:rFonts w:ascii="Arial" w:cs="Arial" w:eastAsia="Arial" w:hAnsi="Arial"/>
                <w:sz w:val="18"/>
                <w:szCs w:val="18"/>
                <w:color w:val="auto"/>
              </w:rPr>
              <w:t>legal@abingworth.com</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ectPr>
          <w:pgSz w:w="11900" w:h="16838" w:orient="portrait"/>
          <w:cols w:equalWidth="0" w:num="1">
            <w:col w:w="11000"/>
          </w:cols>
          <w:pgMar w:left="460" w:top="270" w:right="439" w:bottom="1440" w:gutter="0" w:footer="0" w:header="0"/>
        </w:sectPr>
      </w:pPr>
    </w:p>
    <w:bookmarkStart w:id="695" w:name="page696"/>
    <w:bookmarkEnd w:id="695"/>
    <w:p>
      <w:pPr>
        <w:ind w:right="20"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HOLDERS: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Lightspeed Venture Partners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Lightspeed General Partner VIII, L.P.,</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tab/>
        <w:t>Lightspeed Ultimate General Partner VIII, Ltd.,</w:t>
      </w:r>
    </w:p>
    <w:p>
      <w:pPr>
        <w:spacing w:after="0" w:line="2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2200 Sand Hill Road, Suite 100</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Menlo Park, CA 94025</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cschaepe@lsvp.com</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HOLDERS: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Lightspeed Venture Partners Select, L.P.</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Lightspeed General Partner Select, L.P.,</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jc w:val="both"/>
        <w:ind w:left="6860"/>
        <w:spacing w:after="0"/>
        <w:tabs>
          <w:tab w:leader="none" w:pos="7340" w:val="left"/>
        </w:tabs>
        <w:rPr>
          <w:sz w:val="20"/>
          <w:szCs w:val="20"/>
          <w:color w:val="auto"/>
        </w:rPr>
      </w:pPr>
      <w:r>
        <w:rPr>
          <w:rFonts w:ascii="Arial" w:cs="Arial" w:eastAsia="Arial" w:hAnsi="Arial"/>
          <w:sz w:val="18"/>
          <w:szCs w:val="18"/>
          <w:color w:val="auto"/>
        </w:rPr>
        <w:t>By:</w:t>
        <w:tab/>
        <w:t>Lightspeed Ultimate General Partner Select, Ltd.,</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Christopher Schaepe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ectPr>
          <w:pgSz w:w="11900" w:h="16838" w:orient="portrait"/>
          <w:cols w:equalWidth="0" w:num="1">
            <w:col w:w="10920"/>
          </w:cols>
          <w:pgMar w:left="460" w:top="271" w:right="519" w:bottom="1440" w:gutter="0" w:footer="0" w:header="0"/>
        </w:sectPr>
      </w:pPr>
    </w:p>
    <w:bookmarkStart w:id="696" w:name="page697"/>
    <w:bookmarkEnd w:id="696"/>
    <w:p>
      <w:pPr>
        <w:jc w:val="right"/>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  2200 Sand Hill Road, Suite 100</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Menlo Park, CA 94025</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14605</wp:posOffset>
            </wp:positionV>
            <wp:extent cx="231267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14605</wp:posOffset>
            </wp:positionV>
            <wp:extent cx="231267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cschaepe@lsvp.com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697" w:name="page698"/>
    <w:bookmarkEnd w:id="697"/>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PERSONALIS, INC.</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CONVERTIBLE PROMISSORY NOTES</w:t>
      </w:r>
    </w:p>
    <w:p>
      <w:pPr>
        <w:spacing w:after="0" w:line="229" w:lineRule="exact"/>
        <w:rPr>
          <w:sz w:val="20"/>
          <w:szCs w:val="20"/>
          <w:color w:val="auto"/>
        </w:rPr>
      </w:pPr>
    </w:p>
    <w:p>
      <w:pPr>
        <w:ind w:left="10" w:right="160" w:firstLine="440"/>
        <w:spacing w:after="0" w:line="263" w:lineRule="auto"/>
        <w:rPr>
          <w:sz w:val="20"/>
          <w:szCs w:val="20"/>
          <w:color w:val="auto"/>
        </w:rPr>
      </w:pPr>
      <w:r>
        <w:rPr>
          <w:rFonts w:ascii="Arial" w:cs="Arial" w:eastAsia="Arial" w:hAnsi="Arial"/>
          <w:sz w:val="18"/>
          <w:szCs w:val="18"/>
          <w:color w:val="auto"/>
        </w:rPr>
        <w:t xml:space="preserve">THIS AMENDMENT TO CONVERTIBLE PROMISSORY NOTES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is entered into as of August 20</w:t>
      </w:r>
      <w:r>
        <w:rPr>
          <w:rFonts w:ascii="Arial" w:cs="Arial" w:eastAsia="Arial" w:hAnsi="Arial"/>
          <w:sz w:val="15"/>
          <w:szCs w:val="15"/>
          <w:color w:val="auto"/>
        </w:rPr>
        <w:t>th</w:t>
      </w:r>
      <w:r>
        <w:rPr>
          <w:rFonts w:ascii="Arial" w:cs="Arial" w:eastAsia="Arial" w:hAnsi="Arial"/>
          <w:sz w:val="18"/>
          <w:szCs w:val="18"/>
          <w:color w:val="auto"/>
        </w:rPr>
        <w:t xml:space="preserve">, 2018 by and among </w:t>
      </w: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of the individuals and entities set forth on the signature pages hereto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 w:right="440" w:hanging="10"/>
        <w:spacing w:after="0" w:line="307" w:lineRule="auto"/>
        <w:tabs>
          <w:tab w:leader="none" w:pos="361" w:val="left"/>
        </w:tabs>
        <w:numPr>
          <w:ilvl w:val="0"/>
          <w:numId w:val="724"/>
        </w:numPr>
        <w:rPr>
          <w:rFonts w:ascii="Arial" w:cs="Arial" w:eastAsia="Arial" w:hAnsi="Arial"/>
          <w:sz w:val="17"/>
          <w:szCs w:val="17"/>
          <w:color w:val="auto"/>
        </w:rPr>
      </w:pPr>
      <w:r>
        <w:rPr>
          <w:rFonts w:ascii="Arial" w:cs="Arial" w:eastAsia="Arial" w:hAnsi="Arial"/>
          <w:sz w:val="17"/>
          <w:szCs w:val="17"/>
          <w:color w:val="auto"/>
        </w:rPr>
        <w:t xml:space="preserve">The Holders are holders of convertible promissory notes (each, a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and collectively,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xml:space="preserve"> by and between the Company and the Holders named therein dated June 29, 2017, as amended, and constitute the Requisite Holders (as defined in the Notes).</w:t>
      </w:r>
    </w:p>
    <w:p>
      <w:pPr>
        <w:spacing w:after="0" w:line="147" w:lineRule="exact"/>
        <w:rPr>
          <w:rFonts w:ascii="Arial" w:cs="Arial" w:eastAsia="Arial" w:hAnsi="Arial"/>
          <w:sz w:val="17"/>
          <w:szCs w:val="17"/>
          <w:color w:val="auto"/>
        </w:rPr>
      </w:pPr>
    </w:p>
    <w:p>
      <w:pPr>
        <w:ind w:left="350" w:hanging="350"/>
        <w:spacing w:after="0"/>
        <w:tabs>
          <w:tab w:leader="none" w:pos="35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Notes provide that the terms of the Notes may be amended by the Requisite Holders.</w:t>
      </w:r>
    </w:p>
    <w:p>
      <w:pPr>
        <w:spacing w:after="0" w:line="224" w:lineRule="exact"/>
        <w:rPr>
          <w:rFonts w:ascii="Arial" w:cs="Arial" w:eastAsia="Arial" w:hAnsi="Arial"/>
          <w:sz w:val="18"/>
          <w:szCs w:val="18"/>
          <w:color w:val="auto"/>
        </w:rPr>
      </w:pPr>
    </w:p>
    <w:p>
      <w:pPr>
        <w:ind w:left="350" w:hanging="350"/>
        <w:spacing w:after="0"/>
        <w:tabs>
          <w:tab w:leader="none" w:pos="35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undersigned desire to amend the Notes as set forth below.</w:t>
      </w: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0" w:right="220" w:firstLine="440"/>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adequacy of which is hereby acknowledged, the parties agree as follows:</w:t>
      </w:r>
    </w:p>
    <w:p>
      <w:pPr>
        <w:spacing w:after="0" w:line="170" w:lineRule="exact"/>
        <w:rPr>
          <w:sz w:val="20"/>
          <w:szCs w:val="20"/>
          <w:color w:val="auto"/>
        </w:rPr>
      </w:pPr>
    </w:p>
    <w:p>
      <w:pPr>
        <w:ind w:left="450"/>
        <w:spacing w:after="0"/>
        <w:tabs>
          <w:tab w:leader="none" w:pos="729"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last sentence of the first paragraph of each of the Notes is hereby amended and restated in its entirety to read as follows:</w:t>
      </w:r>
    </w:p>
    <w:p>
      <w:pPr>
        <w:spacing w:after="0" w:line="225" w:lineRule="exact"/>
        <w:rPr>
          <w:sz w:val="20"/>
          <w:szCs w:val="20"/>
          <w:color w:val="auto"/>
        </w:rPr>
      </w:pPr>
    </w:p>
    <w:p>
      <w:pPr>
        <w:ind w:left="450" w:right="320" w:firstLine="423"/>
        <w:spacing w:after="0" w:line="277" w:lineRule="auto"/>
        <w:rPr>
          <w:sz w:val="20"/>
          <w:szCs w:val="20"/>
          <w:color w:val="auto"/>
        </w:rPr>
      </w:pPr>
      <w:r>
        <w:rPr>
          <w:rFonts w:ascii="Arial" w:cs="Arial" w:eastAsia="Arial" w:hAnsi="Arial"/>
          <w:sz w:val="18"/>
          <w:szCs w:val="18"/>
          <w:color w:val="auto"/>
        </w:rPr>
        <w:t xml:space="preserve">“All unpaid interest and principal shall be due and payable upon request of the Requisite Holders on or after September 20, 2018 or such later date as may be determined by the Requisite Holders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50"/>
        <w:spacing w:after="0"/>
        <w:tabs>
          <w:tab w:leader="none" w:pos="729"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Section 2(c) of each of the Notes is hereby amended and restated in its entirety to read as follows:</w:t>
      </w:r>
    </w:p>
    <w:p>
      <w:pPr>
        <w:spacing w:after="0" w:line="113" w:lineRule="exact"/>
        <w:rPr>
          <w:sz w:val="20"/>
          <w:szCs w:val="20"/>
          <w:color w:val="auto"/>
        </w:rPr>
      </w:pPr>
    </w:p>
    <w:p>
      <w:pPr>
        <w:ind w:left="450" w:right="160" w:firstLine="423"/>
        <w:spacing w:after="0" w:line="280" w:lineRule="auto"/>
        <w:rPr>
          <w:sz w:val="20"/>
          <w:szCs w:val="20"/>
          <w:color w:val="auto"/>
        </w:rPr>
      </w:pPr>
      <w:r>
        <w:rPr>
          <w:rFonts w:ascii="Arial" w:cs="Arial" w:eastAsia="Arial" w:hAnsi="Arial"/>
          <w:sz w:val="17"/>
          <w:szCs w:val="17"/>
          <w:b w:val="1"/>
          <w:bCs w:val="1"/>
          <w:color w:val="auto"/>
        </w:rPr>
        <w:t>“(c) Maturity Date Conversion</w:t>
      </w:r>
      <w:r>
        <w:rPr>
          <w:rFonts w:ascii="Arial" w:cs="Arial" w:eastAsia="Arial" w:hAnsi="Arial"/>
          <w:sz w:val="17"/>
          <w:szCs w:val="17"/>
          <w:color w:val="auto"/>
        </w:rPr>
        <w:t>. In the event that this Note remains outstanding on the Maturity Date, then the outstanding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 of this Note and any unpaid accrued interest shall upon the election of the Holder given prior to the Maturity Date, convert as of the Maturity Date into shares of the Company’s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xml:space="preserve"> at a conversion price equal to the price paid per share for the Company’s Series C Preferred Stock (the </w:t>
      </w:r>
      <w:r>
        <w:rPr>
          <w:rFonts w:ascii="Arial" w:cs="Arial" w:eastAsia="Arial" w:hAnsi="Arial"/>
          <w:sz w:val="17"/>
          <w:szCs w:val="17"/>
          <w:b w:val="1"/>
          <w:bCs w:val="1"/>
          <w:i w:val="1"/>
          <w:iCs w:val="1"/>
          <w:color w:val="auto"/>
        </w:rPr>
        <w:t>“Maturity Date Conversion”</w:t>
      </w:r>
      <w:r>
        <w:rPr>
          <w:rFonts w:ascii="Arial" w:cs="Arial" w:eastAsia="Arial" w:hAnsi="Arial"/>
          <w:sz w:val="17"/>
          <w:szCs w:val="17"/>
          <w:color w:val="auto"/>
        </w:rPr>
        <w:t>).”</w:t>
      </w:r>
    </w:p>
    <w:p>
      <w:pPr>
        <w:spacing w:after="0" w:line="171" w:lineRule="exact"/>
        <w:rPr>
          <w:sz w:val="20"/>
          <w:szCs w:val="20"/>
          <w:color w:val="auto"/>
        </w:rPr>
      </w:pPr>
    </w:p>
    <w:p>
      <w:pPr>
        <w:ind w:left="10" w:right="440" w:firstLine="430"/>
        <w:spacing w:after="0" w:line="277" w:lineRule="auto"/>
        <w:tabs>
          <w:tab w:leader="none" w:pos="761"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under the laws of the State of Delaware as applied to agreements among Delaware residents, made and to be performed entirely within the State of Delaware.</w:t>
      </w:r>
    </w:p>
    <w:p>
      <w:pPr>
        <w:spacing w:after="0" w:line="169" w:lineRule="exact"/>
        <w:rPr>
          <w:rFonts w:ascii="Arial" w:cs="Arial" w:eastAsia="Arial" w:hAnsi="Arial"/>
          <w:sz w:val="18"/>
          <w:szCs w:val="18"/>
          <w:color w:val="auto"/>
        </w:rPr>
      </w:pPr>
    </w:p>
    <w:p>
      <w:pPr>
        <w:ind w:left="10" w:right="160" w:firstLine="430"/>
        <w:spacing w:after="0" w:line="307" w:lineRule="auto"/>
        <w:tabs>
          <w:tab w:leader="none" w:pos="765" w:val="left"/>
        </w:tabs>
        <w:numPr>
          <w:ilvl w:val="0"/>
          <w:numId w:val="725"/>
        </w:numPr>
        <w:rPr>
          <w:rFonts w:ascii="Arial" w:cs="Arial" w:eastAsia="Arial" w:hAnsi="Arial"/>
          <w:sz w:val="17"/>
          <w:szCs w:val="17"/>
          <w:color w:val="auto"/>
        </w:rPr>
      </w:pPr>
      <w:r>
        <w:rPr>
          <w:rFonts w:ascii="Arial" w:cs="Arial" w:eastAsia="Arial" w:hAnsi="Arial"/>
          <w:sz w:val="17"/>
          <w:szCs w:val="17"/>
          <w:color w:val="auto"/>
        </w:rPr>
        <w:t>Except as provided herein, the Notes shall remain unamended and in full force and effect. This Amendment may be executed in one or more counterparts each of which shall be deemed an original, but all of which together shall constitute one and the same instrument.</w:t>
      </w:r>
    </w:p>
    <w:p>
      <w:pPr>
        <w:spacing w:after="0" w:line="79" w:lineRule="exact"/>
        <w:rPr>
          <w:rFonts w:ascii="Arial" w:cs="Arial" w:eastAsia="Arial" w:hAnsi="Arial"/>
          <w:sz w:val="17"/>
          <w:szCs w:val="17"/>
          <w:color w:val="auto"/>
        </w:rPr>
      </w:pPr>
    </w:p>
    <w:p>
      <w:pPr>
        <w:ind w:left="5450" w:hanging="96"/>
        <w:spacing w:after="0"/>
        <w:tabs>
          <w:tab w:leader="none" w:pos="545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10"/>
          </w:cols>
          <w:pgMar w:left="450" w:top="122" w:right="439" w:bottom="1440" w:gutter="0" w:footer="0" w:header="0"/>
        </w:sectPr>
      </w:pPr>
    </w:p>
    <w:bookmarkStart w:id="698" w:name="page699"/>
    <w:bookmarkEnd w:id="69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ectPr>
          <w:pgSz w:w="11900" w:h="16838" w:orient="portrait"/>
          <w:cols w:equalWidth="0" w:num="1">
            <w:col w:w="9019"/>
          </w:cols>
          <w:pgMar w:left="1440" w:top="27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9019"/>
          </w:cols>
          <w:pgMar w:left="1440" w:top="273" w:right="1440" w:bottom="1440" w:gutter="0" w:footer="0" w:header="0"/>
          <w:type w:val="continuous"/>
        </w:sectPr>
      </w:pPr>
    </w:p>
    <w:bookmarkStart w:id="699" w:name="page700"/>
    <w:bookmarkEnd w:id="699"/>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ERSONALIS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14605</wp:posOffset>
            </wp:positionV>
            <wp:extent cx="242443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West</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Chief Executive Officer</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 AND</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 N</w:t>
      </w:r>
      <w:r>
        <w:rPr>
          <w:rFonts w:ascii="Arial" w:cs="Arial" w:eastAsia="Arial" w:hAnsi="Arial"/>
          <w:sz w:val="14"/>
          <w:szCs w:val="14"/>
          <w:color w:val="auto"/>
        </w:rPr>
        <w:t>OVEMBER</w:t>
      </w:r>
      <w:r>
        <w:rPr>
          <w:rFonts w:ascii="Arial" w:cs="Arial" w:eastAsia="Arial" w:hAnsi="Arial"/>
          <w:sz w:val="18"/>
          <w:szCs w:val="18"/>
          <w:color w:val="auto"/>
        </w:rPr>
        <w:t xml:space="preserve"> 2017]</w:t>
      </w:r>
    </w:p>
    <w:p>
      <w:pPr>
        <w:sectPr>
          <w:pgSz w:w="11900" w:h="16838" w:orient="portrait"/>
          <w:cols w:equalWidth="0" w:num="1">
            <w:col w:w="10900"/>
          </w:cols>
          <w:pgMar w:left="460" w:top="271" w:right="539" w:bottom="1440" w:gutter="0" w:footer="0" w:header="0"/>
        </w:sectPr>
      </w:pPr>
    </w:p>
    <w:bookmarkStart w:id="700" w:name="page701"/>
    <w:bookmarkEnd w:id="700"/>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Abingworth Bioventures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of Holder)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James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James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3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38 Jermyn Street</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UK SW1Y6DN</w:t>
      </w:r>
    </w:p>
    <w:p>
      <w:pPr>
        <w:spacing w:after="0" w:line="23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Phone:  +44 207 534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-19050</wp:posOffset>
            </wp:positionV>
            <wp:extent cx="239839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7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legal@abingworth.com</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ectPr>
          <w:pgSz w:w="11900" w:h="16838" w:orient="portrait"/>
          <w:cols w:equalWidth="0" w:num="1">
            <w:col w:w="10900"/>
          </w:cols>
          <w:pgMar w:left="460" w:top="270" w:right="539" w:bottom="1440" w:gutter="0" w:footer="0" w:header="0"/>
        </w:sectPr>
      </w:pPr>
    </w:p>
    <w:bookmarkStart w:id="701" w:name="page702"/>
    <w:bookmarkEnd w:id="701"/>
    <w:p>
      <w:pPr>
        <w:ind w:right="40"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Amendment to Convertible Promissory Notes to be effective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Lightspeed Venture Partners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Lightspeed General Partner VIII, L.P.,</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10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tab/>
        <w:t>Lightspeed Ultimate General Partner VIII, Ltd.,</w:t>
      </w:r>
    </w:p>
    <w:p>
      <w:pPr>
        <w:spacing w:after="0" w:line="3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2200 Sand Hill Road, Suite 100</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Menlo Park, CA 94025</w:t>
      </w:r>
    </w:p>
    <w:p>
      <w:pPr>
        <w:spacing w:after="0" w:line="210"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auto"/>
        </w:rPr>
        <w:t>650-561-0700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650-234-8333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cschaepe@lsvp.com</w:t>
      </w:r>
    </w:p>
    <w:p>
      <w:pPr>
        <w:spacing w:after="0" w:line="22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Lightspeed Venture Partners Select, L.P.</w:t>
      </w:r>
    </w:p>
    <w:p>
      <w:pPr>
        <w:spacing w:after="0" w:line="2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Lightspeed General Partner Select, L.P.,</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102" w:lineRule="exact"/>
        <w:rPr>
          <w:sz w:val="20"/>
          <w:szCs w:val="20"/>
          <w:color w:val="auto"/>
        </w:rPr>
      </w:pPr>
    </w:p>
    <w:p>
      <w:pPr>
        <w:jc w:val="both"/>
        <w:ind w:left="6860"/>
        <w:spacing w:after="0"/>
        <w:tabs>
          <w:tab w:leader="none" w:pos="7340" w:val="left"/>
        </w:tabs>
        <w:rPr>
          <w:sz w:val="20"/>
          <w:szCs w:val="20"/>
          <w:color w:val="auto"/>
        </w:rPr>
      </w:pPr>
      <w:r>
        <w:rPr>
          <w:rFonts w:ascii="Arial" w:cs="Arial" w:eastAsia="Arial" w:hAnsi="Arial"/>
          <w:sz w:val="18"/>
          <w:szCs w:val="18"/>
          <w:color w:val="auto"/>
        </w:rPr>
        <w:t>By:</w:t>
        <w:tab/>
        <w:t>Lightspeed Ultimate General Partner Select, Ltd.,</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Christopher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 of Holder or of Authorized Signatory)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Christopher Schaepe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 And Title Of Authorized Signatory, If</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Applicable)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2200 Sand Hill Road, Suite 100</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Menlo Park, CA 94025</w:t>
      </w:r>
    </w:p>
    <w:p>
      <w:pPr>
        <w:spacing w:after="0" w:line="210"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Phone:</w:t>
        <w:tab/>
        <w:t>650-561-0700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650-234-8333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6"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cschaepe@lsvp.com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ectPr>
          <w:pgSz w:w="11900" w:h="16838" w:orient="portrait"/>
          <w:cols w:equalWidth="0" w:num="1">
            <w:col w:w="10920"/>
          </w:cols>
          <w:pgMar w:left="460" w:top="270" w:right="519" w:bottom="1440" w:gutter="0" w:footer="0" w:header="0"/>
        </w:sectPr>
      </w:pPr>
    </w:p>
    <w:bookmarkStart w:id="702" w:name="page703"/>
    <w:bookmarkEnd w:id="702"/>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read the section entitled “Changes in Independent Registered Public Accounting Firm” in the Registration Statement on Form S-1 of Personalis, Inc. (the “Company”) and agree with paragraph 1 in this section, except that we are not in a position to agree or disagree with the Company’s statement regarding the engagement of Deloitte &amp; Touche LLP in paragraph 1. We have no basis to agree or disagree with other statements of the Company contained therein.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ectPr>
          <w:pgSz w:w="11900" w:h="16838" w:orient="portrait"/>
          <w:cols w:equalWidth="0" w:num="1">
            <w:col w:w="11000"/>
          </w:cols>
          <w:pgMar w:left="460" w:top="123" w:right="439" w:bottom="1440" w:gutter="0" w:footer="0" w:header="0"/>
        </w:sectPr>
      </w:pPr>
    </w:p>
    <w:bookmarkStart w:id="703" w:name="page704"/>
    <w:bookmarkEnd w:id="70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PERSONALIS,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00"/>
          </w:cols>
          <w:pgMar w:left="460" w:top="122" w:right="439" w:bottom="1440" w:gutter="0" w:footer="0" w:header="0"/>
        </w:sectPr>
      </w:pPr>
    </w:p>
    <w:bookmarkStart w:id="704" w:name="page705"/>
    <w:bookmarkEnd w:id="7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consent to the use in this Registration Statement on Form S-1 of our report dated March 27, 2019 relating to the consolidated financial statements of Personalis, Inc. and subsidiary appearing in the Prospectus, which is part of this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headings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2019</w:t>
      </w:r>
    </w:p>
    <w:sectPr>
      <w:pgSz w:w="11900" w:h="16838" w:orient="portrait"/>
      <w:cols w:equalWidth="0" w:num="1">
        <w:col w:w="11000"/>
      </w:cols>
      <w:pgMar w:left="46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896198"/>
    <w:multiLevelType w:val="hybridMultilevel"/>
    <w:lvl w:ilvl="0">
      <w:lvlJc w:val="left"/>
      <w:lvlText w:val="(%1)"/>
      <w:numFmt w:val="decimal"/>
      <w:start w:val="1"/>
    </w:lvl>
  </w:abstractNum>
  <w:abstractNum w:abstractNumId="1">
    <w:nsid w:val="4365174B"/>
    <w:multiLevelType w:val="hybridMultilevel"/>
    <w:lvl w:ilvl="0">
      <w:lvlJc w:val="left"/>
      <w:lvlText w:val="(%1)"/>
      <w:numFmt w:val="decimal"/>
      <w:start w:val="1"/>
    </w:lvl>
  </w:abstractNum>
  <w:abstractNum w:abstractNumId="2">
    <w:nsid w:val="4A872C35"/>
    <w:multiLevelType w:val="hybridMultilevel"/>
    <w:lvl w:ilvl="0">
      <w:lvlJc w:val="left"/>
      <w:lvlText w:val="•"/>
      <w:numFmt w:val="bullet"/>
      <w:start w:val="1"/>
    </w:lvl>
  </w:abstractNum>
  <w:abstractNum w:abstractNumId="3">
    <w:nsid w:val="5D5CE761"/>
    <w:multiLevelType w:val="hybridMultilevel"/>
    <w:lvl w:ilvl="0">
      <w:lvlJc w:val="left"/>
      <w:lvlText w:val="•"/>
      <w:numFmt w:val="bullet"/>
      <w:start w:val="1"/>
    </w:lvl>
  </w:abstractNum>
  <w:abstractNum w:abstractNumId="4">
    <w:nsid w:val="1CD484D5"/>
    <w:multiLevelType w:val="hybridMultilevel"/>
    <w:lvl w:ilvl="0">
      <w:lvlJc w:val="left"/>
      <w:lvlText w:val="•"/>
      <w:numFmt w:val="bullet"/>
      <w:start w:val="1"/>
    </w:lvl>
  </w:abstractNum>
  <w:abstractNum w:abstractNumId="5">
    <w:nsid w:val="21D06255"/>
    <w:multiLevelType w:val="hybridMultilevel"/>
    <w:lvl w:ilvl="0">
      <w:lvlJc w:val="left"/>
      <w:lvlText w:val="•"/>
      <w:numFmt w:val="bullet"/>
      <w:start w:val="1"/>
    </w:lvl>
  </w:abstractNum>
  <w:abstractNum w:abstractNumId="6">
    <w:nsid w:val="51194ED1"/>
    <w:multiLevelType w:val="hybridMultilevel"/>
    <w:lvl w:ilvl="0">
      <w:lvlJc w:val="left"/>
      <w:lvlText w:val="•"/>
      <w:numFmt w:val="bullet"/>
      <w:start w:val="1"/>
    </w:lvl>
  </w:abstractNum>
  <w:abstractNum w:abstractNumId="7">
    <w:nsid w:val="44E2ED6C"/>
    <w:multiLevelType w:val="hybridMultilevel"/>
    <w:lvl w:ilvl="0">
      <w:lvlJc w:val="left"/>
      <w:lvlText w:val="•"/>
      <w:numFmt w:val="bullet"/>
      <w:start w:val="1"/>
    </w:lvl>
  </w:abstractNum>
  <w:abstractNum w:abstractNumId="8">
    <w:nsid w:val="2219B33"/>
    <w:multiLevelType w:val="hybridMultilevel"/>
    <w:lvl w:ilvl="0">
      <w:lvlJc w:val="left"/>
      <w:lvlText w:val="•"/>
      <w:numFmt w:val="bullet"/>
      <w:start w:val="1"/>
    </w:lvl>
  </w:abstractNum>
  <w:abstractNum w:abstractNumId="9">
    <w:nsid w:val="773BFBDD"/>
    <w:multiLevelType w:val="hybridMultilevel"/>
    <w:lvl w:ilvl="0">
      <w:lvlJc w:val="left"/>
      <w:lvlText w:val="(%1)"/>
      <w:numFmt w:val="lowerRoman"/>
      <w:start w:val="3"/>
    </w:lvl>
  </w:abstractNum>
  <w:abstractNum w:abstractNumId="10">
    <w:nsid w:val="2C7C62C2"/>
    <w:multiLevelType w:val="hybridMultilevel"/>
    <w:lvl w:ilvl="0">
      <w:lvlJc w:val="left"/>
      <w:lvlText w:val="•"/>
      <w:numFmt w:val="bullet"/>
      <w:start w:val="1"/>
    </w:lvl>
  </w:abstractNum>
  <w:abstractNum w:abstractNumId="11">
    <w:nsid w:val="1A54D7BC"/>
    <w:multiLevelType w:val="hybridMultilevel"/>
    <w:lvl w:ilvl="0">
      <w:lvlJc w:val="left"/>
      <w:lvlText w:val="•"/>
      <w:numFmt w:val="bullet"/>
      <w:start w:val="1"/>
    </w:lvl>
  </w:abstractNum>
  <w:abstractNum w:abstractNumId="12">
    <w:nsid w:val="42E57EF7"/>
    <w:multiLevelType w:val="hybridMultilevel"/>
    <w:lvl w:ilvl="0">
      <w:lvlJc w:val="left"/>
      <w:lvlText w:val="•"/>
      <w:numFmt w:val="bullet"/>
      <w:start w:val="1"/>
    </w:lvl>
  </w:abstractNum>
  <w:abstractNum w:abstractNumId="13">
    <w:nsid w:val="33537CED"/>
    <w:multiLevelType w:val="hybridMultilevel"/>
    <w:lvl w:ilvl="0">
      <w:lvlJc w:val="left"/>
      <w:lvlText w:val="•"/>
      <w:numFmt w:val="bullet"/>
      <w:start w:val="1"/>
    </w:lvl>
  </w:abstractNum>
  <w:abstractNum w:abstractNumId="14">
    <w:nsid w:val="27514ADE"/>
    <w:multiLevelType w:val="hybridMultilevel"/>
    <w:lvl w:ilvl="0">
      <w:lvlJc w:val="left"/>
      <w:lvlText w:val="(%1)"/>
      <w:numFmt w:val="decimal"/>
      <w:start w:val="2"/>
    </w:lvl>
  </w:abstractNum>
  <w:abstractNum w:abstractNumId="15">
    <w:nsid w:val="57071613"/>
    <w:multiLevelType w:val="hybridMultilevel"/>
    <w:lvl w:ilvl="0">
      <w:lvlJc w:val="left"/>
      <w:lvlText w:val="(%1)"/>
      <w:numFmt w:val="decimal"/>
      <w:start w:val="1"/>
    </w:lvl>
  </w:abstractNum>
  <w:abstractNum w:abstractNumId="16">
    <w:nsid w:val="5293BFEF"/>
    <w:multiLevelType w:val="hybridMultilevel"/>
    <w:lvl w:ilvl="0">
      <w:lvlJc w:val="left"/>
      <w:lvlText w:val="(%1)"/>
      <w:numFmt w:val="decimal"/>
      <w:start w:val="3"/>
    </w:lvl>
  </w:abstractNum>
  <w:abstractNum w:abstractNumId="17">
    <w:nsid w:val="38BF53E5"/>
    <w:multiLevelType w:val="hybridMultilevel"/>
    <w:lvl w:ilvl="0">
      <w:lvlJc w:val="left"/>
      <w:lvlText w:val="(%1)"/>
      <w:numFmt w:val="decimal"/>
      <w:start w:val="4"/>
    </w:lvl>
  </w:abstractNum>
  <w:abstractNum w:abstractNumId="18">
    <w:nsid w:val="226F5320"/>
    <w:multiLevelType w:val="hybridMultilevel"/>
    <w:lvl w:ilvl="0">
      <w:lvlJc w:val="left"/>
      <w:lvlText w:val="•"/>
      <w:numFmt w:val="bullet"/>
      <w:start w:val="1"/>
    </w:lvl>
  </w:abstractNum>
  <w:abstractNum w:abstractNumId="19">
    <w:nsid w:val="5A0201C7"/>
    <w:multiLevelType w:val="hybridMultilevel"/>
    <w:lvl w:ilvl="0">
      <w:lvlJc w:val="left"/>
      <w:lvlText w:val="•"/>
      <w:numFmt w:val="bullet"/>
      <w:start w:val="1"/>
    </w:lvl>
  </w:abstractNum>
  <w:abstractNum w:abstractNumId="20">
    <w:nsid w:val="2A9C34E2"/>
    <w:multiLevelType w:val="hybridMultilevel"/>
    <w:lvl w:ilvl="0">
      <w:lvlJc w:val="left"/>
      <w:lvlText w:val="•"/>
      <w:numFmt w:val="bullet"/>
      <w:start w:val="1"/>
    </w:lvl>
  </w:abstractNum>
  <w:abstractNum w:abstractNumId="21">
    <w:nsid w:val="1B7585AB"/>
    <w:multiLevelType w:val="hybridMultilevel"/>
    <w:lvl w:ilvl="0">
      <w:lvlJc w:val="left"/>
      <w:lvlText w:val="•"/>
      <w:numFmt w:val="bullet"/>
      <w:start w:val="1"/>
    </w:lvl>
  </w:abstractNum>
  <w:abstractNum w:abstractNumId="22">
    <w:nsid w:val="612DBDDD"/>
    <w:multiLevelType w:val="hybridMultilevel"/>
    <w:lvl w:ilvl="0">
      <w:lvlJc w:val="left"/>
      <w:lvlText w:val="•"/>
      <w:numFmt w:val="bullet"/>
      <w:start w:val="1"/>
    </w:lvl>
  </w:abstractNum>
  <w:abstractNum w:abstractNumId="23">
    <w:nsid w:val="2109CDA4"/>
    <w:multiLevelType w:val="hybridMultilevel"/>
    <w:lvl w:ilvl="0">
      <w:lvlJc w:val="left"/>
      <w:lvlText w:val="•"/>
      <w:numFmt w:val="bullet"/>
      <w:start w:val="1"/>
    </w:lvl>
  </w:abstractNum>
  <w:abstractNum w:abstractNumId="24">
    <w:nsid w:val="577F5A4D"/>
    <w:multiLevelType w:val="hybridMultilevel"/>
    <w:lvl w:ilvl="0">
      <w:lvlJc w:val="left"/>
      <w:lvlText w:val="•"/>
      <w:numFmt w:val="bullet"/>
      <w:start w:val="1"/>
    </w:lvl>
  </w:abstractNum>
  <w:abstractNum w:abstractNumId="25">
    <w:nsid w:val="2121A81"/>
    <w:multiLevelType w:val="hybridMultilevel"/>
    <w:lvl w:ilvl="0">
      <w:lvlJc w:val="left"/>
      <w:lvlText w:val="•"/>
      <w:numFmt w:val="bullet"/>
      <w:start w:val="1"/>
    </w:lvl>
  </w:abstractNum>
  <w:abstractNum w:abstractNumId="26">
    <w:nsid w:val="6C2CFC88"/>
    <w:multiLevelType w:val="hybridMultilevel"/>
    <w:lvl w:ilvl="0">
      <w:lvlJc w:val="left"/>
      <w:lvlText w:val="•"/>
      <w:numFmt w:val="bullet"/>
      <w:start w:val="1"/>
    </w:lvl>
  </w:abstractNum>
  <w:abstractNum w:abstractNumId="27">
    <w:nsid w:val="6D1BCF1C"/>
    <w:multiLevelType w:val="hybridMultilevel"/>
    <w:lvl w:ilvl="0">
      <w:lvlJc w:val="left"/>
      <w:lvlText w:val="•"/>
      <w:numFmt w:val="bullet"/>
      <w:start w:val="1"/>
    </w:lvl>
  </w:abstractNum>
  <w:abstractNum w:abstractNumId="28">
    <w:nsid w:val="4CE5CA53"/>
    <w:multiLevelType w:val="hybridMultilevel"/>
    <w:lvl w:ilvl="0">
      <w:lvlJc w:val="left"/>
      <w:lvlText w:val="•"/>
      <w:numFmt w:val="bullet"/>
      <w:start w:val="1"/>
    </w:lvl>
  </w:abstractNum>
  <w:abstractNum w:abstractNumId="29">
    <w:nsid w:val="29262D1A"/>
    <w:multiLevelType w:val="hybridMultilevel"/>
    <w:lvl w:ilvl="0">
      <w:lvlJc w:val="left"/>
      <w:lvlText w:val="•"/>
      <w:numFmt w:val="bullet"/>
      <w:start w:val="1"/>
    </w:lvl>
  </w:abstractNum>
  <w:abstractNum w:abstractNumId="30">
    <w:nsid w:val="557FB7EE"/>
    <w:multiLevelType w:val="hybridMultilevel"/>
    <w:lvl w:ilvl="0">
      <w:lvlJc w:val="left"/>
      <w:lvlText w:val="•"/>
      <w:numFmt w:val="bullet"/>
      <w:start w:val="1"/>
    </w:lvl>
  </w:abstractNum>
  <w:abstractNum w:abstractNumId="31">
    <w:nsid w:val="436F2BEB"/>
    <w:multiLevelType w:val="hybridMultilevel"/>
    <w:lvl w:ilvl="0">
      <w:lvlJc w:val="left"/>
      <w:lvlText w:val="•"/>
      <w:numFmt w:val="bullet"/>
      <w:start w:val="1"/>
    </w:lvl>
  </w:abstractNum>
  <w:abstractNum w:abstractNumId="32">
    <w:nsid w:val="6C8B4466"/>
    <w:multiLevelType w:val="hybridMultilevel"/>
    <w:lvl w:ilvl="0">
      <w:lvlJc w:val="left"/>
      <w:lvlText w:val="•"/>
      <w:numFmt w:val="bullet"/>
      <w:start w:val="1"/>
    </w:lvl>
  </w:abstractNum>
  <w:abstractNum w:abstractNumId="33">
    <w:nsid w:val="2006E424"/>
    <w:multiLevelType w:val="hybridMultilevel"/>
    <w:lvl w:ilvl="0">
      <w:lvlJc w:val="left"/>
      <w:lvlText w:val="$"/>
      <w:numFmt w:val="bullet"/>
      <w:start w:val="1"/>
    </w:lvl>
  </w:abstractNum>
  <w:abstractNum w:abstractNumId="34">
    <w:nsid w:val="20CC134C"/>
    <w:multiLevelType w:val="hybridMultilevel"/>
    <w:lvl w:ilvl="0">
      <w:lvlJc w:val="left"/>
      <w:lvlText w:val="•"/>
      <w:numFmt w:val="bullet"/>
      <w:start w:val="1"/>
    </w:lvl>
  </w:abstractNum>
  <w:abstractNum w:abstractNumId="35">
    <w:nsid w:val="95FC93B"/>
    <w:multiLevelType w:val="hybridMultilevel"/>
    <w:lvl w:ilvl="0">
      <w:lvlJc w:val="left"/>
      <w:lvlText w:val="$"/>
      <w:numFmt w:val="bullet"/>
      <w:start w:val="1"/>
    </w:lvl>
  </w:abstractNum>
  <w:abstractNum w:abstractNumId="36">
    <w:nsid w:val="41D74679"/>
    <w:multiLevelType w:val="hybridMultilevel"/>
    <w:lvl w:ilvl="0">
      <w:lvlJc w:val="left"/>
      <w:lvlText w:val="•"/>
      <w:numFmt w:val="bullet"/>
      <w:start w:val="1"/>
    </w:lvl>
  </w:abstractNum>
  <w:abstractNum w:abstractNumId="37">
    <w:nsid w:val="71E5621E"/>
    <w:multiLevelType w:val="hybridMultilevel"/>
    <w:lvl w:ilvl="0">
      <w:lvlJc w:val="left"/>
      <w:lvlText w:val="$"/>
      <w:numFmt w:val="bullet"/>
      <w:start w:val="1"/>
    </w:lvl>
  </w:abstractNum>
  <w:abstractNum w:abstractNumId="38">
    <w:nsid w:val="4E42B6A8"/>
    <w:multiLevelType w:val="hybridMultilevel"/>
    <w:lvl w:ilvl="0">
      <w:lvlJc w:val="left"/>
      <w:lvlText w:val="•"/>
      <w:numFmt w:val="bullet"/>
      <w:start w:val="1"/>
    </w:lvl>
  </w:abstractNum>
  <w:abstractNum w:abstractNumId="39">
    <w:nsid w:val="43F8E1AC"/>
    <w:multiLevelType w:val="hybridMultilevel"/>
    <w:lvl w:ilvl="0">
      <w:lvlJc w:val="left"/>
      <w:lvlText w:val="(%1)"/>
      <w:numFmt w:val="decimal"/>
      <w:start w:val="1"/>
    </w:lvl>
  </w:abstractNum>
  <w:abstractNum w:abstractNumId="40">
    <w:nsid w:val="69215DFB"/>
    <w:multiLevelType w:val="hybridMultilevel"/>
    <w:lvl w:ilvl="0">
      <w:lvlJc w:val="left"/>
      <w:lvlText w:val="(%1)"/>
      <w:numFmt w:val="decimal"/>
      <w:start w:val="2"/>
    </w:lvl>
  </w:abstractNum>
  <w:abstractNum w:abstractNumId="41">
    <w:nsid w:val="7ABF196A"/>
    <w:multiLevelType w:val="hybridMultilevel"/>
    <w:lvl w:ilvl="0">
      <w:lvlJc w:val="left"/>
      <w:lvlText w:val="(%1)"/>
      <w:numFmt w:val="decimal"/>
      <w:start w:val="1"/>
    </w:lvl>
  </w:abstractNum>
  <w:abstractNum w:abstractNumId="42">
    <w:nsid w:val="5E4DB968"/>
    <w:multiLevelType w:val="hybridMultilevel"/>
    <w:lvl w:ilvl="0">
      <w:lvlJc w:val="left"/>
      <w:lvlText w:val="•"/>
      <w:numFmt w:val="bullet"/>
      <w:start w:val="1"/>
    </w:lvl>
  </w:abstractNum>
  <w:abstractNum w:abstractNumId="43">
    <w:nsid w:val="2C06DCF3"/>
    <w:multiLevelType w:val="hybridMultilevel"/>
    <w:lvl w:ilvl="0">
      <w:lvlJc w:val="left"/>
      <w:lvlText w:val="•"/>
      <w:numFmt w:val="bullet"/>
      <w:start w:val="1"/>
    </w:lvl>
  </w:abstractNum>
  <w:abstractNum w:abstractNumId="44">
    <w:nsid w:val="2E129658"/>
    <w:multiLevelType w:val="hybridMultilevel"/>
    <w:lvl w:ilvl="0">
      <w:lvlJc w:val="left"/>
      <w:lvlText w:val="*"/>
      <w:numFmt w:val="bullet"/>
      <w:start w:val="1"/>
    </w:lvl>
  </w:abstractNum>
  <w:abstractNum w:abstractNumId="45">
    <w:nsid w:val="59F0446"/>
    <w:multiLevelType w:val="hybridMultilevel"/>
    <w:lvl w:ilvl="0">
      <w:lvlJc w:val="left"/>
      <w:lvlText w:val="*"/>
      <w:numFmt w:val="bullet"/>
      <w:start w:val="1"/>
    </w:lvl>
  </w:abstractNum>
  <w:abstractNum w:abstractNumId="46">
    <w:nsid w:val="30DF306"/>
    <w:multiLevelType w:val="hybridMultilevel"/>
    <w:lvl w:ilvl="0">
      <w:lvlJc w:val="left"/>
      <w:lvlText w:val="(%1)"/>
      <w:numFmt w:val="decimal"/>
      <w:start w:val="1"/>
    </w:lvl>
  </w:abstractNum>
  <w:abstractNum w:abstractNumId="47">
    <w:nsid w:val="A65647"/>
    <w:multiLevelType w:val="hybridMultilevel"/>
    <w:lvl w:ilvl="0">
      <w:lvlJc w:val="left"/>
      <w:lvlText w:val="•"/>
      <w:numFmt w:val="bullet"/>
      <w:start w:val="1"/>
    </w:lvl>
  </w:abstractNum>
  <w:abstractNum w:abstractNumId="48">
    <w:nsid w:val="3E5E582B"/>
    <w:multiLevelType w:val="hybridMultilevel"/>
    <w:lvl w:ilvl="0">
      <w:lvlJc w:val="left"/>
      <w:lvlText w:val="•"/>
      <w:numFmt w:val="bullet"/>
      <w:start w:val="1"/>
    </w:lvl>
  </w:abstractNum>
  <w:abstractNum w:abstractNumId="49">
    <w:nsid w:val="257D4626"/>
    <w:multiLevelType w:val="hybridMultilevel"/>
    <w:lvl w:ilvl="0">
      <w:lvlJc w:val="left"/>
      <w:lvlText w:val="•"/>
      <w:numFmt w:val="bullet"/>
      <w:start w:val="1"/>
    </w:lvl>
  </w:abstractNum>
  <w:abstractNum w:abstractNumId="50">
    <w:nsid w:val="5AA8580E"/>
    <w:multiLevelType w:val="hybridMultilevel"/>
    <w:lvl w:ilvl="0">
      <w:lvlJc w:val="left"/>
      <w:lvlText w:val="•"/>
      <w:numFmt w:val="bullet"/>
      <w:start w:val="1"/>
    </w:lvl>
  </w:abstractNum>
  <w:abstractNum w:abstractNumId="51">
    <w:nsid w:val="68FA8D0D"/>
    <w:multiLevelType w:val="hybridMultilevel"/>
    <w:lvl w:ilvl="0">
      <w:lvlJc w:val="left"/>
      <w:lvlText w:val="•"/>
      <w:numFmt w:val="bullet"/>
      <w:start w:val="1"/>
    </w:lvl>
  </w:abstractNum>
  <w:abstractNum w:abstractNumId="52">
    <w:nsid w:val="40F2CBD2"/>
    <w:multiLevelType w:val="hybridMultilevel"/>
    <w:lvl w:ilvl="0">
      <w:lvlJc w:val="left"/>
      <w:lvlText w:val="•"/>
      <w:numFmt w:val="bullet"/>
      <w:start w:val="1"/>
    </w:lvl>
  </w:abstractNum>
  <w:abstractNum w:abstractNumId="53">
    <w:nsid w:val="3BD615EB"/>
    <w:multiLevelType w:val="hybridMultilevel"/>
    <w:lvl w:ilvl="0">
      <w:lvlJc w:val="left"/>
      <w:lvlText w:val="•"/>
      <w:numFmt w:val="bullet"/>
      <w:start w:val="1"/>
    </w:lvl>
  </w:abstractNum>
  <w:abstractNum w:abstractNumId="54">
    <w:nsid w:val="A045AB2"/>
    <w:multiLevelType w:val="hybridMultilevel"/>
    <w:lvl w:ilvl="0">
      <w:lvlJc w:val="left"/>
      <w:lvlText w:val="•"/>
      <w:numFmt w:val="bullet"/>
      <w:start w:val="1"/>
    </w:lvl>
  </w:abstractNum>
  <w:abstractNum w:abstractNumId="55">
    <w:nsid w:val="1872261F"/>
    <w:multiLevelType w:val="hybridMultilevel"/>
    <w:lvl w:ilvl="0">
      <w:lvlJc w:val="left"/>
      <w:lvlText w:val="•"/>
      <w:numFmt w:val="bullet"/>
      <w:start w:val="1"/>
    </w:lvl>
  </w:abstractNum>
  <w:abstractNum w:abstractNumId="56">
    <w:nsid w:val="3DE8306C"/>
    <w:multiLevelType w:val="hybridMultilevel"/>
    <w:lvl w:ilvl="0">
      <w:lvlJc w:val="left"/>
      <w:lvlText w:val="•"/>
      <w:numFmt w:val="bullet"/>
      <w:start w:val="1"/>
    </w:lvl>
  </w:abstractNum>
  <w:abstractNum w:abstractNumId="57">
    <w:nsid w:val="7631573A"/>
    <w:multiLevelType w:val="hybridMultilevel"/>
    <w:lvl w:ilvl="0">
      <w:lvlJc w:val="left"/>
      <w:lvlText w:val="•"/>
      <w:numFmt w:val="bullet"/>
      <w:start w:val="1"/>
    </w:lvl>
  </w:abstractNum>
  <w:abstractNum w:abstractNumId="58">
    <w:nsid w:val="58DF53B"/>
    <w:multiLevelType w:val="hybridMultilevel"/>
    <w:lvl w:ilvl="0">
      <w:lvlJc w:val="left"/>
      <w:lvlText w:val="•"/>
      <w:numFmt w:val="bullet"/>
      <w:start w:val="1"/>
    </w:lvl>
  </w:abstractNum>
  <w:abstractNum w:abstractNumId="59">
    <w:nsid w:val="ACDFAC0"/>
    <w:multiLevelType w:val="hybridMultilevel"/>
    <w:lvl w:ilvl="0">
      <w:lvlJc w:val="left"/>
      <w:lvlText w:val="•"/>
      <w:numFmt w:val="bullet"/>
      <w:start w:val="1"/>
    </w:lvl>
  </w:abstractNum>
  <w:abstractNum w:abstractNumId="60">
    <w:nsid w:val="1F578454"/>
    <w:multiLevelType w:val="hybridMultilevel"/>
    <w:lvl w:ilvl="0">
      <w:lvlJc w:val="left"/>
      <w:lvlText w:val="•"/>
      <w:numFmt w:val="bullet"/>
      <w:start w:val="1"/>
    </w:lvl>
  </w:abstractNum>
  <w:abstractNum w:abstractNumId="61">
    <w:nsid w:val="5B0DAD2A"/>
    <w:multiLevelType w:val="hybridMultilevel"/>
    <w:lvl w:ilvl="0">
      <w:lvlJc w:val="left"/>
      <w:lvlText w:val="•"/>
      <w:numFmt w:val="bullet"/>
      <w:start w:val="1"/>
    </w:lvl>
  </w:abstractNum>
  <w:abstractNum w:abstractNumId="62">
    <w:nsid w:val="4E3D26AB"/>
    <w:multiLevelType w:val="hybridMultilevel"/>
    <w:lvl w:ilvl="0">
      <w:lvlJc w:val="left"/>
      <w:lvlText w:val="•"/>
      <w:numFmt w:val="bullet"/>
      <w:start w:val="1"/>
    </w:lvl>
  </w:abstractNum>
  <w:abstractNum w:abstractNumId="63">
    <w:nsid w:val="BE2C8BA"/>
    <w:multiLevelType w:val="hybridMultilevel"/>
    <w:lvl w:ilvl="0">
      <w:lvlJc w:val="left"/>
      <w:lvlText w:val="•"/>
      <w:numFmt w:val="bullet"/>
      <w:start w:val="1"/>
    </w:lvl>
  </w:abstractNum>
  <w:abstractNum w:abstractNumId="64">
    <w:nsid w:val="7B14914E"/>
    <w:multiLevelType w:val="hybridMultilevel"/>
    <w:lvl w:ilvl="0">
      <w:lvlJc w:val="left"/>
      <w:lvlText w:val="(%1)"/>
      <w:numFmt w:val="decimal"/>
      <w:start w:val="1"/>
    </w:lvl>
  </w:abstractNum>
  <w:abstractNum w:abstractNumId="65">
    <w:nsid w:val="6F0939F8"/>
    <w:multiLevelType w:val="hybridMultilevel"/>
    <w:lvl w:ilvl="0">
      <w:lvlJc w:val="left"/>
      <w:lvlText w:val="•"/>
      <w:numFmt w:val="bullet"/>
      <w:start w:val="1"/>
    </w:lvl>
  </w:abstractNum>
  <w:abstractNum w:abstractNumId="66">
    <w:nsid w:val="154291F6"/>
    <w:multiLevelType w:val="hybridMultilevel"/>
    <w:lvl w:ilvl="0">
      <w:lvlJc w:val="left"/>
      <w:lvlText w:val="•"/>
      <w:numFmt w:val="bullet"/>
      <w:start w:val="1"/>
    </w:lvl>
  </w:abstractNum>
  <w:abstractNum w:abstractNumId="67">
    <w:nsid w:val="3CEBD7C7"/>
    <w:multiLevelType w:val="hybridMultilevel"/>
    <w:lvl w:ilvl="0">
      <w:lvlJc w:val="left"/>
      <w:lvlText w:val="•"/>
      <w:numFmt w:val="bullet"/>
      <w:start w:val="1"/>
    </w:lvl>
  </w:abstractNum>
  <w:abstractNum w:abstractNumId="68">
    <w:nsid w:val="60EE9C16"/>
    <w:multiLevelType w:val="hybridMultilevel"/>
    <w:lvl w:ilvl="0">
      <w:lvlJc w:val="left"/>
      <w:lvlText w:val="•"/>
      <w:numFmt w:val="bullet"/>
      <w:start w:val="1"/>
    </w:lvl>
  </w:abstractNum>
  <w:abstractNum w:abstractNumId="69">
    <w:nsid w:val="6385489E"/>
    <w:multiLevelType w:val="hybridMultilevel"/>
    <w:lvl w:ilvl="0">
      <w:lvlJc w:val="left"/>
      <w:lvlText w:val="•"/>
      <w:numFmt w:val="bullet"/>
      <w:start w:val="1"/>
    </w:lvl>
  </w:abstractNum>
  <w:abstractNum w:abstractNumId="70">
    <w:nsid w:val="E4B973"/>
    <w:multiLevelType w:val="hybridMultilevel"/>
    <w:lvl w:ilvl="0">
      <w:lvlJc w:val="left"/>
      <w:lvlText w:val="•"/>
      <w:numFmt w:val="bullet"/>
      <w:start w:val="1"/>
    </w:lvl>
  </w:abstractNum>
  <w:abstractNum w:abstractNumId="71">
    <w:nsid w:val="4A0FFA11"/>
    <w:multiLevelType w:val="hybridMultilevel"/>
    <w:lvl w:ilvl="0">
      <w:lvlJc w:val="left"/>
      <w:lvlText w:val="(%1)"/>
      <w:numFmt w:val="decimal"/>
      <w:start w:val="1"/>
    </w:lvl>
  </w:abstractNum>
  <w:abstractNum w:abstractNumId="72">
    <w:nsid w:val="5E446208"/>
    <w:multiLevelType w:val="hybridMultilevel"/>
    <w:lvl w:ilvl="0">
      <w:lvlJc w:val="left"/>
      <w:lvlText w:val="•"/>
      <w:numFmt w:val="bullet"/>
      <w:start w:val="1"/>
    </w:lvl>
  </w:abstractNum>
  <w:abstractNum w:abstractNumId="73">
    <w:nsid w:val="5F3272DB"/>
    <w:multiLevelType w:val="hybridMultilevel"/>
    <w:lvl w:ilvl="0">
      <w:lvlJc w:val="left"/>
      <w:lvlText w:val="(%1)"/>
      <w:numFmt w:val="decimal"/>
      <w:start w:val="1"/>
    </w:lvl>
  </w:abstractNum>
  <w:abstractNum w:abstractNumId="74">
    <w:nsid w:val="7616D704"/>
    <w:multiLevelType w:val="hybridMultilevel"/>
    <w:lvl w:ilvl="0">
      <w:lvlJc w:val="left"/>
      <w:lvlText w:val="(%1)"/>
      <w:numFmt w:val="decimal"/>
      <w:start w:val="1"/>
    </w:lvl>
  </w:abstractNum>
  <w:abstractNum w:abstractNumId="75">
    <w:nsid w:val="C56F860"/>
    <w:multiLevelType w:val="hybridMultilevel"/>
    <w:lvl w:ilvl="0">
      <w:lvlJc w:val="left"/>
      <w:lvlText w:val="(%1)"/>
      <w:numFmt w:val="decimal"/>
      <w:start w:val="8"/>
    </w:lvl>
  </w:abstractNum>
  <w:abstractNum w:abstractNumId="76">
    <w:nsid w:val="64D17722"/>
    <w:multiLevelType w:val="hybridMultilevel"/>
    <w:lvl w:ilvl="0">
      <w:lvlJc w:val="left"/>
      <w:lvlText w:val="(%1)"/>
      <w:numFmt w:val="decimal"/>
      <w:start w:val="1"/>
    </w:lvl>
  </w:abstractNum>
  <w:abstractNum w:abstractNumId="77">
    <w:nsid w:val="7924CA0A"/>
    <w:multiLevelType w:val="hybridMultilevel"/>
    <w:lvl w:ilvl="0">
      <w:lvlJc w:val="left"/>
      <w:lvlText w:val="(%1)"/>
      <w:numFmt w:val="decimal"/>
      <w:start w:val="3"/>
    </w:lvl>
  </w:abstractNum>
  <w:abstractNum w:abstractNumId="78">
    <w:nsid w:val="CFD4EA7"/>
    <w:multiLevelType w:val="hybridMultilevel"/>
    <w:lvl w:ilvl="0">
      <w:lvlJc w:val="left"/>
      <w:lvlText w:val="(%1)"/>
      <w:numFmt w:val="decimal"/>
      <w:start w:val="6"/>
    </w:lvl>
  </w:abstractNum>
  <w:abstractNum w:abstractNumId="79">
    <w:nsid w:val="232FCF4D"/>
    <w:multiLevelType w:val="hybridMultilevel"/>
    <w:lvl w:ilvl="0">
      <w:lvlJc w:val="left"/>
      <w:lvlText w:val="(%1)"/>
      <w:numFmt w:val="decimal"/>
      <w:start w:val="30"/>
    </w:lvl>
  </w:abstractNum>
  <w:abstractNum w:abstractNumId="80">
    <w:nsid w:val="1EA21031"/>
    <w:multiLevelType w:val="hybridMultilevel"/>
    <w:lvl w:ilvl="0">
      <w:lvlJc w:val="left"/>
      <w:lvlText w:val="(%1)"/>
      <w:numFmt w:val="decimal"/>
      <w:start w:val="39"/>
    </w:lvl>
  </w:abstractNum>
  <w:abstractNum w:abstractNumId="81">
    <w:nsid w:val="67A5A6B5"/>
    <w:multiLevelType w:val="hybridMultilevel"/>
    <w:lvl w:ilvl="0">
      <w:lvlJc w:val="left"/>
      <w:lvlText w:val="(%1)"/>
      <w:numFmt w:val="decimal"/>
      <w:start w:val="43"/>
    </w:lvl>
  </w:abstractNum>
  <w:abstractNum w:abstractNumId="82">
    <w:nsid w:val="C2A5C5B"/>
    <w:multiLevelType w:val="hybridMultilevel"/>
    <w:lvl w:ilvl="0">
      <w:lvlJc w:val="left"/>
      <w:lvlText w:val="(%1)"/>
      <w:numFmt w:val="decimal"/>
      <w:start w:val="11"/>
    </w:lvl>
  </w:abstractNum>
  <w:abstractNum w:abstractNumId="83">
    <w:nsid w:val="5F94DC03"/>
    <w:multiLevelType w:val="hybridMultilevel"/>
    <w:lvl w:ilvl="0">
      <w:lvlJc w:val="left"/>
      <w:lvlText w:val="•"/>
      <w:numFmt w:val="bullet"/>
      <w:start w:val="1"/>
    </w:lvl>
  </w:abstractNum>
  <w:abstractNum w:abstractNumId="84">
    <w:nsid w:val="237BBCA0"/>
    <w:multiLevelType w:val="hybridMultilevel"/>
    <w:lvl w:ilvl="0">
      <w:lvlJc w:val="left"/>
      <w:lvlText w:val="(%1)"/>
      <w:numFmt w:val="decimal"/>
      <w:start w:val="2"/>
    </w:lvl>
  </w:abstractNum>
  <w:abstractNum w:abstractNumId="85">
    <w:nsid w:val="162EB70D"/>
    <w:multiLevelType w:val="hybridMultilevel"/>
    <w:lvl w:ilvl="0">
      <w:lvlJc w:val="left"/>
      <w:lvlText w:val="(%1)"/>
      <w:numFmt w:val="decimal"/>
      <w:start w:val="2"/>
    </w:lvl>
  </w:abstractNum>
  <w:abstractNum w:abstractNumId="86">
    <w:nsid w:val="78070222"/>
    <w:multiLevelType w:val="hybridMultilevel"/>
    <w:lvl w:ilvl="0">
      <w:lvlJc w:val="left"/>
      <w:lvlText w:val="•"/>
      <w:numFmt w:val="bullet"/>
      <w:start w:val="1"/>
    </w:lvl>
  </w:abstractNum>
  <w:abstractNum w:abstractNumId="87">
    <w:nsid w:val="6163ED0D"/>
    <w:multiLevelType w:val="hybridMultilevel"/>
    <w:lvl w:ilvl="0">
      <w:lvlJc w:val="left"/>
      <w:lvlText w:val="•"/>
      <w:numFmt w:val="bullet"/>
      <w:start w:val="1"/>
    </w:lvl>
  </w:abstractNum>
  <w:abstractNum w:abstractNumId="88">
    <w:nsid w:val="C600E47"/>
    <w:multiLevelType w:val="hybridMultilevel"/>
    <w:lvl w:ilvl="0">
      <w:lvlJc w:val="left"/>
      <w:lvlText w:val="•"/>
      <w:numFmt w:val="bullet"/>
      <w:start w:val="1"/>
    </w:lvl>
  </w:abstractNum>
  <w:abstractNum w:abstractNumId="89">
    <w:nsid w:val="7D94F75D"/>
    <w:multiLevelType w:val="hybridMultilevel"/>
    <w:lvl w:ilvl="0">
      <w:lvlJc w:val="left"/>
      <w:lvlText w:val="(%1)"/>
      <w:numFmt w:val="decimal"/>
      <w:start w:val="1"/>
    </w:lvl>
  </w:abstractNum>
  <w:abstractNum w:abstractNumId="90">
    <w:nsid w:val="6C31E7CD"/>
    <w:multiLevelType w:val="hybridMultilevel"/>
    <w:lvl w:ilvl="0">
      <w:lvlJc w:val="left"/>
      <w:lvlText w:val="•"/>
      <w:numFmt w:val="bullet"/>
      <w:start w:val="1"/>
    </w:lvl>
  </w:abstractNum>
  <w:abstractNum w:abstractNumId="91">
    <w:nsid w:val="2BB7929B"/>
    <w:multiLevelType w:val="hybridMultilevel"/>
    <w:lvl w:ilvl="0">
      <w:lvlJc w:val="left"/>
      <w:lvlText w:val="*"/>
      <w:numFmt w:val="bullet"/>
      <w:start w:val="1"/>
    </w:lvl>
  </w:abstractNum>
  <w:abstractNum w:abstractNumId="92">
    <w:nsid w:val="58A2A487"/>
    <w:multiLevelType w:val="hybridMultilevel"/>
    <w:lvl w:ilvl="0">
      <w:lvlJc w:val="left"/>
      <w:lvlText w:val="(%1)"/>
      <w:numFmt w:val="decimal"/>
      <w:start w:val="1"/>
    </w:lvl>
  </w:abstractNum>
  <w:abstractNum w:abstractNumId="93">
    <w:nsid w:val="3A6F0E78"/>
    <w:multiLevelType w:val="hybridMultilevel"/>
    <w:lvl w:ilvl="0">
      <w:lvlJc w:val="left"/>
      <w:lvlText w:val="(%1)"/>
      <w:numFmt w:val="decimal"/>
      <w:start w:val="3"/>
    </w:lvl>
  </w:abstractNum>
  <w:abstractNum w:abstractNumId="94">
    <w:nsid w:val="379A5B56"/>
    <w:multiLevelType w:val="hybridMultilevel"/>
    <w:lvl w:ilvl="0">
      <w:lvlJc w:val="left"/>
      <w:lvlText w:val="•"/>
      <w:numFmt w:val="bullet"/>
      <w:start w:val="1"/>
    </w:lvl>
  </w:abstractNum>
  <w:abstractNum w:abstractNumId="95">
    <w:nsid w:val="53B735D5"/>
    <w:multiLevelType w:val="hybridMultilevel"/>
    <w:lvl w:ilvl="0">
      <w:lvlJc w:val="left"/>
      <w:lvlText w:val="•"/>
      <w:numFmt w:val="bullet"/>
      <w:start w:val="1"/>
    </w:lvl>
  </w:abstractNum>
  <w:abstractNum w:abstractNumId="96">
    <w:nsid w:val="29784870"/>
    <w:multiLevelType w:val="hybridMultilevel"/>
    <w:lvl w:ilvl="0">
      <w:lvlJc w:val="left"/>
      <w:lvlText w:val="•"/>
      <w:numFmt w:val="bullet"/>
      <w:start w:val="1"/>
    </w:lvl>
  </w:abstractNum>
  <w:abstractNum w:abstractNumId="97">
    <w:nsid w:val="4CDCED4C"/>
    <w:multiLevelType w:val="hybridMultilevel"/>
    <w:lvl w:ilvl="0">
      <w:lvlJc w:val="left"/>
      <w:lvlText w:val="•"/>
      <w:numFmt w:val="bullet"/>
      <w:start w:val="1"/>
    </w:lvl>
  </w:abstractNum>
  <w:abstractNum w:abstractNumId="98">
    <w:nsid w:val="10A30D9C"/>
    <w:multiLevelType w:val="hybridMultilevel"/>
    <w:lvl w:ilvl="0">
      <w:lvlJc w:val="left"/>
      <w:lvlText w:val="(%1)"/>
      <w:numFmt w:val="lowerRoman"/>
      <w:start w:val="3"/>
    </w:lvl>
  </w:abstractNum>
  <w:abstractNum w:abstractNumId="99">
    <w:nsid w:val="A66E486"/>
    <w:multiLevelType w:val="hybridMultilevel"/>
    <w:lvl w:ilvl="0">
      <w:lvlJc w:val="left"/>
      <w:lvlText w:val="(%1)"/>
      <w:numFmt w:val="lowerLetter"/>
      <w:start w:val="1"/>
    </w:lvl>
  </w:abstractNum>
  <w:abstractNum w:abstractNumId="100">
    <w:nsid w:val="306235EA"/>
    <w:multiLevelType w:val="hybridMultilevel"/>
    <w:lvl w:ilvl="0">
      <w:lvlJc w:val="left"/>
      <w:lvlText w:val="(%1)"/>
      <w:numFmt w:val="lowerLetter"/>
      <w:start w:val="1"/>
    </w:lvl>
  </w:abstractNum>
  <w:abstractNum w:abstractNumId="101">
    <w:nsid w:val="1187C70F"/>
    <w:multiLevelType w:val="hybridMultilevel"/>
    <w:lvl w:ilvl="0">
      <w:lvlJc w:val="left"/>
      <w:lvlText w:val="(%1)"/>
      <w:numFmt w:val="lowerRoman"/>
      <w:start w:val="1"/>
    </w:lvl>
  </w:abstractNum>
  <w:abstractNum w:abstractNumId="102">
    <w:nsid w:val="5476DE98"/>
    <w:multiLevelType w:val="hybridMultilevel"/>
    <w:lvl w:ilvl="0">
      <w:lvlJc w:val="left"/>
      <w:lvlText w:val="(%1)"/>
      <w:numFmt w:val="lowerRoman"/>
      <w:start w:val="3"/>
    </w:lvl>
  </w:abstractNum>
  <w:abstractNum w:abstractNumId="103">
    <w:nsid w:val="EA697F2"/>
    <w:multiLevelType w:val="hybridMultilevel"/>
    <w:lvl w:ilvl="0">
      <w:lvlJc w:val="left"/>
      <w:lvlText w:val="(%1)"/>
      <w:numFmt w:val="lowerLetter"/>
      <w:start w:val="1"/>
    </w:lvl>
  </w:abstractNum>
  <w:abstractNum w:abstractNumId="104">
    <w:nsid w:val="70BA39EB"/>
    <w:multiLevelType w:val="hybridMultilevel"/>
    <w:lvl w:ilvl="0">
      <w:lvlJc w:val="left"/>
      <w:lvlText w:val="(%1)"/>
      <w:numFmt w:val="lowerLetter"/>
      <w:start w:val="1"/>
    </w:lvl>
  </w:abstractNum>
  <w:abstractNum w:abstractNumId="105">
    <w:nsid w:val="4A8DB59C"/>
    <w:multiLevelType w:val="hybridMultilevel"/>
    <w:lvl w:ilvl="0">
      <w:lvlJc w:val="left"/>
      <w:lvlText w:val="(%1)"/>
      <w:numFmt w:val="lowerRoman"/>
      <w:start w:val="3"/>
    </w:lvl>
  </w:abstractNum>
  <w:abstractNum w:abstractNumId="106">
    <w:nsid w:val="1AFD9053"/>
    <w:multiLevelType w:val="hybridMultilevel"/>
    <w:lvl w:ilvl="0">
      <w:lvlJc w:val="left"/>
      <w:lvlText w:val="•"/>
      <w:numFmt w:val="bullet"/>
      <w:start w:val="1"/>
    </w:lvl>
  </w:abstractNum>
  <w:abstractNum w:abstractNumId="107">
    <w:nsid w:val="558BB10D"/>
    <w:multiLevelType w:val="hybridMultilevel"/>
    <w:lvl w:ilvl="0">
      <w:lvlJc w:val="left"/>
      <w:lvlText w:val="•"/>
      <w:numFmt w:val="bullet"/>
      <w:start w:val="1"/>
    </w:lvl>
  </w:abstractNum>
  <w:abstractNum w:abstractNumId="108">
    <w:nsid w:val="43B27FA7"/>
    <w:multiLevelType w:val="hybridMultilevel"/>
    <w:lvl w:ilvl="0">
      <w:lvlJc w:val="left"/>
      <w:lvlText w:val="(%1)"/>
      <w:numFmt w:val="decimal"/>
      <w:start w:val="1"/>
    </w:lvl>
  </w:abstractNum>
  <w:abstractNum w:abstractNumId="109">
    <w:nsid w:val="27FADEFA"/>
    <w:multiLevelType w:val="hybridMultilevel"/>
    <w:lvl w:ilvl="0">
      <w:lvlJc w:val="left"/>
      <w:lvlText w:val="*"/>
      <w:numFmt w:val="bullet"/>
      <w:start w:val="1"/>
    </w:lvl>
  </w:abstractNum>
  <w:abstractNum w:abstractNumId="110">
    <w:nsid w:val="78BB805A"/>
    <w:multiLevelType w:val="hybridMultilevel"/>
    <w:lvl w:ilvl="0">
      <w:lvlJc w:val="left"/>
      <w:lvlText w:val="$"/>
      <w:numFmt w:val="bullet"/>
      <w:start w:val="1"/>
    </w:lvl>
  </w:abstractNum>
  <w:abstractNum w:abstractNumId="111">
    <w:nsid w:val="62548FD8"/>
    <w:multiLevelType w:val="hybridMultilevel"/>
    <w:lvl w:ilvl="0">
      <w:lvlJc w:val="left"/>
      <w:lvlText w:val="$"/>
      <w:numFmt w:val="bullet"/>
      <w:start w:val="1"/>
    </w:lvl>
  </w:abstractNum>
  <w:abstractNum w:abstractNumId="112">
    <w:nsid w:val="FA085B0"/>
    <w:multiLevelType w:val="hybridMultilevel"/>
    <w:lvl w:ilvl="0">
      <w:lvlJc w:val="left"/>
      <w:lvlText w:val="(%1)"/>
      <w:numFmt w:val="decimal"/>
      <w:start w:val="1"/>
    </w:lvl>
  </w:abstractNum>
  <w:abstractNum w:abstractNumId="113">
    <w:nsid w:val="4E5DCB5"/>
    <w:multiLevelType w:val="hybridMultilevel"/>
    <w:lvl w:ilvl="0">
      <w:lvlJc w:val="left"/>
      <w:lvlText w:val="%1."/>
      <w:numFmt w:val="decimal"/>
      <w:start w:val="701"/>
    </w:lvl>
  </w:abstractNum>
  <w:abstractNum w:abstractNumId="114">
    <w:nsid w:val="41E96BDB"/>
    <w:multiLevelType w:val="hybridMultilevel"/>
    <w:lvl w:ilvl="0">
      <w:lvlJc w:val="left"/>
      <w:lvlText w:val="*"/>
      <w:numFmt w:val="bullet"/>
      <w:start w:val="1"/>
    </w:lvl>
  </w:abstractNum>
  <w:abstractNum w:abstractNumId="115">
    <w:nsid w:val="331C4250"/>
    <w:multiLevelType w:val="hybridMultilevel"/>
    <w:lvl w:ilvl="0">
      <w:lvlJc w:val="left"/>
      <w:lvlText w:val="#"/>
      <w:numFmt w:val="bullet"/>
      <w:start w:val="1"/>
    </w:lvl>
  </w:abstractNum>
  <w:abstractNum w:abstractNumId="116">
    <w:nsid w:val="1B1493C2"/>
    <w:multiLevelType w:val="hybridMultilevel"/>
    <w:lvl w:ilvl="0">
      <w:lvlJc w:val="left"/>
      <w:lvlText w:val="(%1)"/>
      <w:numFmt w:val="decimal"/>
      <w:start w:val="1"/>
    </w:lvl>
  </w:abstractNum>
  <w:abstractNum w:abstractNumId="117">
    <w:nsid w:val="39F06DFD"/>
    <w:multiLevelType w:val="hybridMultilevel"/>
    <w:lvl w:ilvl="0">
      <w:lvlJc w:val="left"/>
      <w:lvlText w:val="(%1)"/>
      <w:numFmt w:val="decimal"/>
      <w:start w:val="2"/>
    </w:lvl>
    <w:lvl w:ilvl="1">
      <w:lvlJc w:val="left"/>
      <w:lvlText w:val="(%2)"/>
      <w:numFmt w:val="lowerRoman"/>
      <w:start w:val="1"/>
    </w:lvl>
  </w:abstractNum>
  <w:abstractNum w:abstractNumId="118">
    <w:nsid w:val="14802F5D"/>
    <w:multiLevelType w:val="hybridMultilevel"/>
    <w:lvl w:ilvl="0">
      <w:lvlJc w:val="left"/>
      <w:lvlText w:val="%1."/>
      <w:numFmt w:val="upperLetter"/>
      <w:start w:val="1"/>
    </w:lvl>
  </w:abstractNum>
  <w:abstractNum w:abstractNumId="119">
    <w:nsid w:val="2774A20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0">
    <w:nsid w:val="3785655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1">
    <w:nsid w:val="B2172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2">
    <w:nsid w:val="532C34A5"/>
    <w:multiLevelType w:val="hybridMultilevel"/>
    <w:lvl w:ilvl="0">
      <w:lvlJc w:val="left"/>
      <w:lvlText w:val="(%1)"/>
      <w:numFmt w:val="lowerRoman"/>
      <w:start w:val="5"/>
    </w:lvl>
  </w:abstractNum>
  <w:abstractNum w:abstractNumId="123">
    <w:nsid w:val="102809E2"/>
    <w:multiLevelType w:val="hybridMultilevel"/>
    <w:lvl w:ilvl="0">
      <w:lvlJc w:val="left"/>
      <w:lvlText w:val="%1"/>
      <w:numFmt w:val="lowerLetter"/>
      <w:start w:val="1"/>
    </w:lvl>
    <w:lvl w:ilvl="1">
      <w:lvlJc w:val="left"/>
      <w:lvlText w:val="(%2)"/>
      <w:numFmt w:val="lowerRoman"/>
      <w:start w:val="7"/>
    </w:lvl>
  </w:abstractNum>
  <w:abstractNum w:abstractNumId="124">
    <w:nsid w:val="3B2125A3"/>
    <w:multiLevelType w:val="hybridMultilevel"/>
    <w:lvl w:ilvl="0">
      <w:lvlJc w:val="left"/>
      <w:lvlText w:val="(%1)"/>
      <w:numFmt w:val="lowerLetter"/>
      <w:start w:val="3"/>
    </w:lvl>
    <w:lvl w:ilvl="1">
      <w:lvlJc w:val="left"/>
      <w:lvlText w:val="(%2)"/>
      <w:numFmt w:val="lowerRoman"/>
      <w:start w:val="1"/>
    </w:lvl>
  </w:abstractNum>
  <w:abstractNum w:abstractNumId="125">
    <w:nsid w:val="AC68FFB"/>
    <w:multiLevelType w:val="hybridMultilevel"/>
    <w:lvl w:ilvl="0">
      <w:lvlJc w:val="left"/>
      <w:lvlText w:val="(%1)"/>
      <w:numFmt w:val="lowerRoman"/>
      <w:start w:val="6"/>
    </w:lvl>
  </w:abstractNum>
  <w:abstractNum w:abstractNumId="126">
    <w:nsid w:val="63DF3FB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7">
    <w:nsid w:val="64996E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8">
    <w:nsid w:val="57A37D4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9">
    <w:nsid w:val="74824D5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30">
    <w:nsid w:val="6F00529A"/>
    <w:multiLevelType w:val="hybridMultilevel"/>
    <w:lvl w:ilvl="0">
      <w:lvlJc w:val="left"/>
      <w:lvlText w:val="(%1)"/>
      <w:numFmt w:val="lowerLetter"/>
      <w:start w:val="1"/>
    </w:lvl>
  </w:abstractNum>
  <w:abstractNum w:abstractNumId="131">
    <w:nsid w:val="805B331"/>
    <w:multiLevelType w:val="hybridMultilevel"/>
    <w:lvl w:ilvl="0">
      <w:lvlJc w:val="left"/>
      <w:lvlText w:val="(%1)"/>
      <w:numFmt w:val="lowerLetter"/>
      <w:start w:val="3"/>
    </w:lvl>
    <w:lvl w:ilvl="1">
      <w:lvlJc w:val="left"/>
      <w:lvlText w:val="(%2)"/>
      <w:numFmt w:val="lowerLetter"/>
      <w:start w:val="9"/>
    </w:lvl>
  </w:abstractNum>
  <w:abstractNum w:abstractNumId="132">
    <w:nsid w:val="60A1463"/>
    <w:multiLevelType w:val="hybridMultilevel"/>
    <w:lvl w:ilvl="0">
      <w:lvlJc w:val="left"/>
      <w:lvlText w:val="(%1)"/>
      <w:numFmt w:val="upperLetter"/>
      <w:start w:val="1"/>
    </w:lvl>
  </w:abstractNum>
  <w:abstractNum w:abstractNumId="133">
    <w:nsid w:val="437731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4">
    <w:nsid w:val="16AC4B2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5">
    <w:nsid w:val="76C44E4E"/>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36">
    <w:nsid w:val="E04E6CE"/>
    <w:multiLevelType w:val="hybridMultilevel"/>
    <w:lvl w:ilvl="0">
      <w:lvlJc w:val="left"/>
      <w:lvlText w:val="(%1)"/>
      <w:numFmt w:val="upperLetter"/>
      <w:start w:val="2"/>
    </w:lvl>
  </w:abstractNum>
  <w:abstractNum w:abstractNumId="137">
    <w:nsid w:val="31A9DB76"/>
    <w:multiLevelType w:val="hybridMultilevel"/>
    <w:lvl w:ilvl="0">
      <w:lvlJc w:val="left"/>
      <w:lvlText w:val="(%1)"/>
      <w:numFmt w:val="upperLetter"/>
      <w:start w:val="1"/>
    </w:lvl>
    <w:lvl w:ilvl="1">
      <w:lvlJc w:val="left"/>
      <w:lvlText w:val="(%2)"/>
      <w:numFmt w:val="lowerRoman"/>
      <w:start w:val="2"/>
    </w:lvl>
  </w:abstractNum>
  <w:abstractNum w:abstractNumId="138">
    <w:nsid w:val="4C4FFF5B"/>
    <w:multiLevelType w:val="hybridMultilevel"/>
    <w:lvl w:ilvl="0">
      <w:lvlJc w:val="left"/>
      <w:lvlText w:val="(%1)"/>
      <w:numFmt w:val="lowerRoman"/>
      <w:start w:val="4"/>
    </w:lvl>
    <w:lvl w:ilvl="1">
      <w:lvlJc w:val="left"/>
      <w:lvlText w:val="(%2)"/>
      <w:numFmt w:val="upperLetter"/>
      <w:start w:val="1"/>
    </w:lvl>
  </w:abstractNum>
  <w:abstractNum w:abstractNumId="139">
    <w:nsid w:val="51B76675"/>
    <w:multiLevelType w:val="hybridMultilevel"/>
    <w:lvl w:ilvl="0">
      <w:lvlJc w:val="left"/>
      <w:lvlText w:val="(%1)"/>
      <w:numFmt w:val="lowerRoman"/>
      <w:start w:val="5"/>
    </w:lvl>
    <w:lvl w:ilvl="1">
      <w:lvlJc w:val="left"/>
      <w:lvlText w:val="(%2)"/>
      <w:numFmt w:val="upperLetter"/>
      <w:start w:val="1"/>
    </w:lvl>
  </w:abstractNum>
  <w:abstractNum w:abstractNumId="140">
    <w:nsid w:val="59A4BA71"/>
    <w:multiLevelType w:val="hybridMultilevel"/>
    <w:lvl w:ilvl="0">
      <w:lvlJc w:val="left"/>
      <w:lvlText w:val="%1"/>
      <w:numFmt w:val="lowerLetter"/>
      <w:start w:val="1"/>
    </w:lvl>
    <w:lvl w:ilvl="1">
      <w:lvlJc w:val="left"/>
      <w:lvlText w:val="(%2)"/>
      <w:numFmt w:val="lowerRoman"/>
      <w:start w:val="6"/>
    </w:lvl>
  </w:abstractNum>
  <w:abstractNum w:abstractNumId="141">
    <w:nsid w:val="450B7FB6"/>
    <w:multiLevelType w:val="hybridMultilevel"/>
    <w:lvl w:ilvl="0">
      <w:lvlJc w:val="left"/>
      <w:lvlText w:val="(%1)"/>
      <w:numFmt w:val="lowerLetter"/>
      <w:start w:val="9"/>
    </w:lvl>
    <w:lvl w:ilvl="1">
      <w:lvlJc w:val="left"/>
      <w:lvlText w:val="%2"/>
      <w:numFmt w:val="lowerRoman"/>
      <w:start w:val="1"/>
    </w:lvl>
  </w:abstractNum>
  <w:abstractNum w:abstractNumId="142">
    <w:nsid w:val="340BF64D"/>
    <w:multiLevelType w:val="hybridMultilevel"/>
    <w:lvl w:ilvl="0">
      <w:lvlJc w:val="left"/>
      <w:lvlText w:val="(%1)"/>
      <w:numFmt w:val="lowerLetter"/>
      <w:start w:val="11"/>
    </w:lvl>
    <w:lvl w:ilvl="1">
      <w:lvlJc w:val="left"/>
      <w:lvlText w:val="(%2)"/>
      <w:numFmt w:val="lowerRoman"/>
      <w:start w:val="1"/>
    </w:lvl>
  </w:abstractNum>
  <w:abstractNum w:abstractNumId="143">
    <w:nsid w:val="694540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144">
    <w:nsid w:val="49F15C6B"/>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5"/>
    </w:lvl>
  </w:abstractNum>
  <w:abstractNum w:abstractNumId="145">
    <w:nsid w:val="75F56228"/>
    <w:multiLevelType w:val="hybridMultilevel"/>
    <w:lvl w:ilvl="0">
      <w:lvlJc w:val="left"/>
      <w:lvlText w:val="%1."/>
      <w:numFmt w:val="upperLetter"/>
      <w:start w:val="1"/>
    </w:lvl>
  </w:abstractNum>
  <w:abstractNum w:abstractNumId="146">
    <w:nsid w:val="1C618271"/>
    <w:multiLevelType w:val="hybridMultilevel"/>
    <w:lvl w:ilvl="0">
      <w:lvlJc w:val="left"/>
      <w:lvlText w:val="%1."/>
      <w:numFmt w:val="upperLetter"/>
      <w:start w:val="3"/>
    </w:lvl>
  </w:abstractNum>
  <w:abstractNum w:abstractNumId="147">
    <w:nsid w:val="6505F02E"/>
    <w:multiLevelType w:val="hybridMultilevel"/>
    <w:lvl w:ilvl="0">
      <w:lvlJc w:val="left"/>
      <w:lvlText w:val="%1."/>
      <w:numFmt w:val="upperLetter"/>
      <w:start w:val="1"/>
    </w:lvl>
  </w:abstractNum>
  <w:abstractNum w:abstractNumId="148">
    <w:nsid w:val="2FE5D025"/>
    <w:multiLevelType w:val="hybridMultilevel"/>
    <w:lvl w:ilvl="0">
      <w:lvlJc w:val="left"/>
      <w:lvlText w:val="%1."/>
      <w:numFmt w:val="decimal"/>
      <w:start w:val="1"/>
    </w:lvl>
  </w:abstractNum>
  <w:abstractNum w:abstractNumId="149">
    <w:nsid w:val="30E1B1CF"/>
    <w:multiLevelType w:val="hybridMultilevel"/>
    <w:lvl w:ilvl="0">
      <w:lvlJc w:val="left"/>
      <w:lvlText w:val="(%1)"/>
      <w:numFmt w:val="lowerLetter"/>
      <w:start w:val="1"/>
    </w:lvl>
  </w:abstractNum>
  <w:abstractNum w:abstractNumId="150">
    <w:nsid w:val="C7A9237"/>
    <w:multiLevelType w:val="hybridMultilevel"/>
    <w:lvl w:ilvl="0">
      <w:lvlJc w:val="left"/>
      <w:lvlText w:val="%1."/>
      <w:numFmt w:val="decimal"/>
      <w:start w:val="4"/>
    </w:lvl>
  </w:abstractNum>
  <w:abstractNum w:abstractNumId="151">
    <w:nsid w:val="676B3580"/>
    <w:multiLevelType w:val="hybridMultilevel"/>
    <w:lvl w:ilvl="0">
      <w:lvlJc w:val="left"/>
      <w:lvlText w:val="%1."/>
      <w:numFmt w:val="decimal"/>
      <w:start w:val="1"/>
    </w:lvl>
  </w:abstractNum>
  <w:abstractNum w:abstractNumId="152">
    <w:nsid w:val="3193C8F9"/>
    <w:multiLevelType w:val="hybridMultilevel"/>
    <w:lvl w:ilvl="0">
      <w:lvlJc w:val="left"/>
      <w:lvlText w:val="%1."/>
      <w:numFmt w:val="decimal"/>
      <w:start w:val="1"/>
    </w:lvl>
  </w:abstractNum>
  <w:abstractNum w:abstractNumId="153">
    <w:nsid w:val="5FA6C6DC"/>
    <w:multiLevelType w:val="hybridMultilevel"/>
    <w:lvl w:ilvl="0">
      <w:lvlJc w:val="left"/>
      <w:lvlText w:val="%1."/>
      <w:numFmt w:val="decimal"/>
      <w:start w:val="1"/>
    </w:lvl>
  </w:abstractNum>
  <w:abstractNum w:abstractNumId="154">
    <w:nsid w:val="77933F62"/>
    <w:multiLevelType w:val="hybridMultilevel"/>
    <w:lvl w:ilvl="0">
      <w:lvlJc w:val="left"/>
      <w:lvlText w:val="(%1)"/>
      <w:numFmt w:val="lowerLetter"/>
      <w:start w:val="1"/>
    </w:lvl>
  </w:abstractNum>
  <w:abstractNum w:abstractNumId="155">
    <w:nsid w:val="6CB4EE9C"/>
    <w:multiLevelType w:val="hybridMultilevel"/>
    <w:lvl w:ilvl="0">
      <w:lvlJc w:val="left"/>
      <w:lvlText w:val="(%1)"/>
      <w:numFmt w:val="lowerLetter"/>
      <w:start w:val="2"/>
    </w:lvl>
  </w:abstractNum>
  <w:abstractNum w:abstractNumId="156">
    <w:nsid w:val="6A6D56D7"/>
    <w:multiLevelType w:val="hybridMultilevel"/>
    <w:lvl w:ilvl="0">
      <w:lvlJc w:val="left"/>
      <w:lvlText w:val="(%1)"/>
      <w:numFmt w:val="lowerLetter"/>
      <w:start w:val="3"/>
    </w:lvl>
  </w:abstractNum>
  <w:abstractNum w:abstractNumId="157">
    <w:nsid w:val="5B727F19"/>
    <w:multiLevelType w:val="hybridMultilevel"/>
    <w:lvl w:ilvl="0">
      <w:lvlJc w:val="left"/>
      <w:lvlText w:val="(%1)"/>
      <w:numFmt w:val="lowerLetter"/>
      <w:start w:val="1"/>
    </w:lvl>
  </w:abstractNum>
  <w:abstractNum w:abstractNumId="158">
    <w:nsid w:val="514E5CB0"/>
    <w:multiLevelType w:val="hybridMultilevel"/>
    <w:lvl w:ilvl="0">
      <w:lvlJc w:val="left"/>
      <w:lvlText w:val="%1"/>
      <w:numFmt w:val="decimal"/>
      <w:start w:val="1"/>
    </w:lvl>
    <w:lvl w:ilvl="1">
      <w:lvlJc w:val="left"/>
      <w:lvlText w:val="(%2)"/>
      <w:numFmt w:val="lowerLetter"/>
      <w:start w:val="2"/>
    </w:lvl>
  </w:abstractNum>
  <w:abstractNum w:abstractNumId="159">
    <w:nsid w:val="4210D41E"/>
    <w:multiLevelType w:val="hybridMultilevel"/>
    <w:lvl w:ilvl="0">
      <w:lvlJc w:val="left"/>
      <w:lvlText w:val="(%1)"/>
      <w:numFmt w:val="decimal"/>
      <w:start w:val="120"/>
    </w:lvl>
    <w:lvl w:ilvl="1">
      <w:lvlJc w:val="left"/>
      <w:lvlText w:val="%2"/>
      <w:numFmt w:val="lowerLetter"/>
      <w:start w:val="1"/>
    </w:lvl>
  </w:abstractNum>
  <w:abstractNum w:abstractNumId="160">
    <w:nsid w:val="4FF4CC6D"/>
    <w:multiLevelType w:val="hybridMultilevel"/>
    <w:lvl w:ilvl="0">
      <w:lvlJc w:val="left"/>
      <w:lvlText w:val="(%1)"/>
      <w:numFmt w:val="lowerLetter"/>
      <w:start w:val="1"/>
    </w:lvl>
  </w:abstractNum>
  <w:abstractNum w:abstractNumId="161">
    <w:nsid w:val="404EAF4A"/>
    <w:multiLevelType w:val="hybridMultilevel"/>
    <w:lvl w:ilvl="0">
      <w:lvlJc w:val="left"/>
      <w:lvlText w:val="(%1)"/>
      <w:numFmt w:val="lowerLetter"/>
      <w:start w:val="3"/>
    </w:lvl>
  </w:abstractNum>
  <w:abstractNum w:abstractNumId="162">
    <w:nsid w:val="4A16874F"/>
    <w:multiLevelType w:val="hybridMultilevel"/>
    <w:lvl w:ilvl="0">
      <w:lvlJc w:val="left"/>
      <w:lvlText w:val="(%1)"/>
      <w:numFmt w:val="lowerLetter"/>
      <w:start w:val="1"/>
    </w:lvl>
  </w:abstractNum>
  <w:abstractNum w:abstractNumId="163">
    <w:nsid w:val="55FEE0D1"/>
    <w:multiLevelType w:val="hybridMultilevel"/>
    <w:lvl w:ilvl="0">
      <w:lvlJc w:val="left"/>
      <w:lvlText w:val="(%1)"/>
      <w:numFmt w:val="lowerLetter"/>
      <w:start w:val="2"/>
    </w:lvl>
  </w:abstractNum>
  <w:abstractNum w:abstractNumId="164">
    <w:nsid w:val="3C5E07C"/>
    <w:multiLevelType w:val="hybridMultilevel"/>
    <w:lvl w:ilvl="0">
      <w:lvlJc w:val="left"/>
      <w:lvlText w:val="(%1)"/>
      <w:numFmt w:val="lowerLetter"/>
      <w:start w:val="1"/>
    </w:lvl>
  </w:abstractNum>
  <w:abstractNum w:abstractNumId="165">
    <w:nsid w:val="60C2D273"/>
    <w:multiLevelType w:val="hybridMultilevel"/>
    <w:lvl w:ilvl="0">
      <w:lvlJc w:val="left"/>
      <w:lvlText w:val="(%1)"/>
      <w:numFmt w:val="lowerLetter"/>
      <w:start w:val="1"/>
    </w:lvl>
    <w:lvl w:ilvl="1">
      <w:lvlJc w:val="left"/>
      <w:lvlText w:val="(%2)"/>
      <w:numFmt w:val="lowerRoman"/>
      <w:start w:val="1"/>
    </w:lvl>
  </w:abstractNum>
  <w:abstractNum w:abstractNumId="166">
    <w:nsid w:val="4CC32F1F"/>
    <w:multiLevelType w:val="hybridMultilevel"/>
    <w:lvl w:ilvl="0">
      <w:lvlJc w:val="left"/>
      <w:lvlText w:val="(%1)"/>
      <w:numFmt w:val="lowerLetter"/>
      <w:start w:val="1"/>
    </w:lvl>
  </w:abstractNum>
  <w:abstractNum w:abstractNumId="167">
    <w:nsid w:val="11CAC74A"/>
    <w:multiLevelType w:val="hybridMultilevel"/>
    <w:lvl w:ilvl="0">
      <w:lvlJc w:val="left"/>
      <w:lvlText w:val="(%1)"/>
      <w:numFmt w:val="lowerLetter"/>
      <w:start w:val="1"/>
    </w:lvl>
  </w:abstractNum>
  <w:abstractNum w:abstractNumId="168">
    <w:nsid w:val="126CADE9"/>
    <w:multiLevelType w:val="hybridMultilevel"/>
    <w:lvl w:ilvl="0">
      <w:lvlJc w:val="left"/>
      <w:lvlText w:val="§"/>
      <w:numFmt w:val="bullet"/>
      <w:start w:val="1"/>
    </w:lvl>
    <w:lvl w:ilvl="1">
      <w:lvlJc w:val="left"/>
      <w:lvlText w:val="(%2)"/>
      <w:numFmt w:val="lowerLetter"/>
      <w:start w:val="3"/>
    </w:lvl>
  </w:abstractNum>
  <w:abstractNum w:abstractNumId="169">
    <w:nsid w:val="19132E7B"/>
    <w:multiLevelType w:val="hybridMultilevel"/>
    <w:lvl w:ilvl="0">
      <w:lvlJc w:val="left"/>
      <w:lvlText w:val="§"/>
      <w:numFmt w:val="bullet"/>
      <w:start w:val="1"/>
    </w:lvl>
    <w:lvl w:ilvl="1">
      <w:lvlJc w:val="left"/>
      <w:lvlText w:val="(%2)"/>
      <w:numFmt w:val="lowerLetter"/>
      <w:start w:val="4"/>
    </w:lvl>
  </w:abstractNum>
  <w:abstractNum w:abstractNumId="170">
    <w:nsid w:val="63822DC0"/>
    <w:multiLevelType w:val="hybridMultilevel"/>
    <w:lvl w:ilvl="0">
      <w:lvlJc w:val="left"/>
      <w:lvlText w:val="(%1)"/>
      <w:numFmt w:val="lowerLetter"/>
      <w:start w:val="1"/>
    </w:lvl>
  </w:abstractNum>
  <w:abstractNum w:abstractNumId="171">
    <w:nsid w:val="6C11685A"/>
    <w:multiLevelType w:val="hybridMultilevel"/>
    <w:lvl w:ilvl="0">
      <w:lvlJc w:val="left"/>
      <w:lvlText w:val="%1"/>
      <w:numFmt w:val="lowerLetter"/>
      <w:start w:val="1"/>
    </w:lvl>
    <w:lvl w:ilvl="1">
      <w:lvlJc w:val="left"/>
      <w:lvlText w:val="(%2)"/>
      <w:numFmt w:val="lowerLetter"/>
      <w:start w:val="1"/>
    </w:lvl>
  </w:abstractNum>
  <w:abstractNum w:abstractNumId="172">
    <w:nsid w:val="5E1EAE31"/>
    <w:multiLevelType w:val="hybridMultilevel"/>
    <w:lvl w:ilvl="0">
      <w:lvlJc w:val="left"/>
      <w:lvlText w:val="(%1)"/>
      <w:numFmt w:val="lowerLetter"/>
      <w:start w:val="9"/>
    </w:lvl>
    <w:lvl w:ilvl="1">
      <w:lvlJc w:val="left"/>
      <w:lvlText w:val="(%2)"/>
      <w:numFmt w:val="lowerLetter"/>
      <w:start w:val="2"/>
    </w:lvl>
  </w:abstractNum>
  <w:abstractNum w:abstractNumId="173">
    <w:nsid w:val="178E240D"/>
    <w:multiLevelType w:val="hybridMultilevel"/>
    <w:lvl w:ilvl="0">
      <w:lvlJc w:val="left"/>
      <w:lvlText w:val="(%1)"/>
      <w:numFmt w:val="lowerLetter"/>
      <w:start w:val="4"/>
    </w:lvl>
  </w:abstractNum>
  <w:abstractNum w:abstractNumId="174">
    <w:nsid w:val="5556A87B"/>
    <w:multiLevelType w:val="hybridMultilevel"/>
    <w:lvl w:ilvl="0">
      <w:lvlJc w:val="left"/>
      <w:lvlText w:val="(%1)"/>
      <w:numFmt w:val="lowerLetter"/>
      <w:start w:val="1"/>
    </w:lvl>
  </w:abstractNum>
  <w:abstractNum w:abstractNumId="175">
    <w:nsid w:val="28100A9C"/>
    <w:multiLevelType w:val="hybridMultilevel"/>
    <w:lvl w:ilvl="0">
      <w:lvlJc w:val="left"/>
      <w:lvlText w:val="(%1)"/>
      <w:numFmt w:val="lowerLetter"/>
      <w:start w:val="2"/>
    </w:lvl>
  </w:abstractNum>
  <w:abstractNum w:abstractNumId="176">
    <w:nsid w:val="D838636"/>
    <w:multiLevelType w:val="hybridMultilevel"/>
    <w:lvl w:ilvl="0">
      <w:lvlJc w:val="left"/>
      <w:lvlText w:val="(%1)"/>
      <w:numFmt w:val="lowerLetter"/>
      <w:start w:val="1"/>
    </w:lvl>
  </w:abstractNum>
  <w:abstractNum w:abstractNumId="177">
    <w:nsid w:val="71B82AED"/>
    <w:multiLevelType w:val="hybridMultilevel"/>
    <w:lvl w:ilvl="0">
      <w:lvlJc w:val="left"/>
      <w:lvlText w:val="(%1)"/>
      <w:numFmt w:val="lowerLetter"/>
      <w:start w:val="1"/>
    </w:lvl>
  </w:abstractNum>
  <w:abstractNum w:abstractNumId="178">
    <w:nsid w:val="D15FACA"/>
    <w:multiLevelType w:val="hybridMultilevel"/>
    <w:lvl w:ilvl="0">
      <w:lvlJc w:val="left"/>
      <w:lvlText w:val="(%1)"/>
      <w:numFmt w:val="lowerLetter"/>
      <w:start w:val="1"/>
    </w:lvl>
  </w:abstractNum>
  <w:abstractNum w:abstractNumId="179">
    <w:nsid w:val="3D69565B"/>
    <w:multiLevelType w:val="hybridMultilevel"/>
    <w:lvl w:ilvl="0">
      <w:lvlJc w:val="left"/>
      <w:lvlText w:val="(%1)"/>
      <w:numFmt w:val="lowerLetter"/>
      <w:start w:val="9"/>
    </w:lvl>
    <w:lvl w:ilvl="1">
      <w:lvlJc w:val="left"/>
      <w:lvlText w:val="(%2)"/>
      <w:numFmt w:val="lowerLetter"/>
      <w:start w:val="3"/>
    </w:lvl>
  </w:abstractNum>
  <w:abstractNum w:abstractNumId="180">
    <w:nsid w:val="2299DCBC"/>
    <w:multiLevelType w:val="hybridMultilevel"/>
    <w:lvl w:ilvl="0">
      <w:lvlJc w:val="left"/>
      <w:lvlText w:val="(%1)"/>
      <w:numFmt w:val="lowerLetter"/>
      <w:start w:val="4"/>
    </w:lvl>
    <w:lvl w:ilvl="1">
      <w:lvlJc w:val="left"/>
      <w:lvlText w:val="(%2)"/>
      <w:numFmt w:val="decimal"/>
      <w:start w:val="1"/>
    </w:lvl>
  </w:abstractNum>
  <w:abstractNum w:abstractNumId="181">
    <w:nsid w:val="19908D02"/>
    <w:multiLevelType w:val="hybridMultilevel"/>
    <w:lvl w:ilvl="0">
      <w:lvlJc w:val="left"/>
      <w:lvlText w:val="(%1)"/>
      <w:numFmt w:val="decimal"/>
      <w:start w:val="4"/>
    </w:lvl>
  </w:abstractNum>
  <w:abstractNum w:abstractNumId="182">
    <w:nsid w:val="24D48BDB"/>
    <w:multiLevelType w:val="hybridMultilevel"/>
    <w:lvl w:ilvl="0">
      <w:lvlJc w:val="left"/>
      <w:lvlText w:val="§§"/>
      <w:numFmt w:val="bullet"/>
      <w:start w:val="1"/>
    </w:lvl>
    <w:lvl w:ilvl="1">
      <w:lvlJc w:val="left"/>
      <w:lvlText w:val="(%2)"/>
      <w:numFmt w:val="lowerLetter"/>
      <w:start w:val="1"/>
    </w:lvl>
  </w:abstractNum>
  <w:abstractNum w:abstractNumId="183">
    <w:nsid w:val="542DA5B5"/>
    <w:multiLevelType w:val="hybridMultilevel"/>
    <w:lvl w:ilvl="0">
      <w:lvlJc w:val="left"/>
      <w:lvlText w:val="§§"/>
      <w:numFmt w:val="bullet"/>
      <w:start w:val="1"/>
    </w:lvl>
    <w:lvl w:ilvl="1">
      <w:lvlJc w:val="left"/>
      <w:lvlText w:val="(%2)"/>
      <w:numFmt w:val="lowerLetter"/>
      <w:start w:val="2"/>
    </w:lvl>
  </w:abstractNum>
  <w:abstractNum w:abstractNumId="184">
    <w:nsid w:val="793753DE"/>
    <w:multiLevelType w:val="hybridMultilevel"/>
    <w:lvl w:ilvl="0">
      <w:lvlJc w:val="left"/>
      <w:lvlText w:val="(%1)"/>
      <w:numFmt w:val="lowerLetter"/>
      <w:start w:val="4"/>
    </w:lvl>
  </w:abstractNum>
  <w:abstractNum w:abstractNumId="185">
    <w:nsid w:val="1C67CB3D"/>
    <w:multiLevelType w:val="hybridMultilevel"/>
    <w:lvl w:ilvl="0">
      <w:lvlJc w:val="left"/>
      <w:lvlText w:val="(%1)"/>
      <w:numFmt w:val="lowerLetter"/>
      <w:start w:val="1"/>
    </w:lvl>
  </w:abstractNum>
  <w:abstractNum w:abstractNumId="186">
    <w:nsid w:val="40E29452"/>
    <w:multiLevelType w:val="hybridMultilevel"/>
    <w:lvl w:ilvl="0">
      <w:lvlJc w:val="left"/>
      <w:lvlText w:val="(%1)"/>
      <w:numFmt w:val="lowerLetter"/>
      <w:start w:val="1"/>
    </w:lvl>
  </w:abstractNum>
  <w:abstractNum w:abstractNumId="187">
    <w:nsid w:val="63A4AAB6"/>
    <w:multiLevelType w:val="hybridMultilevel"/>
    <w:lvl w:ilvl="0">
      <w:lvlJc w:val="left"/>
      <w:lvlText w:val="(%1)"/>
      <w:numFmt w:val="lowerLetter"/>
      <w:start w:val="3"/>
    </w:lvl>
  </w:abstractNum>
  <w:abstractNum w:abstractNumId="188">
    <w:nsid w:val="77DA4A57"/>
    <w:multiLevelType w:val="hybridMultilevel"/>
    <w:lvl w:ilvl="0">
      <w:lvlJc w:val="left"/>
      <w:lvlText w:val="(%1)"/>
      <w:numFmt w:val="lowerLetter"/>
      <w:start w:val="14"/>
    </w:lvl>
  </w:abstractNum>
  <w:abstractNum w:abstractNumId="189">
    <w:nsid w:val="1230F102"/>
    <w:multiLevelType w:val="hybridMultilevel"/>
    <w:lvl w:ilvl="0">
      <w:lvlJc w:val="left"/>
      <w:lvlText w:val="(%1)"/>
      <w:numFmt w:val="lowerLetter"/>
      <w:start w:val="1"/>
    </w:lvl>
    <w:lvl w:ilvl="1">
      <w:lvlJc w:val="left"/>
      <w:lvlText w:val="(%2)"/>
      <w:numFmt w:val="lowerRoman"/>
      <w:start w:val="1"/>
    </w:lvl>
  </w:abstractNum>
  <w:abstractNum w:abstractNumId="190">
    <w:nsid w:val="25B57ED4"/>
    <w:multiLevelType w:val="hybridMultilevel"/>
    <w:lvl w:ilvl="0">
      <w:lvlJc w:val="left"/>
      <w:lvlText w:val="(%1)"/>
      <w:numFmt w:val="lowerLetter"/>
      <w:start w:val="4"/>
    </w:lvl>
  </w:abstractNum>
  <w:abstractNum w:abstractNumId="191">
    <w:nsid w:val="47CF16C4"/>
    <w:multiLevelType w:val="hybridMultilevel"/>
    <w:lvl w:ilvl="0">
      <w:lvlJc w:val="left"/>
      <w:lvlText w:val="(%1)"/>
      <w:numFmt w:val="lowerLetter"/>
      <w:start w:val="1"/>
    </w:lvl>
  </w:abstractNum>
  <w:abstractNum w:abstractNumId="192">
    <w:nsid w:val="527FA04C"/>
    <w:multiLevelType w:val="hybridMultilevel"/>
    <w:lvl w:ilvl="0">
      <w:lvlJc w:val="left"/>
      <w:lvlText w:val="(%1)"/>
      <w:numFmt w:val="lowerLetter"/>
      <w:start w:val="3"/>
    </w:lvl>
    <w:lvl w:ilvl="1">
      <w:lvlJc w:val="left"/>
      <w:lvlText w:val="(%2)"/>
      <w:numFmt w:val="lowerRoman"/>
      <w:start w:val="1"/>
    </w:lvl>
  </w:abstractNum>
  <w:abstractNum w:abstractNumId="193">
    <w:nsid w:val="6FCC0624"/>
    <w:multiLevelType w:val="hybridMultilevel"/>
    <w:lvl w:ilvl="0">
      <w:lvlJc w:val="left"/>
      <w:lvlText w:val="(%1)"/>
      <w:numFmt w:val="lowerRoman"/>
      <w:start w:val="6"/>
    </w:lvl>
  </w:abstractNum>
  <w:abstractNum w:abstractNumId="194">
    <w:nsid w:val="1DCDF795"/>
    <w:multiLevelType w:val="hybridMultilevel"/>
    <w:lvl w:ilvl="0">
      <w:lvlJc w:val="left"/>
      <w:lvlText w:val="(%1)"/>
      <w:numFmt w:val="lowerLetter"/>
      <w:start w:val="1"/>
    </w:lvl>
  </w:abstractNum>
  <w:abstractNum w:abstractNumId="195">
    <w:nsid w:val="564580C8"/>
    <w:multiLevelType w:val="hybridMultilevel"/>
    <w:lvl w:ilvl="0">
      <w:lvlJc w:val="left"/>
      <w:lvlText w:val="(%1)"/>
      <w:numFmt w:val="lowerLetter"/>
      <w:start w:val="2"/>
    </w:lvl>
  </w:abstractNum>
  <w:abstractNum w:abstractNumId="196">
    <w:nsid w:val="508ED8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6A9126B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98">
    <w:nsid w:val="681048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99">
    <w:nsid w:val="62FB8680"/>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6"/>
    </w:lvl>
  </w:abstractNum>
  <w:abstractNum w:abstractNumId="200">
    <w:nsid w:val="3A45530"/>
    <w:multiLevelType w:val="hybridMultilevel"/>
    <w:lvl w:ilvl="0">
      <w:lvlJc w:val="left"/>
      <w:lvlText w:val="(%1)"/>
      <w:numFmt w:val="lowerLetter"/>
      <w:start w:val="1"/>
    </w:lvl>
  </w:abstractNum>
  <w:abstractNum w:abstractNumId="201">
    <w:nsid w:val="4B9275D2"/>
    <w:multiLevelType w:val="hybridMultilevel"/>
    <w:lvl w:ilvl="0">
      <w:lvlJc w:val="left"/>
      <w:lvlText w:val="%1"/>
      <w:numFmt w:val="lowerLetter"/>
      <w:start w:val="1"/>
    </w:lvl>
    <w:lvl w:ilvl="1">
      <w:lvlJc w:val="left"/>
      <w:lvlText w:val="(%2)"/>
      <w:numFmt w:val="lowerLetter"/>
      <w:start w:val="3"/>
    </w:lvl>
  </w:abstractNum>
  <w:abstractNum w:abstractNumId="202">
    <w:nsid w:val="4F0CEEDB"/>
    <w:multiLevelType w:val="hybridMultilevel"/>
    <w:lvl w:ilvl="0">
      <w:lvlJc w:val="left"/>
      <w:lvlText w:val="(%1)"/>
      <w:numFmt w:val="lowerLetter"/>
      <w:start w:val="35"/>
    </w:lvl>
    <w:lvl w:ilvl="1">
      <w:lvlJc w:val="left"/>
      <w:lvlText w:val="%2"/>
      <w:numFmt w:val="lowerLetter"/>
      <w:start w:val="1"/>
    </w:lvl>
  </w:abstractNum>
  <w:abstractNum w:abstractNumId="203">
    <w:nsid w:val="61C30361"/>
    <w:multiLevelType w:val="hybridMultilevel"/>
    <w:lvl w:ilvl="0">
      <w:lvlJc w:val="left"/>
      <w:lvlText w:val="(%1)"/>
      <w:numFmt w:val="lowerLetter"/>
      <w:start w:val="1"/>
    </w:lvl>
  </w:abstractNum>
  <w:abstractNum w:abstractNumId="204">
    <w:nsid w:val="632099E0"/>
    <w:multiLevelType w:val="hybridMultilevel"/>
    <w:lvl w:ilvl="0">
      <w:lvlJc w:val="left"/>
      <w:lvlText w:val="(%1)"/>
      <w:numFmt w:val="lowerLetter"/>
      <w:start w:val="1"/>
    </w:lvl>
  </w:abstractNum>
  <w:abstractNum w:abstractNumId="205">
    <w:nsid w:val="24639756"/>
    <w:multiLevelType w:val="hybridMultilevel"/>
    <w:lvl w:ilvl="0">
      <w:lvlJc w:val="left"/>
      <w:lvlText w:val="(%1)"/>
      <w:numFmt w:val="lowerLetter"/>
      <w:start w:val="2"/>
    </w:lvl>
  </w:abstractNum>
  <w:abstractNum w:abstractNumId="206">
    <w:nsid w:val="9D30DFD"/>
    <w:multiLevelType w:val="hybridMultilevel"/>
    <w:lvl w:ilvl="0">
      <w:lvlJc w:val="left"/>
      <w:lvlText w:val="(%1)"/>
      <w:numFmt w:val="lowerLetter"/>
      <w:start w:val="4"/>
    </w:lvl>
  </w:abstractNum>
  <w:abstractNum w:abstractNumId="207">
    <w:nsid w:val="70A42016"/>
    <w:multiLevelType w:val="hybridMultilevel"/>
    <w:lvl w:ilvl="0">
      <w:lvlJc w:val="left"/>
      <w:lvlText w:val="(%1)"/>
      <w:numFmt w:val="lowerLetter"/>
      <w:start w:val="1"/>
    </w:lvl>
  </w:abstractNum>
  <w:abstractNum w:abstractNumId="208">
    <w:nsid w:val="161BC243"/>
    <w:multiLevelType w:val="hybridMultilevel"/>
    <w:lvl w:ilvl="0">
      <w:lvlJc w:val="left"/>
      <w:lvlText w:val="(%1)"/>
      <w:numFmt w:val="lowerLetter"/>
      <w:start w:val="2"/>
    </w:lvl>
  </w:abstractNum>
  <w:abstractNum w:abstractNumId="209">
    <w:nsid w:val="16E908C8"/>
    <w:multiLevelType w:val="hybridMultilevel"/>
    <w:lvl w:ilvl="0">
      <w:lvlJc w:val="left"/>
      <w:lvlText w:val="(%1)"/>
      <w:numFmt w:val="lowerLetter"/>
      <w:start w:val="1"/>
    </w:lvl>
  </w:abstractNum>
  <w:abstractNum w:abstractNumId="210">
    <w:nsid w:val="2E0D7671"/>
    <w:multiLevelType w:val="hybridMultilevel"/>
    <w:lvl w:ilvl="0">
      <w:lvlJc w:val="left"/>
      <w:lvlText w:val="(%1)"/>
      <w:numFmt w:val="lowerLetter"/>
      <w:start w:val="3"/>
    </w:lvl>
  </w:abstractNum>
  <w:abstractNum w:abstractNumId="211">
    <w:nsid w:val="38B59EFF"/>
    <w:multiLevelType w:val="hybridMultilevel"/>
    <w:lvl w:ilvl="0">
      <w:lvlJc w:val="left"/>
      <w:lvlText w:val="(%1)"/>
      <w:numFmt w:val="lowerRoman"/>
      <w:start w:val="3"/>
    </w:lvl>
  </w:abstractNum>
  <w:abstractNum w:abstractNumId="212">
    <w:nsid w:val="307995CA"/>
    <w:multiLevelType w:val="hybridMultilevel"/>
    <w:lvl w:ilvl="0">
      <w:lvlJc w:val="left"/>
      <w:lvlText w:val="(%1)"/>
      <w:numFmt w:val="decimal"/>
      <w:start w:val="5"/>
    </w:lvl>
  </w:abstractNum>
  <w:abstractNum w:abstractNumId="213">
    <w:nsid w:val="52E2024D"/>
    <w:multiLevelType w:val="hybridMultilevel"/>
    <w:lvl w:ilvl="0">
      <w:lvlJc w:val="left"/>
      <w:lvlText w:val="(%1)"/>
      <w:numFmt w:val="lowerLetter"/>
      <w:start w:val="1"/>
    </w:lvl>
  </w:abstractNum>
  <w:abstractNum w:abstractNumId="214">
    <w:nsid w:val="CE344B5"/>
    <w:multiLevelType w:val="hybridMultilevel"/>
    <w:lvl w:ilvl="0">
      <w:lvlJc w:val="left"/>
      <w:lvlText w:val="(%1)"/>
      <w:numFmt w:val="lowerLetter"/>
      <w:start w:val="3"/>
    </w:lvl>
  </w:abstractNum>
  <w:abstractNum w:abstractNumId="215">
    <w:nsid w:val="29B0E9A8"/>
    <w:multiLevelType w:val="hybridMultilevel"/>
    <w:lvl w:ilvl="0">
      <w:lvlJc w:val="left"/>
      <w:lvlText w:val="(%1)"/>
      <w:numFmt w:val="lowerLetter"/>
      <w:start w:val="1"/>
    </w:lvl>
  </w:abstractNum>
  <w:abstractNum w:abstractNumId="216">
    <w:nsid w:val="6F49CD8A"/>
    <w:multiLevelType w:val="hybridMultilevel"/>
    <w:lvl w:ilvl="0">
      <w:lvlJc w:val="left"/>
      <w:lvlText w:val="(%1)"/>
      <w:numFmt w:val="lowerLetter"/>
      <w:start w:val="5"/>
    </w:lvl>
  </w:abstractNum>
  <w:abstractNum w:abstractNumId="217">
    <w:nsid w:val="4DC5D907"/>
    <w:multiLevelType w:val="hybridMultilevel"/>
    <w:lvl w:ilvl="0">
      <w:lvlJc w:val="left"/>
      <w:lvlText w:val="(%1)"/>
      <w:numFmt w:val="lowerLetter"/>
      <w:start w:val="1"/>
    </w:lvl>
  </w:abstractNum>
  <w:abstractNum w:abstractNumId="218">
    <w:nsid w:val="D55945E"/>
    <w:multiLevelType w:val="hybridMultilevel"/>
    <w:lvl w:ilvl="0">
      <w:lvlJc w:val="left"/>
      <w:lvlText w:val="(%1)"/>
      <w:numFmt w:val="lowerLetter"/>
      <w:start w:val="2"/>
    </w:lvl>
  </w:abstractNum>
  <w:abstractNum w:abstractNumId="219">
    <w:nsid w:val="672417E1"/>
    <w:multiLevelType w:val="hybridMultilevel"/>
    <w:lvl w:ilvl="0">
      <w:lvlJc w:val="left"/>
      <w:lvlText w:val="(%1)"/>
      <w:numFmt w:val="lowerLetter"/>
      <w:start w:val="1"/>
    </w:lvl>
  </w:abstractNum>
  <w:abstractNum w:abstractNumId="220">
    <w:nsid w:val="5FF6CA09"/>
    <w:multiLevelType w:val="hybridMultilevel"/>
    <w:lvl w:ilvl="0">
      <w:lvlJc w:val="left"/>
      <w:lvlText w:val="(%1)"/>
      <w:numFmt w:val="lowerLetter"/>
      <w:start w:val="1"/>
    </w:lvl>
  </w:abstractNum>
  <w:abstractNum w:abstractNumId="221">
    <w:nsid w:val="330B1333"/>
    <w:multiLevelType w:val="hybridMultilevel"/>
    <w:lvl w:ilvl="0">
      <w:lvlJc w:val="left"/>
      <w:lvlText w:val="(%1)"/>
      <w:numFmt w:val="decimal"/>
      <w:start w:val="1"/>
    </w:lvl>
  </w:abstractNum>
  <w:abstractNum w:abstractNumId="222">
    <w:nsid w:val="2EF32EA6"/>
    <w:multiLevelType w:val="hybridMultilevel"/>
    <w:lvl w:ilvl="0">
      <w:lvlJc w:val="left"/>
      <w:lvlText w:val="(%1)"/>
      <w:numFmt w:val="decimal"/>
      <w:start w:val="2"/>
    </w:lvl>
  </w:abstractNum>
  <w:abstractNum w:abstractNumId="223">
    <w:nsid w:val="32766A55"/>
    <w:multiLevelType w:val="hybridMultilevel"/>
    <w:lvl w:ilvl="0">
      <w:lvlJc w:val="left"/>
      <w:lvlText w:val="(%1)"/>
      <w:numFmt w:val="lowerLetter"/>
      <w:start w:val="1"/>
    </w:lvl>
  </w:abstractNum>
  <w:abstractNum w:abstractNumId="224">
    <w:nsid w:val="22D71957"/>
    <w:multiLevelType w:val="hybridMultilevel"/>
    <w:lvl w:ilvl="0">
      <w:lvlJc w:val="left"/>
      <w:lvlText w:val="(%1)"/>
      <w:numFmt w:val="lowerLetter"/>
      <w:start w:val="1"/>
    </w:lvl>
  </w:abstractNum>
  <w:abstractNum w:abstractNumId="225">
    <w:nsid w:val="4CC1263B"/>
    <w:multiLevelType w:val="hybridMultilevel"/>
    <w:lvl w:ilvl="0">
      <w:lvlJc w:val="left"/>
      <w:lvlText w:val="(%1)"/>
      <w:numFmt w:val="lowerLetter"/>
      <w:start w:val="2"/>
    </w:lvl>
  </w:abstractNum>
  <w:abstractNum w:abstractNumId="226">
    <w:nsid w:val="8BBEB1D"/>
    <w:multiLevelType w:val="hybridMultilevel"/>
    <w:lvl w:ilvl="0">
      <w:lvlJc w:val="left"/>
      <w:lvlText w:val="(%1)"/>
      <w:numFmt w:val="lowerRoman"/>
      <w:start w:val="3"/>
    </w:lvl>
  </w:abstractNum>
  <w:abstractNum w:abstractNumId="227">
    <w:nsid w:val="7365F1EE"/>
    <w:multiLevelType w:val="hybridMultilevel"/>
    <w:lvl w:ilvl="0">
      <w:lvlJc w:val="left"/>
      <w:lvlText w:val="["/>
      <w:numFmt w:val="bullet"/>
      <w:start w:val="1"/>
    </w:lvl>
  </w:abstractNum>
  <w:abstractNum w:abstractNumId="228">
    <w:nsid w:val="37524CF0"/>
    <w:multiLevelType w:val="hybridMultilevel"/>
    <w:lvl w:ilvl="0">
      <w:lvlJc w:val="left"/>
      <w:lvlText w:val="%1."/>
      <w:numFmt w:val="decimal"/>
      <w:start w:val="3"/>
    </w:lvl>
  </w:abstractNum>
  <w:abstractNum w:abstractNumId="229">
    <w:nsid w:val="70CC332F"/>
    <w:multiLevelType w:val="hybridMultilevel"/>
    <w:lvl w:ilvl="0">
      <w:lvlJc w:val="left"/>
      <w:lvlText w:val="%1."/>
      <w:numFmt w:val="decimal"/>
      <w:start w:val="1"/>
    </w:lvl>
  </w:abstractNum>
  <w:abstractNum w:abstractNumId="230">
    <w:nsid w:val="5661786E"/>
    <w:multiLevelType w:val="hybridMultilevel"/>
    <w:lvl w:ilvl="0">
      <w:lvlJc w:val="left"/>
      <w:lvlText w:val="%1."/>
      <w:numFmt w:val="decimal"/>
      <w:start w:val="2"/>
    </w:lvl>
  </w:abstractNum>
  <w:abstractNum w:abstractNumId="231">
    <w:nsid w:val="3AF6A220"/>
    <w:multiLevelType w:val="hybridMultilevel"/>
    <w:lvl w:ilvl="0">
      <w:lvlJc w:val="left"/>
      <w:lvlText w:val="%1."/>
      <w:numFmt w:val="decimal"/>
      <w:start w:val="3"/>
    </w:lvl>
  </w:abstractNum>
  <w:abstractNum w:abstractNumId="232">
    <w:nsid w:val="3C5EA902"/>
    <w:multiLevelType w:val="hybridMultilevel"/>
    <w:lvl w:ilvl="0">
      <w:lvlJc w:val="left"/>
      <w:lvlText w:val="•"/>
      <w:numFmt w:val="bullet"/>
      <w:start w:val="1"/>
    </w:lvl>
  </w:abstractNum>
  <w:abstractNum w:abstractNumId="233">
    <w:nsid w:val="256E6749"/>
    <w:multiLevelType w:val="hybridMultilevel"/>
    <w:lvl w:ilvl="0">
      <w:lvlJc w:val="left"/>
      <w:lvlText w:val="•"/>
      <w:numFmt w:val="bullet"/>
      <w:start w:val="1"/>
    </w:lvl>
  </w:abstractNum>
  <w:abstractNum w:abstractNumId="234">
    <w:nsid w:val="1CB9A581"/>
    <w:multiLevelType w:val="hybridMultilevel"/>
    <w:lvl w:ilvl="0">
      <w:lvlJc w:val="left"/>
      <w:lvlText w:val="%1."/>
      <w:numFmt w:val="decimal"/>
      <w:start w:val="4"/>
    </w:lvl>
    <w:lvl w:ilvl="1">
      <w:lvlJc w:val="left"/>
      <w:lvlText w:val="•"/>
      <w:numFmt w:val="bullet"/>
      <w:start w:val="1"/>
    </w:lvl>
  </w:abstractNum>
  <w:abstractNum w:abstractNumId="235">
    <w:nsid w:val="1F7F42E2"/>
    <w:multiLevelType w:val="hybridMultilevel"/>
    <w:lvl w:ilvl="0">
      <w:lvlJc w:val="left"/>
      <w:lvlText w:val="•"/>
      <w:numFmt w:val="bullet"/>
      <w:start w:val="1"/>
    </w:lvl>
  </w:abstractNum>
  <w:abstractNum w:abstractNumId="236">
    <w:nsid w:val="49D1FEA0"/>
    <w:multiLevelType w:val="hybridMultilevel"/>
    <w:lvl w:ilvl="0">
      <w:lvlJc w:val="left"/>
      <w:lvlText w:val="%1."/>
      <w:numFmt w:val="decimal"/>
      <w:start w:val="5"/>
    </w:lvl>
  </w:abstractNum>
  <w:abstractNum w:abstractNumId="237">
    <w:nsid w:val="268CB37F"/>
    <w:multiLevelType w:val="hybridMultilevel"/>
    <w:lvl w:ilvl="0">
      <w:lvlJc w:val="left"/>
      <w:lvlText w:val="%1."/>
      <w:numFmt w:val="decimal"/>
      <w:start w:val="6"/>
    </w:lvl>
    <w:lvl w:ilvl="1">
      <w:lvlJc w:val="left"/>
      <w:lvlText w:val="•"/>
      <w:numFmt w:val="bullet"/>
      <w:start w:val="1"/>
    </w:lvl>
  </w:abstractNum>
  <w:abstractNum w:abstractNumId="238">
    <w:nsid w:val="102362F8"/>
    <w:multiLevelType w:val="hybridMultilevel"/>
    <w:lvl w:ilvl="0">
      <w:lvlJc w:val="left"/>
      <w:lvlText w:val="(%1)"/>
      <w:numFmt w:val="upperLetter"/>
      <w:start w:val="2"/>
    </w:lvl>
  </w:abstractNum>
  <w:abstractNum w:abstractNumId="239">
    <w:nsid w:val="5FEDC0E3"/>
    <w:multiLevelType w:val="hybridMultilevel"/>
    <w:lvl w:ilvl="0">
      <w:lvlJc w:val="left"/>
      <w:lvlText w:val="%1."/>
      <w:numFmt w:val="decimal"/>
      <w:start w:val="6"/>
    </w:lvl>
    <w:lvl w:ilvl="1">
      <w:lvlJc w:val="left"/>
      <w:lvlText w:val="•"/>
      <w:numFmt w:val="bullet"/>
      <w:start w:val="1"/>
    </w:lvl>
  </w:abstractNum>
  <w:abstractNum w:abstractNumId="240">
    <w:nsid w:val="3D75BC47"/>
    <w:multiLevelType w:val="hybridMultilevel"/>
    <w:lvl w:ilvl="0">
      <w:lvlJc w:val="left"/>
      <w:lvlText w:val="%1."/>
      <w:numFmt w:val="decimal"/>
      <w:start w:val="7"/>
    </w:lvl>
    <w:lvl w:ilvl="1">
      <w:lvlJc w:val="left"/>
      <w:lvlText w:val="•"/>
      <w:numFmt w:val="bullet"/>
      <w:start w:val="1"/>
    </w:lvl>
  </w:abstractNum>
  <w:abstractNum w:abstractNumId="241">
    <w:nsid w:val="3E30D969"/>
    <w:multiLevelType w:val="hybridMultilevel"/>
    <w:lvl w:ilvl="0">
      <w:lvlJc w:val="left"/>
      <w:lvlText w:val="•"/>
      <w:numFmt w:val="bullet"/>
      <w:start w:val="1"/>
    </w:lvl>
  </w:abstractNum>
  <w:abstractNum w:abstractNumId="242">
    <w:nsid w:val="18A35FE3"/>
    <w:multiLevelType w:val="hybridMultilevel"/>
    <w:lvl w:ilvl="0">
      <w:lvlJc w:val="left"/>
      <w:lvlText w:val="%1."/>
      <w:numFmt w:val="decimal"/>
      <w:start w:val="9"/>
    </w:lvl>
  </w:abstractNum>
  <w:abstractNum w:abstractNumId="243">
    <w:nsid w:val="6DEF5211"/>
    <w:multiLevelType w:val="hybridMultilevel"/>
    <w:lvl w:ilvl="0">
      <w:lvlJc w:val="left"/>
      <w:lvlText w:val="•"/>
      <w:numFmt w:val="bullet"/>
      <w:start w:val="1"/>
    </w:lvl>
  </w:abstractNum>
  <w:abstractNum w:abstractNumId="244">
    <w:nsid w:val="1112DBB6"/>
    <w:multiLevelType w:val="hybridMultilevel"/>
    <w:lvl w:ilvl="0">
      <w:lvlJc w:val="left"/>
      <w:lvlText w:val="•"/>
      <w:numFmt w:val="bullet"/>
      <w:start w:val="1"/>
    </w:lvl>
  </w:abstractNum>
  <w:abstractNum w:abstractNumId="245">
    <w:nsid w:val="2586A498"/>
    <w:multiLevelType w:val="hybridMultilevel"/>
    <w:lvl w:ilvl="0">
      <w:lvlJc w:val="left"/>
      <w:lvlText w:val="%1."/>
      <w:numFmt w:val="decimal"/>
      <w:start w:val="10"/>
    </w:lvl>
  </w:abstractNum>
  <w:abstractNum w:abstractNumId="246">
    <w:nsid w:val="17A03BB9"/>
    <w:multiLevelType w:val="hybridMultilevel"/>
    <w:lvl w:ilvl="0">
      <w:lvlJc w:val="left"/>
      <w:lvlText w:val="%1."/>
      <w:numFmt w:val="decimal"/>
      <w:start w:val="11"/>
    </w:lvl>
  </w:abstractNum>
  <w:abstractNum w:abstractNumId="247">
    <w:nsid w:val="5CA941"/>
    <w:multiLevelType w:val="hybridMultilevel"/>
    <w:lvl w:ilvl="0">
      <w:lvlJc w:val="left"/>
      <w:lvlText w:val="(%1)"/>
      <w:numFmt w:val="lowerLetter"/>
      <w:start w:val="4"/>
    </w:lvl>
  </w:abstractNum>
  <w:abstractNum w:abstractNumId="248">
    <w:nsid w:val="734C7D9F"/>
    <w:multiLevelType w:val="hybridMultilevel"/>
    <w:lvl w:ilvl="0">
      <w:lvlJc w:val="left"/>
      <w:lvlText w:val="%1."/>
      <w:numFmt w:val="decimal"/>
      <w:start w:val="2"/>
    </w:lvl>
    <w:lvl w:ilvl="1">
      <w:lvlJc w:val="left"/>
      <w:lvlText w:val="%2."/>
      <w:numFmt w:val="lowerLetter"/>
      <w:start w:val="1"/>
    </w:lvl>
  </w:abstractNum>
  <w:abstractNum w:abstractNumId="249">
    <w:nsid w:val="24F5D018"/>
    <w:multiLevelType w:val="hybridMultilevel"/>
    <w:lvl w:ilvl="0">
      <w:lvlJc w:val="left"/>
      <w:lvlText w:val="%1."/>
      <w:numFmt w:val="decimal"/>
      <w:start w:val="1"/>
    </w:lvl>
  </w:abstractNum>
  <w:abstractNum w:abstractNumId="250">
    <w:nsid w:val="6780C122"/>
    <w:multiLevelType w:val="hybridMultilevel"/>
    <w:lvl w:ilvl="0">
      <w:lvlJc w:val="left"/>
      <w:lvlText w:val="%1."/>
      <w:numFmt w:val="decimal"/>
      <w:start w:val="2"/>
    </w:lvl>
  </w:abstractNum>
  <w:abstractNum w:abstractNumId="251">
    <w:nsid w:val="534347A8"/>
    <w:multiLevelType w:val="hybridMultilevel"/>
    <w:lvl w:ilvl="0">
      <w:lvlJc w:val="left"/>
      <w:lvlText w:val="%1."/>
      <w:numFmt w:val="decimal"/>
      <w:start w:val="3"/>
    </w:lvl>
  </w:abstractNum>
  <w:abstractNum w:abstractNumId="252">
    <w:nsid w:val="5800E34B"/>
    <w:multiLevelType w:val="hybridMultilevel"/>
    <w:lvl w:ilvl="0">
      <w:lvlJc w:val="left"/>
      <w:lvlText w:val="•"/>
      <w:numFmt w:val="bullet"/>
      <w:start w:val="1"/>
    </w:lvl>
  </w:abstractNum>
  <w:abstractNum w:abstractNumId="253">
    <w:nsid w:val="1673EFC8"/>
    <w:multiLevelType w:val="hybridMultilevel"/>
    <w:lvl w:ilvl="0">
      <w:lvlJc w:val="left"/>
      <w:lvlText w:val="•"/>
      <w:numFmt w:val="bullet"/>
      <w:start w:val="1"/>
    </w:lvl>
  </w:abstractNum>
  <w:abstractNum w:abstractNumId="254">
    <w:nsid w:val="5B9B1FD"/>
    <w:multiLevelType w:val="hybridMultilevel"/>
    <w:lvl w:ilvl="0">
      <w:lvlJc w:val="left"/>
      <w:lvlText w:val="•"/>
      <w:numFmt w:val="bullet"/>
      <w:start w:val="1"/>
    </w:lvl>
  </w:abstractNum>
  <w:abstractNum w:abstractNumId="255">
    <w:nsid w:val="7AD7FCA2"/>
    <w:multiLevelType w:val="hybridMultilevel"/>
    <w:lvl w:ilvl="0">
      <w:lvlJc w:val="left"/>
      <w:lvlText w:val="%1."/>
      <w:numFmt w:val="decimal"/>
      <w:start w:val="4"/>
    </w:lvl>
    <w:lvl w:ilvl="1">
      <w:lvlJc w:val="left"/>
      <w:lvlText w:val="•"/>
      <w:numFmt w:val="bullet"/>
      <w:start w:val="1"/>
    </w:lvl>
  </w:abstractNum>
  <w:abstractNum w:abstractNumId="256">
    <w:nsid w:val="63351604"/>
    <w:multiLevelType w:val="hybridMultilevel"/>
    <w:lvl w:ilvl="0">
      <w:lvlJc w:val="left"/>
      <w:lvlText w:val="%1."/>
      <w:numFmt w:val="decimal"/>
      <w:start w:val="4"/>
    </w:lvl>
    <w:lvl w:ilvl="1">
      <w:lvlJc w:val="left"/>
      <w:lvlText w:val="•"/>
      <w:numFmt w:val="bullet"/>
      <w:start w:val="1"/>
    </w:lvl>
  </w:abstractNum>
  <w:abstractNum w:abstractNumId="257">
    <w:nsid w:val="E759D1A"/>
    <w:multiLevelType w:val="hybridMultilevel"/>
    <w:lvl w:ilvl="0">
      <w:lvlJc w:val="left"/>
      <w:lvlText w:val="%1."/>
      <w:numFmt w:val="decimal"/>
      <w:start w:val="6"/>
    </w:lvl>
    <w:lvl w:ilvl="1">
      <w:lvlJc w:val="left"/>
      <w:lvlText w:val="•"/>
      <w:numFmt w:val="bullet"/>
      <w:start w:val="1"/>
    </w:lvl>
  </w:abstractNum>
  <w:abstractNum w:abstractNumId="258">
    <w:nsid w:val="6E3DEE90"/>
    <w:multiLevelType w:val="hybridMultilevel"/>
    <w:lvl w:ilvl="0">
      <w:lvlJc w:val="left"/>
      <w:lvlText w:val="%1."/>
      <w:numFmt w:val="decimal"/>
      <w:start w:val="6"/>
    </w:lvl>
    <w:lvl w:ilvl="1">
      <w:lvlJc w:val="left"/>
      <w:lvlText w:val="•"/>
      <w:numFmt w:val="bullet"/>
      <w:start w:val="1"/>
    </w:lvl>
  </w:abstractNum>
  <w:abstractNum w:abstractNumId="259">
    <w:nsid w:val="1A8762F4"/>
    <w:multiLevelType w:val="hybridMultilevel"/>
    <w:lvl w:ilvl="0">
      <w:lvlJc w:val="left"/>
      <w:lvlText w:val="%1."/>
      <w:numFmt w:val="decimal"/>
      <w:start w:val="7"/>
    </w:lvl>
    <w:lvl w:ilvl="1">
      <w:lvlJc w:val="left"/>
      <w:lvlText w:val="•"/>
      <w:numFmt w:val="bullet"/>
      <w:start w:val="1"/>
    </w:lvl>
  </w:abstractNum>
  <w:abstractNum w:abstractNumId="260">
    <w:nsid w:val="7F41D049"/>
    <w:multiLevelType w:val="hybridMultilevel"/>
    <w:lvl w:ilvl="0">
      <w:lvlJc w:val="left"/>
      <w:lvlText w:val="•"/>
      <w:numFmt w:val="bullet"/>
      <w:start w:val="1"/>
    </w:lvl>
  </w:abstractNum>
  <w:abstractNum w:abstractNumId="261">
    <w:nsid w:val="449F66FE"/>
    <w:multiLevelType w:val="hybridMultilevel"/>
    <w:lvl w:ilvl="0">
      <w:lvlJc w:val="left"/>
      <w:lvlText w:val="%1."/>
      <w:numFmt w:val="decimal"/>
      <w:start w:val="9"/>
    </w:lvl>
  </w:abstractNum>
  <w:abstractNum w:abstractNumId="262">
    <w:nsid w:val="557E0515"/>
    <w:multiLevelType w:val="hybridMultilevel"/>
    <w:lvl w:ilvl="0">
      <w:lvlJc w:val="left"/>
      <w:lvlText w:val="•"/>
      <w:numFmt w:val="bullet"/>
      <w:start w:val="1"/>
    </w:lvl>
  </w:abstractNum>
  <w:abstractNum w:abstractNumId="263">
    <w:nsid w:val="3BA0794B"/>
    <w:multiLevelType w:val="hybridMultilevel"/>
    <w:lvl w:ilvl="0">
      <w:lvlJc w:val="left"/>
      <w:lvlText w:val="•"/>
      <w:numFmt w:val="bullet"/>
      <w:start w:val="1"/>
    </w:lvl>
  </w:abstractNum>
  <w:abstractNum w:abstractNumId="264">
    <w:nsid w:val="6A0DCE48"/>
    <w:multiLevelType w:val="hybridMultilevel"/>
    <w:lvl w:ilvl="0">
      <w:lvlJc w:val="left"/>
      <w:lvlText w:val="%1."/>
      <w:numFmt w:val="decimal"/>
      <w:start w:val="10"/>
    </w:lvl>
  </w:abstractNum>
  <w:abstractNum w:abstractNumId="265">
    <w:nsid w:val="7237AA96"/>
    <w:multiLevelType w:val="hybridMultilevel"/>
    <w:lvl w:ilvl="0">
      <w:lvlJc w:val="left"/>
      <w:lvlText w:val="%1."/>
      <w:numFmt w:val="decimal"/>
      <w:start w:val="11"/>
    </w:lvl>
  </w:abstractNum>
  <w:abstractNum w:abstractNumId="266">
    <w:nsid w:val="5B1FBC2D"/>
    <w:multiLevelType w:val="hybridMultilevel"/>
    <w:lvl w:ilvl="0">
      <w:lvlJc w:val="left"/>
      <w:lvlText w:val="(%1)"/>
      <w:numFmt w:val="lowerLetter"/>
      <w:start w:val="4"/>
    </w:lvl>
  </w:abstractNum>
  <w:abstractNum w:abstractNumId="267">
    <w:nsid w:val="33DFCCE8"/>
    <w:multiLevelType w:val="hybridMultilevel"/>
    <w:lvl w:ilvl="0">
      <w:lvlJc w:val="left"/>
      <w:lvlText w:val="%1."/>
      <w:numFmt w:val="decimal"/>
      <w:start w:val="2"/>
    </w:lvl>
    <w:lvl w:ilvl="1">
      <w:lvlJc w:val="left"/>
      <w:lvlText w:val="%2."/>
      <w:numFmt w:val="lowerLetter"/>
      <w:start w:val="1"/>
    </w:lvl>
  </w:abstractNum>
  <w:abstractNum w:abstractNumId="268">
    <w:nsid w:val="18C45E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9">
    <w:nsid w:val="6B431F25"/>
    <w:multiLevelType w:val="hybridMultilevel"/>
    <w:lvl w:ilvl="0">
      <w:lvlJc w:val="left"/>
      <w:lvlText w:val="%1"/>
      <w:numFmt w:val="upperLetter"/>
      <w:start w:val="1"/>
    </w:lvl>
    <w:lvl w:ilvl="1">
      <w:lvlJc w:val="left"/>
      <w:lvlText w:val="(%2)"/>
      <w:numFmt w:val="lowerRoman"/>
      <w:start w:val="2"/>
    </w:lvl>
  </w:abstractNum>
  <w:abstractNum w:abstractNumId="270">
    <w:nsid w:val="13CD8DCB"/>
    <w:multiLevelType w:val="hybridMultilevel"/>
    <w:lvl w:ilvl="0">
      <w:lvlJc w:val="left"/>
      <w:lvlText w:val="(%1)"/>
      <w:numFmt w:val="upperLetter"/>
      <w:start w:val="5"/>
    </w:lvl>
    <w:lvl w:ilvl="1">
      <w:lvlJc w:val="left"/>
      <w:lvlText w:val="(%2)"/>
      <w:numFmt w:val="lowerRoman"/>
      <w:start w:val="7"/>
    </w:lvl>
  </w:abstractNum>
  <w:abstractNum w:abstractNumId="271">
    <w:nsid w:val="563A1A5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272">
    <w:nsid w:val="2973F88F"/>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73">
    <w:nsid w:val="2C70EDA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74">
    <w:nsid w:val="44296C6D"/>
    <w:multiLevelType w:val="hybridMultilevel"/>
    <w:lvl w:ilvl="0">
      <w:lvlJc w:val="left"/>
      <w:lvlText w:val="%1"/>
      <w:numFmt w:val="decimal"/>
      <w:start w:val="1"/>
    </w:lvl>
    <w:lvl w:ilvl="1">
      <w:lvlJc w:val="left"/>
      <w:lvlText w:val="(%2)"/>
      <w:numFmt w:val="lowerLetter"/>
      <w:start w:val="5"/>
    </w:lvl>
  </w:abstractNum>
  <w:abstractNum w:abstractNumId="275">
    <w:nsid w:val="3A86D445"/>
    <w:multiLevelType w:val="hybridMultilevel"/>
    <w:lvl w:ilvl="0">
      <w:lvlJc w:val="left"/>
      <w:lvlText w:val="%1."/>
      <w:numFmt w:val="decimal"/>
      <w:start w:val="3"/>
    </w:lvl>
    <w:lvl w:ilvl="1">
      <w:lvlJc w:val="left"/>
      <w:lvlText w:val="(%2)"/>
      <w:numFmt w:val="lowerLetter"/>
      <w:start w:val="1"/>
    </w:lvl>
  </w:abstractNum>
  <w:abstractNum w:abstractNumId="276">
    <w:nsid w:val="51F79246"/>
    <w:multiLevelType w:val="hybridMultilevel"/>
    <w:lvl w:ilvl="0">
      <w:lvlJc w:val="left"/>
      <w:lvlText w:val="(%1)"/>
      <w:numFmt w:val="lowerLetter"/>
      <w:start w:val="2"/>
    </w:lvl>
  </w:abstractNum>
  <w:abstractNum w:abstractNumId="277">
    <w:nsid w:val="5BC9A827"/>
    <w:multiLevelType w:val="hybridMultilevel"/>
    <w:lvl w:ilvl="0">
      <w:lvlJc w:val="left"/>
      <w:lvlText w:val="%1."/>
      <w:numFmt w:val="decimal"/>
      <w:start w:val="5"/>
    </w:lvl>
  </w:abstractNum>
  <w:abstractNum w:abstractNumId="278">
    <w:nsid w:val="3AE37D86"/>
    <w:multiLevelType w:val="hybridMultilevel"/>
    <w:lvl w:ilvl="0">
      <w:lvlJc w:val="left"/>
      <w:lvlText w:val="(%1)"/>
      <w:numFmt w:val="lowerLetter"/>
      <w:start w:val="1"/>
    </w:lvl>
  </w:abstractNum>
  <w:abstractNum w:abstractNumId="279">
    <w:nsid w:val="45440FE5"/>
    <w:multiLevelType w:val="hybridMultilevel"/>
    <w:lvl w:ilvl="0">
      <w:lvlJc w:val="left"/>
      <w:lvlText w:val="(%1)"/>
      <w:numFmt w:val="lowerLetter"/>
      <w:start w:val="3"/>
    </w:lvl>
    <w:lvl w:ilvl="1">
      <w:lvlJc w:val="left"/>
      <w:lvlText w:val="(%2)"/>
      <w:numFmt w:val="lowerRoman"/>
      <w:start w:val="1"/>
    </w:lvl>
  </w:abstractNum>
  <w:abstractNum w:abstractNumId="280">
    <w:nsid w:val="BF783F"/>
    <w:multiLevelType w:val="hybridMultilevel"/>
    <w:lvl w:ilvl="0">
      <w:lvlJc w:val="left"/>
      <w:lvlText w:val="(%1)"/>
      <w:numFmt w:val="lowerLetter"/>
      <w:start w:val="5"/>
    </w:lvl>
    <w:lvl w:ilvl="1">
      <w:lvlJc w:val="left"/>
      <w:lvlText w:val="(%2)"/>
      <w:numFmt w:val="lowerRoman"/>
      <w:start w:val="1"/>
    </w:lvl>
  </w:abstractNum>
  <w:abstractNum w:abstractNumId="281">
    <w:nsid w:val="22643EA9"/>
    <w:multiLevelType w:val="hybridMultilevel"/>
    <w:lvl w:ilvl="0">
      <w:lvlJc w:val="left"/>
      <w:lvlText w:val="(%1)"/>
      <w:numFmt w:val="lowerLetter"/>
      <w:start w:val="8"/>
    </w:lvl>
  </w:abstractNum>
  <w:abstractNum w:abstractNumId="282">
    <w:nsid w:val="1887578D"/>
    <w:multiLevelType w:val="hybridMultilevel"/>
    <w:lvl w:ilvl="0">
      <w:lvlJc w:val="left"/>
      <w:lvlText w:val="(%1)"/>
      <w:numFmt w:val="lowerLetter"/>
      <w:start w:val="11"/>
    </w:lvl>
  </w:abstractNum>
  <w:abstractNum w:abstractNumId="283">
    <w:nsid w:val="58C05B8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4">
    <w:nsid w:val="38D82E71"/>
    <w:multiLevelType w:val="hybridMultilevel"/>
    <w:lvl w:ilvl="0">
      <w:lvlJc w:val="left"/>
      <w:lvlText w:val="(%1)"/>
      <w:numFmt w:val="lowerLetter"/>
      <w:start w:val="2"/>
    </w:lvl>
    <w:lvl w:ilvl="1">
      <w:lvlJc w:val="left"/>
      <w:lvlText w:val="(%2)"/>
      <w:numFmt w:val="lowerRoman"/>
      <w:start w:val="1"/>
    </w:lvl>
  </w:abstractNum>
  <w:abstractNum w:abstractNumId="285">
    <w:nsid w:val="1E41098A"/>
    <w:multiLevelType w:val="hybridMultilevel"/>
    <w:lvl w:ilvl="0">
      <w:lvlJc w:val="left"/>
      <w:lvlText w:val="%1."/>
      <w:numFmt w:val="decimal"/>
      <w:start w:val="7"/>
    </w:lvl>
    <w:lvl w:ilvl="1">
      <w:lvlJc w:val="left"/>
      <w:lvlText w:val="(%2)"/>
      <w:numFmt w:val="lowerLetter"/>
      <w:start w:val="1"/>
    </w:lvl>
  </w:abstractNum>
  <w:abstractNum w:abstractNumId="286">
    <w:nsid w:val="5398582C"/>
    <w:multiLevelType w:val="hybridMultilevel"/>
    <w:lvl w:ilvl="0">
      <w:lvlJc w:val="left"/>
      <w:lvlText w:val="(%1)"/>
      <w:numFmt w:val="lowerLetter"/>
      <w:start w:val="5"/>
    </w:lvl>
  </w:abstractNum>
  <w:abstractNum w:abstractNumId="287">
    <w:nsid w:val="1C0D4475"/>
    <w:multiLevelType w:val="hybridMultilevel"/>
    <w:lvl w:ilvl="0">
      <w:lvlJc w:val="left"/>
      <w:lvlText w:val="%1"/>
      <w:numFmt w:val="upperLetter"/>
      <w:start w:val="1"/>
    </w:lvl>
    <w:lvl w:ilvl="1">
      <w:lvlJc w:val="left"/>
      <w:lvlText w:val="(%2)"/>
      <w:numFmt w:val="lowerLetter"/>
      <w:start w:val="8"/>
    </w:lvl>
  </w:abstractNum>
  <w:abstractNum w:abstractNumId="288">
    <w:nsid w:val="2CB6A6A4"/>
    <w:multiLevelType w:val="hybridMultilevel"/>
    <w:lvl w:ilvl="0">
      <w:lvlJc w:val="left"/>
      <w:lvlText w:val="(%1)"/>
      <w:numFmt w:val="upperLetter"/>
      <w:start w:val="1"/>
    </w:lvl>
    <w:lvl w:ilvl="1">
      <w:lvlJc w:val="left"/>
      <w:lvlText w:val="%2"/>
      <w:numFmt w:val="lowerLetter"/>
      <w:start w:val="1"/>
    </w:lvl>
  </w:abstractNum>
  <w:abstractNum w:abstractNumId="289">
    <w:nsid w:val="41D646BC"/>
    <w:multiLevelType w:val="hybridMultilevel"/>
    <w:lvl w:ilvl="0">
      <w:lvlJc w:val="left"/>
      <w:lvlText w:val="%1"/>
      <w:numFmt w:val="decimal"/>
      <w:start w:val="1"/>
    </w:lvl>
    <w:lvl w:ilvl="1">
      <w:lvlJc w:val="left"/>
      <w:lvlText w:val="(%2)"/>
      <w:numFmt w:val="lowerLetter"/>
      <w:start w:val="12"/>
    </w:lvl>
  </w:abstractNum>
  <w:abstractNum w:abstractNumId="290">
    <w:nsid w:val="3694A76A"/>
    <w:multiLevelType w:val="hybridMultilevel"/>
    <w:lvl w:ilvl="0">
      <w:lvlJc w:val="left"/>
      <w:lvlText w:val="%1."/>
      <w:numFmt w:val="decimal"/>
      <w:start w:val="9"/>
    </w:lvl>
    <w:lvl w:ilvl="1">
      <w:lvlJc w:val="left"/>
      <w:lvlText w:val="(%2)"/>
      <w:numFmt w:val="lowerLetter"/>
      <w:start w:val="1"/>
    </w:lvl>
  </w:abstractNum>
  <w:abstractNum w:abstractNumId="291">
    <w:nsid w:val="2BF876EE"/>
    <w:multiLevelType w:val="hybridMultilevel"/>
    <w:lvl w:ilvl="0">
      <w:lvlJc w:val="left"/>
      <w:lvlText w:val="(%1)"/>
      <w:numFmt w:val="lowerLetter"/>
      <w:start w:val="3"/>
    </w:lvl>
    <w:lvl w:ilvl="1">
      <w:lvlJc w:val="left"/>
      <w:lvlText w:val="(%2)"/>
      <w:numFmt w:val="lowerRoman"/>
      <w:start w:val="1"/>
    </w:lvl>
  </w:abstractNum>
  <w:abstractNum w:abstractNumId="292">
    <w:nsid w:val="675ADBA"/>
    <w:multiLevelType w:val="hybridMultilevel"/>
    <w:lvl w:ilvl="0">
      <w:lvlJc w:val="left"/>
      <w:lvlText w:val="%1"/>
      <w:numFmt w:val="decimal"/>
      <w:start w:val="1"/>
    </w:lvl>
    <w:lvl w:ilvl="1">
      <w:lvlJc w:val="left"/>
      <w:lvlText w:val="(%2)"/>
      <w:numFmt w:val="lowerLetter"/>
      <w:start w:val="4"/>
    </w:lvl>
  </w:abstractNum>
  <w:abstractNum w:abstractNumId="293">
    <w:nsid w:val="C12AC7F"/>
    <w:multiLevelType w:val="hybridMultilevel"/>
    <w:lvl w:ilvl="0">
      <w:lvlJc w:val="left"/>
      <w:lvlText w:val="%1."/>
      <w:numFmt w:val="decimal"/>
      <w:start w:val="10"/>
    </w:lvl>
    <w:lvl w:ilvl="1">
      <w:lvlJc w:val="left"/>
      <w:lvlText w:val="(%2)"/>
      <w:numFmt w:val="lowerLetter"/>
      <w:start w:val="1"/>
    </w:lvl>
  </w:abstractNum>
  <w:abstractNum w:abstractNumId="294">
    <w:nsid w:val="6798F039"/>
    <w:multiLevelType w:val="hybridMultilevel"/>
    <w:lvl w:ilvl="0">
      <w:lvlJc w:val="left"/>
      <w:lvlText w:val="%1"/>
      <w:numFmt w:val="decimal"/>
      <w:start w:val="1"/>
    </w:lvl>
    <w:lvl w:ilvl="1">
      <w:lvlJc w:val="left"/>
      <w:lvlText w:val="(%2)"/>
      <w:numFmt w:val="lowerLetter"/>
      <w:start w:val="2"/>
    </w:lvl>
  </w:abstractNum>
  <w:abstractNum w:abstractNumId="295">
    <w:nsid w:val="70837C02"/>
    <w:multiLevelType w:val="hybridMultilevel"/>
    <w:lvl w:ilvl="0">
      <w:lvlJc w:val="left"/>
      <w:lvlText w:val="%1."/>
      <w:numFmt w:val="decimal"/>
      <w:start w:val="11"/>
    </w:lvl>
    <w:lvl w:ilvl="1">
      <w:lvlJc w:val="left"/>
      <w:lvlText w:val="%2"/>
      <w:numFmt w:val="lowerLetter"/>
      <w:start w:val="1"/>
    </w:lvl>
  </w:abstractNum>
  <w:abstractNum w:abstractNumId="296">
    <w:nsid w:val="7E4A5715"/>
    <w:multiLevelType w:val="hybridMultilevel"/>
    <w:lvl w:ilvl="0">
      <w:lvlJc w:val="left"/>
      <w:lvlText w:val="%1."/>
      <w:numFmt w:val="decimal"/>
      <w:start w:val="12"/>
    </w:lvl>
  </w:abstractNum>
  <w:abstractNum w:abstractNumId="297">
    <w:nsid w:val="42B8AC67"/>
    <w:multiLevelType w:val="hybridMultilevel"/>
    <w:lvl w:ilvl="0">
      <w:lvlJc w:val="left"/>
      <w:lvlText w:val="%1."/>
      <w:numFmt w:val="decimal"/>
      <w:start w:val="13"/>
    </w:lvl>
    <w:lvl w:ilvl="1">
      <w:lvlJc w:val="left"/>
      <w:lvlText w:val="(%2)"/>
      <w:numFmt w:val="lowerLetter"/>
      <w:start w:val="1"/>
    </w:lvl>
  </w:abstractNum>
  <w:abstractNum w:abstractNumId="298">
    <w:nsid w:val="246348EA"/>
    <w:multiLevelType w:val="hybridMultilevel"/>
    <w:lvl w:ilvl="0">
      <w:lvlJc w:val="left"/>
      <w:lvlText w:val="(%1)"/>
      <w:numFmt w:val="lowerLetter"/>
      <w:start w:val="5"/>
    </w:lvl>
  </w:abstractNum>
  <w:abstractNum w:abstractNumId="299">
    <w:nsid w:val="170EB52B"/>
    <w:multiLevelType w:val="hybridMultilevel"/>
    <w:lvl w:ilvl="0">
      <w:lvlJc w:val="left"/>
      <w:lvlText w:val="(%1)"/>
      <w:numFmt w:val="lowerRoman"/>
      <w:start w:val="1"/>
    </w:lvl>
  </w:abstractNum>
  <w:abstractNum w:abstractNumId="300">
    <w:nsid w:val="2DFBCB8C"/>
    <w:multiLevelType w:val="hybridMultilevel"/>
    <w:lvl w:ilvl="0">
      <w:lvlJc w:val="left"/>
      <w:lvlText w:val="(%1)"/>
      <w:numFmt w:val="lowerRoman"/>
      <w:start w:val="2"/>
    </w:lvl>
  </w:abstractNum>
  <w:abstractNum w:abstractNumId="301">
    <w:nsid w:val="3830D6B6"/>
    <w:multiLevelType w:val="hybridMultilevel"/>
    <w:lvl w:ilvl="0">
      <w:lvlJc w:val="left"/>
      <w:lvlText w:val="(%1)"/>
      <w:numFmt w:val="lowerRoman"/>
      <w:start w:val="4"/>
    </w:lvl>
  </w:abstractNum>
  <w:abstractNum w:abstractNumId="302">
    <w:nsid w:val="6D48CF87"/>
    <w:multiLevelType w:val="hybridMultilevel"/>
    <w:lvl w:ilvl="0">
      <w:lvlJc w:val="left"/>
      <w:lvlText w:val="(%1)"/>
      <w:numFmt w:val="lowerLetter"/>
      <w:start w:val="6"/>
    </w:lvl>
  </w:abstractNum>
  <w:abstractNum w:abstractNumId="303">
    <w:nsid w:val="576FC41B"/>
    <w:multiLevelType w:val="hybridMultilevel"/>
    <w:lvl w:ilvl="0">
      <w:lvlJc w:val="left"/>
      <w:lvlText w:val="(%1)"/>
      <w:numFmt w:val="lowerLetter"/>
      <w:start w:val="12"/>
    </w:lvl>
    <w:lvl w:ilvl="1">
      <w:lvlJc w:val="left"/>
      <w:lvlText w:val="(%2)"/>
      <w:numFmt w:val="lowerRoman"/>
      <w:start w:val="1"/>
    </w:lvl>
  </w:abstractNum>
  <w:abstractNum w:abstractNumId="304">
    <w:nsid w:val="64A1C464"/>
    <w:multiLevelType w:val="hybridMultilevel"/>
    <w:lvl w:ilvl="0">
      <w:lvlJc w:val="left"/>
      <w:lvlText w:val="(%1)"/>
      <w:numFmt w:val="lowerLetter"/>
      <w:start w:val="20"/>
    </w:lvl>
  </w:abstractNum>
  <w:abstractNum w:abstractNumId="305">
    <w:nsid w:val="31723BF5"/>
    <w:multiLevelType w:val="hybridMultilevel"/>
    <w:lvl w:ilvl="0">
      <w:lvlJc w:val="left"/>
      <w:lvlText w:val="(%1)"/>
      <w:numFmt w:val="lowerLetter"/>
      <w:start w:val="27"/>
    </w:lvl>
  </w:abstractNum>
  <w:abstractNum w:abstractNumId="306">
    <w:nsid w:val="11F69861"/>
    <w:multiLevelType w:val="hybridMultilevel"/>
    <w:lvl w:ilvl="0">
      <w:lvlJc w:val="left"/>
      <w:lvlText w:val="(%1)"/>
      <w:numFmt w:val="lowerLetter"/>
      <w:start w:val="31"/>
    </w:lvl>
  </w:abstractNum>
  <w:abstractNum w:abstractNumId="307">
    <w:nsid w:val="369956AB"/>
    <w:multiLevelType w:val="hybridMultilevel"/>
    <w:lvl w:ilvl="0">
      <w:lvlJc w:val="left"/>
      <w:lvlText w:val="1"/>
      <w:numFmt w:val="bullet"/>
      <w:start w:val="1"/>
    </w:lvl>
  </w:abstractNum>
  <w:abstractNum w:abstractNumId="308">
    <w:nsid w:val="D3BE41C"/>
    <w:multiLevelType w:val="hybridMultilevel"/>
    <w:lvl w:ilvl="0">
      <w:lvlJc w:val="left"/>
      <w:lvlText w:val="2"/>
      <w:numFmt w:val="bullet"/>
      <w:start w:val="1"/>
    </w:lvl>
  </w:abstractNum>
  <w:abstractNum w:abstractNumId="309">
    <w:nsid w:val="4CDA15E7"/>
    <w:multiLevelType w:val="hybridMultilevel"/>
    <w:lvl w:ilvl="0">
      <w:lvlJc w:val="left"/>
      <w:lvlText w:val="%1."/>
      <w:numFmt w:val="decimal"/>
      <w:start w:val="1"/>
    </w:lvl>
    <w:lvl w:ilvl="1">
      <w:lvlJc w:val="left"/>
      <w:lvlText w:val="%2."/>
      <w:numFmt w:val="lowerLetter"/>
      <w:start w:val="1"/>
    </w:lvl>
  </w:abstractNum>
  <w:abstractNum w:abstractNumId="310">
    <w:nsid w:val="7BDD6690"/>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11">
    <w:nsid w:val="DFB5C5B"/>
    <w:multiLevelType w:val="hybridMultilevel"/>
    <w:lvl w:ilvl="0">
      <w:lvlJc w:val="left"/>
      <w:lvlText w:val="%1."/>
      <w:numFmt w:val="decimal"/>
      <w:start w:val="6"/>
    </w:lvl>
    <w:lvl w:ilvl="1">
      <w:lvlJc w:val="left"/>
      <w:lvlText w:val="%2."/>
      <w:numFmt w:val="lowerLetter"/>
      <w:start w:val="1"/>
    </w:lvl>
  </w:abstractNum>
  <w:abstractNum w:abstractNumId="312">
    <w:nsid w:val="6F3E5490"/>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313">
    <w:nsid w:val="1464BE1E"/>
    <w:multiLevelType w:val="hybridMultilevel"/>
    <w:lvl w:ilvl="0">
      <w:lvlJc w:val="left"/>
      <w:lvlText w:val="(%1)"/>
      <w:numFmt w:val="decimal"/>
      <w:start w:val="2"/>
    </w:lvl>
    <w:lvl w:ilvl="1">
      <w:lvlJc w:val="left"/>
      <w:lvlText w:val="%2."/>
      <w:numFmt w:val="decimal"/>
      <w:start w:val="9"/>
    </w:lvl>
    <w:lvl w:ilvl="2">
      <w:lvlJc w:val="left"/>
      <w:lvlText w:val="%3."/>
      <w:numFmt w:val="lowerLetter"/>
      <w:start w:val="4"/>
    </w:lvl>
  </w:abstractNum>
  <w:abstractNum w:abstractNumId="314">
    <w:nsid w:val="66BBB7E5"/>
    <w:multiLevelType w:val="hybridMultilevel"/>
    <w:lvl w:ilvl="0">
      <w:lvlJc w:val="left"/>
      <w:lvlText w:val="%1."/>
      <w:numFmt w:val="decimal"/>
      <w:start w:val="11"/>
    </w:lvl>
    <w:lvl w:ilvl="1">
      <w:lvlJc w:val="left"/>
      <w:lvlText w:val="%2."/>
      <w:numFmt w:val="lowerLetter"/>
      <w:start w:val="1"/>
    </w:lvl>
  </w:abstractNum>
  <w:abstractNum w:abstractNumId="315">
    <w:nsid w:val="28168302"/>
    <w:multiLevelType w:val="hybridMultilevel"/>
    <w:lvl w:ilvl="0">
      <w:lvlJc w:val="left"/>
      <w:lvlText w:val="%1."/>
      <w:numFmt w:val="decimal"/>
      <w:start w:val="15"/>
    </w:lvl>
  </w:abstractNum>
  <w:abstractNum w:abstractNumId="316">
    <w:nsid w:val="32A5C7A8"/>
    <w:multiLevelType w:val="hybridMultilevel"/>
    <w:lvl w:ilvl="0">
      <w:lvlJc w:val="left"/>
      <w:lvlText w:val="%1."/>
      <w:numFmt w:val="decimal"/>
      <w:start w:val="18"/>
    </w:lvl>
    <w:lvl w:ilvl="1">
      <w:lvlJc w:val="left"/>
      <w:lvlText w:val="%2."/>
      <w:numFmt w:val="lowerLetter"/>
      <w:start w:val="1"/>
    </w:lvl>
  </w:abstractNum>
  <w:abstractNum w:abstractNumId="317">
    <w:nsid w:val="3A541011"/>
    <w:multiLevelType w:val="hybridMultilevel"/>
    <w:lvl w:ilvl="0">
      <w:lvlJc w:val="left"/>
      <w:lvlText w:val="%1."/>
      <w:numFmt w:val="decimal"/>
      <w:start w:val="20"/>
    </w:lvl>
  </w:abstractNum>
  <w:abstractNum w:abstractNumId="318">
    <w:nsid w:val="4423C777"/>
    <w:multiLevelType w:val="hybridMultilevel"/>
    <w:lvl w:ilvl="0">
      <w:lvlJc w:val="left"/>
      <w:lvlText w:val="%1."/>
      <w:numFmt w:val="decimal"/>
      <w:start w:val="21"/>
    </w:lvl>
  </w:abstractNum>
  <w:abstractNum w:abstractNumId="319">
    <w:nsid w:val="5F5C6E4D"/>
    <w:multiLevelType w:val="hybridMultilevel"/>
    <w:lvl w:ilvl="0">
      <w:lvlJc w:val="left"/>
      <w:lvlText w:val="%1."/>
      <w:numFmt w:val="decimal"/>
      <w:start w:val="24"/>
    </w:lvl>
    <w:lvl w:ilvl="1">
      <w:lvlJc w:val="left"/>
      <w:lvlText w:val="%2."/>
      <w:numFmt w:val="lowerLetter"/>
      <w:start w:val="1"/>
    </w:lvl>
  </w:abstractNum>
  <w:abstractNum w:abstractNumId="320">
    <w:nsid w:val="7C2A56CD"/>
    <w:multiLevelType w:val="hybridMultilevel"/>
    <w:lvl w:ilvl="0">
      <w:lvlJc w:val="left"/>
      <w:lvlText w:val="%1."/>
      <w:numFmt w:val="decimal"/>
      <w:start w:val="28"/>
    </w:lvl>
    <w:lvl w:ilvl="1">
      <w:lvlJc w:val="left"/>
      <w:lvlText w:val="%2."/>
      <w:numFmt w:val="lowerLetter"/>
      <w:start w:val="1"/>
    </w:lvl>
  </w:abstractNum>
  <w:abstractNum w:abstractNumId="321">
    <w:nsid w:val="7AB86EE1"/>
    <w:multiLevelType w:val="hybridMultilevel"/>
    <w:lvl w:ilvl="0">
      <w:lvlJc w:val="left"/>
      <w:lvlText w:val="%1."/>
      <w:numFmt w:val="decimal"/>
      <w:start w:val="29"/>
    </w:lvl>
  </w:abstractNum>
  <w:abstractNum w:abstractNumId="322">
    <w:nsid w:val="B54E53B"/>
    <w:multiLevelType w:val="hybridMultilevel"/>
    <w:lvl w:ilvl="0">
      <w:lvlJc w:val="left"/>
      <w:lvlText w:val="%1."/>
      <w:numFmt w:val="decimal"/>
      <w:start w:val="31"/>
    </w:lvl>
    <w:lvl w:ilvl="1">
      <w:lvlJc w:val="left"/>
      <w:lvlText w:val="%2."/>
      <w:numFmt w:val="lowerLetter"/>
      <w:start w:val="1"/>
    </w:lvl>
  </w:abstractNum>
  <w:abstractNum w:abstractNumId="323">
    <w:nsid w:val="2A00487"/>
    <w:multiLevelType w:val="hybridMultilevel"/>
    <w:lvl w:ilvl="0">
      <w:lvlJc w:val="left"/>
      <w:lvlText w:val="%1."/>
      <w:numFmt w:val="decimal"/>
      <w:start w:val="1"/>
    </w:lvl>
  </w:abstractNum>
  <w:abstractNum w:abstractNumId="324">
    <w:nsid w:val="6CB1B60"/>
    <w:multiLevelType w:val="hybridMultilevel"/>
    <w:lvl w:ilvl="0">
      <w:lvlJc w:val="left"/>
      <w:lvlText w:val="%1."/>
      <w:numFmt w:val="decimal"/>
      <w:start w:val="6"/>
    </w:lvl>
  </w:abstractNum>
  <w:abstractNum w:abstractNumId="325">
    <w:nsid w:val="72EDD574"/>
    <w:multiLevelType w:val="hybridMultilevel"/>
    <w:lvl w:ilvl="0">
      <w:lvlJc w:val="left"/>
      <w:lvlText w:val="%1."/>
      <w:numFmt w:val="decimal"/>
      <w:start w:val="14"/>
    </w:lvl>
  </w:abstractNum>
  <w:abstractNum w:abstractNumId="326">
    <w:nsid w:val="7323808A"/>
    <w:multiLevelType w:val="hybridMultilevel"/>
    <w:lvl w:ilvl="0">
      <w:lvlJc w:val="left"/>
      <w:lvlText w:val="%1."/>
      <w:numFmt w:val="decimal"/>
      <w:start w:val="15"/>
    </w:lvl>
  </w:abstractNum>
  <w:abstractNum w:abstractNumId="327">
    <w:nsid w:val="5157276"/>
    <w:multiLevelType w:val="hybridMultilevel"/>
    <w:lvl w:ilvl="0">
      <w:lvlJc w:val="left"/>
      <w:lvlText w:val="("/>
      <w:numFmt w:val="bullet"/>
      <w:start w:val="1"/>
    </w:lvl>
  </w:abstractNum>
  <w:abstractNum w:abstractNumId="328">
    <w:nsid w:val="35A681DB"/>
    <w:multiLevelType w:val="hybridMultilevel"/>
    <w:lvl w:ilvl="0">
      <w:lvlJc w:val="left"/>
      <w:lvlText w:val="%1."/>
      <w:numFmt w:val="decimal"/>
      <w:start w:val="1"/>
    </w:lvl>
  </w:abstractNum>
  <w:abstractNum w:abstractNumId="329">
    <w:nsid w:val="1786C974"/>
    <w:multiLevelType w:val="hybridMultilevel"/>
    <w:lvl w:ilvl="0">
      <w:lvlJc w:val="left"/>
      <w:lvlText w:val="(%1)"/>
      <w:numFmt w:val="lowerLetter"/>
      <w:start w:val="2"/>
    </w:lvl>
  </w:abstractNum>
  <w:abstractNum w:abstractNumId="330">
    <w:nsid w:val="1C2427A1"/>
    <w:multiLevelType w:val="hybridMultilevel"/>
    <w:lvl w:ilvl="0">
      <w:lvlJc w:val="left"/>
      <w:lvlText w:val="%1"/>
      <w:numFmt w:val="decimal"/>
      <w:start w:val="1"/>
    </w:lvl>
    <w:lvl w:ilvl="1">
      <w:lvlJc w:val="left"/>
      <w:lvlText w:val="(%2)"/>
      <w:numFmt w:val="lowerLetter"/>
      <w:start w:val="1"/>
    </w:lvl>
  </w:abstractNum>
  <w:abstractNum w:abstractNumId="331">
    <w:nsid w:val="63A24D68"/>
    <w:multiLevelType w:val="hybridMultilevel"/>
    <w:lvl w:ilvl="0">
      <w:lvlJc w:val="left"/>
      <w:lvlText w:val="%1."/>
      <w:numFmt w:val="decimal"/>
      <w:start w:val="4"/>
    </w:lvl>
    <w:lvl w:ilvl="1">
      <w:lvlJc w:val="left"/>
      <w:lvlText w:val="%2"/>
      <w:numFmt w:val="lowerLetter"/>
      <w:start w:val="1"/>
    </w:lvl>
  </w:abstractNum>
  <w:abstractNum w:abstractNumId="332">
    <w:nsid w:val="4FB7A02A"/>
    <w:multiLevelType w:val="hybridMultilevel"/>
    <w:lvl w:ilvl="0">
      <w:lvlJc w:val="left"/>
      <w:lvlText w:val="%1."/>
      <w:numFmt w:val="decimal"/>
      <w:start w:val="1"/>
    </w:lvl>
  </w:abstractNum>
  <w:abstractNum w:abstractNumId="333">
    <w:nsid w:val="96CF728"/>
    <w:multiLevelType w:val="hybridMultilevel"/>
    <w:lvl w:ilvl="0">
      <w:lvlJc w:val="left"/>
      <w:lvlText w:val="%1."/>
      <w:numFmt w:val="decimal"/>
      <w:start w:val="3"/>
    </w:lvl>
  </w:abstractNum>
  <w:abstractNum w:abstractNumId="334">
    <w:nsid w:val="3B121183"/>
    <w:multiLevelType w:val="hybridMultilevel"/>
    <w:lvl w:ilvl="0">
      <w:lvlJc w:val="left"/>
      <w:lvlText w:val="%1."/>
      <w:numFmt w:val="decimal"/>
      <w:start w:val="1"/>
    </w:lvl>
  </w:abstractNum>
  <w:abstractNum w:abstractNumId="335">
    <w:nsid w:val="3459648F"/>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36">
    <w:nsid w:val="3ADF331D"/>
    <w:multiLevelType w:val="hybridMultilevel"/>
    <w:lvl w:ilvl="0">
      <w:lvlJc w:val="left"/>
      <w:lvlText w:val="(%1)"/>
      <w:numFmt w:val="decimal"/>
      <w:start w:val="90"/>
    </w:lvl>
    <w:lvl w:ilvl="1">
      <w:lvlJc w:val="left"/>
      <w:lvlText w:val="%2"/>
      <w:numFmt w:val="decimal"/>
      <w:start w:val="1"/>
    </w:lvl>
    <w:lvl w:ilvl="2">
      <w:lvlJc w:val="left"/>
      <w:lvlText w:val="(%3)"/>
      <w:numFmt w:val="lowerLetter"/>
      <w:start w:val="2"/>
    </w:lvl>
  </w:abstractNum>
  <w:abstractNum w:abstractNumId="337">
    <w:nsid w:val="4D08A9E4"/>
    <w:multiLevelType w:val="hybridMultilevel"/>
    <w:lvl w:ilvl="0">
      <w:lvlJc w:val="left"/>
      <w:lvlText w:val="(%1)"/>
      <w:numFmt w:val="decimal"/>
      <w:start w:val="5"/>
    </w:lvl>
    <w:lvl w:ilvl="1">
      <w:lvlJc w:val="left"/>
      <w:lvlText w:val="%2."/>
      <w:numFmt w:val="decimal"/>
      <w:start w:val="3"/>
    </w:lvl>
    <w:lvl w:ilvl="2">
      <w:lvlJc w:val="left"/>
      <w:lvlText w:val="(%3)"/>
      <w:numFmt w:val="lowerLetter"/>
      <w:start w:val="1"/>
    </w:lvl>
  </w:abstractNum>
  <w:abstractNum w:abstractNumId="338">
    <w:nsid w:val="6AF2BB3A"/>
    <w:multiLevelType w:val="hybridMultilevel"/>
    <w:lvl w:ilvl="0">
      <w:lvlJc w:val="left"/>
      <w:lvlText w:val="(%1)"/>
      <w:numFmt w:val="lowerLetter"/>
      <w:start w:val="2"/>
    </w:lvl>
  </w:abstractNum>
  <w:abstractNum w:abstractNumId="339">
    <w:nsid w:val="481B1739"/>
    <w:multiLevelType w:val="hybridMultilevel"/>
    <w:lvl w:ilvl="0">
      <w:lvlJc w:val="left"/>
      <w:lvlText w:val="%1"/>
      <w:numFmt w:val="decimal"/>
      <w:start w:val="1"/>
    </w:lvl>
    <w:lvl w:ilvl="1">
      <w:lvlJc w:val="left"/>
      <w:lvlText w:val="(%2)"/>
      <w:numFmt w:val="lowerLetter"/>
      <w:start w:val="5"/>
    </w:lvl>
  </w:abstractNum>
  <w:abstractNum w:abstractNumId="340">
    <w:nsid w:val="19E2BFCC"/>
    <w:multiLevelType w:val="hybridMultilevel"/>
    <w:lvl w:ilvl="0">
      <w:lvlJc w:val="left"/>
      <w:lvlText w:val="%1."/>
      <w:numFmt w:val="decimal"/>
      <w:start w:val="4"/>
    </w:lvl>
    <w:lvl w:ilvl="1">
      <w:lvlJc w:val="left"/>
      <w:lvlText w:val="(%2)"/>
      <w:numFmt w:val="lowerLetter"/>
      <w:start w:val="1"/>
    </w:lvl>
  </w:abstractNum>
  <w:abstractNum w:abstractNumId="341">
    <w:nsid w:val="66D021CA"/>
    <w:multiLevelType w:val="hybridMultilevel"/>
    <w:lvl w:ilvl="0">
      <w:lvlJc w:val="left"/>
      <w:lvlText w:val="%1"/>
      <w:numFmt w:val="decimal"/>
      <w:start w:val="1"/>
    </w:lvl>
    <w:lvl w:ilvl="1">
      <w:lvlJc w:val="left"/>
      <w:lvlText w:val="(%2)"/>
      <w:numFmt w:val="lowerLetter"/>
      <w:start w:val="2"/>
    </w:lvl>
  </w:abstractNum>
  <w:abstractNum w:abstractNumId="342">
    <w:nsid w:val="56167394"/>
    <w:multiLevelType w:val="hybridMultilevel"/>
    <w:lvl w:ilvl="0">
      <w:lvlJc w:val="left"/>
      <w:lvlText w:val="%1."/>
      <w:numFmt w:val="decimal"/>
      <w:start w:val="5"/>
    </w:lvl>
    <w:lvl w:ilvl="1">
      <w:lvlJc w:val="left"/>
      <w:lvlText w:val="(%2)"/>
      <w:numFmt w:val="lowerLetter"/>
      <w:start w:val="1"/>
    </w:lvl>
  </w:abstractNum>
  <w:abstractNum w:abstractNumId="343">
    <w:nsid w:val="921145C"/>
    <w:multiLevelType w:val="hybridMultilevel"/>
    <w:lvl w:ilvl="0">
      <w:lvlJc w:val="left"/>
      <w:lvlText w:val="(%1)"/>
      <w:numFmt w:val="lowerLetter"/>
      <w:start w:val="3"/>
    </w:lvl>
  </w:abstractNum>
  <w:abstractNum w:abstractNumId="344">
    <w:nsid w:val="7B34DFE8"/>
    <w:multiLevelType w:val="hybridMultilevel"/>
    <w:lvl w:ilvl="0">
      <w:lvlJc w:val="left"/>
      <w:lvlText w:val="(%1)"/>
      <w:numFmt w:val="decimal"/>
      <w:start w:val="1"/>
    </w:lvl>
  </w:abstractNum>
  <w:abstractNum w:abstractNumId="345">
    <w:nsid w:val="3CD22B79"/>
    <w:multiLevelType w:val="hybridMultilevel"/>
    <w:lvl w:ilvl="0">
      <w:lvlJc w:val="left"/>
      <w:lvlText w:val="(%1)"/>
      <w:numFmt w:val="decimal"/>
      <w:start w:val="2"/>
    </w:lvl>
  </w:abstractNum>
  <w:abstractNum w:abstractNumId="346">
    <w:nsid w:val="3137975E"/>
    <w:multiLevelType w:val="hybridMultilevel"/>
    <w:lvl w:ilvl="0">
      <w:lvlJc w:val="left"/>
      <w:lvlText w:val="(%1)"/>
      <w:numFmt w:val="lowerLetter"/>
      <w:start w:val="4"/>
    </w:lvl>
    <w:lvl w:ilvl="1">
      <w:lvlJc w:val="left"/>
      <w:lvlText w:val="(%2)"/>
      <w:numFmt w:val="decimal"/>
      <w:start w:val="1"/>
    </w:lvl>
  </w:abstractNum>
  <w:abstractNum w:abstractNumId="347">
    <w:nsid w:val="2DDAA791"/>
    <w:multiLevelType w:val="hybridMultilevel"/>
    <w:lvl w:ilvl="0">
      <w:lvlJc w:val="left"/>
      <w:lvlText w:val="(%1)"/>
      <w:numFmt w:val="decimal"/>
      <w:start w:val="7"/>
    </w:lvl>
  </w:abstractNum>
  <w:abstractNum w:abstractNumId="348">
    <w:nsid w:val="77263B8A"/>
    <w:multiLevelType w:val="hybridMultilevel"/>
    <w:lvl w:ilvl="0">
      <w:lvlJc w:val="left"/>
      <w:lvlText w:val="(%1)"/>
      <w:numFmt w:val="lowerLetter"/>
      <w:start w:val="5"/>
    </w:lvl>
  </w:abstractNum>
  <w:abstractNum w:abstractNumId="349">
    <w:nsid w:val="755B5ED6"/>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50">
    <w:nsid w:val="D3715D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51">
    <w:nsid w:val="73509257"/>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352">
    <w:nsid w:val="7013CDB7"/>
    <w:multiLevelType w:val="hybridMultilevel"/>
    <w:lvl w:ilvl="0">
      <w:lvlJc w:val="left"/>
      <w:lvlText w:val="%1."/>
      <w:numFmt w:val="decimal"/>
      <w:start w:val="7"/>
    </w:lvl>
  </w:abstractNum>
  <w:abstractNum w:abstractNumId="353">
    <w:nsid w:val="188BFB19"/>
    <w:multiLevelType w:val="hybridMultilevel"/>
    <w:lvl w:ilvl="0">
      <w:lvlJc w:val="left"/>
      <w:lvlText w:val="%1."/>
      <w:numFmt w:val="decimal"/>
      <w:start w:val="8"/>
    </w:lvl>
    <w:lvl w:ilvl="1">
      <w:lvlJc w:val="left"/>
      <w:lvlText w:val="(%2)"/>
      <w:numFmt w:val="lowerLetter"/>
      <w:start w:val="1"/>
    </w:lvl>
  </w:abstractNum>
  <w:abstractNum w:abstractNumId="354">
    <w:nsid w:val="75F096DF"/>
    <w:multiLevelType w:val="hybridMultilevel"/>
    <w:lvl w:ilvl="0">
      <w:lvlJc w:val="left"/>
      <w:lvlText w:val="(%1)"/>
      <w:numFmt w:val="lowerLetter"/>
      <w:start w:val="3"/>
    </w:lvl>
  </w:abstractNum>
  <w:abstractNum w:abstractNumId="355">
    <w:nsid w:val="76DEE9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356">
    <w:nsid w:val="B79D08D"/>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357">
    <w:nsid w:val="69141769"/>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358">
    <w:nsid w:val="7BF45B8E"/>
    <w:multiLevelType w:val="hybridMultilevel"/>
    <w:lvl w:ilvl="0">
      <w:lvlJc w:val="left"/>
      <w:lvlText w:val="%1"/>
      <w:numFmt w:val="decimal"/>
      <w:start w:val="1"/>
    </w:lvl>
    <w:lvl w:ilvl="1">
      <w:lvlJc w:val="left"/>
      <w:lvlText w:val="(%2)"/>
      <w:numFmt w:val="lowerLetter"/>
      <w:start w:val="2"/>
    </w:lvl>
  </w:abstractNum>
  <w:abstractNum w:abstractNumId="359">
    <w:nsid w:val="41205269"/>
    <w:multiLevelType w:val="hybridMultilevel"/>
    <w:lvl w:ilvl="0">
      <w:lvlJc w:val="left"/>
      <w:lvlText w:val="%1."/>
      <w:numFmt w:val="decimal"/>
      <w:start w:val="12"/>
    </w:lvl>
    <w:lvl w:ilvl="1">
      <w:lvlJc w:val="left"/>
      <w:lvlText w:val="(%2)"/>
      <w:numFmt w:val="lowerLetter"/>
      <w:start w:val="1"/>
    </w:lvl>
  </w:abstractNum>
  <w:abstractNum w:abstractNumId="360">
    <w:nsid w:val="9AE0DD"/>
    <w:multiLevelType w:val="hybridMultilevel"/>
    <w:lvl w:ilvl="0">
      <w:lvlJc w:val="left"/>
      <w:lvlText w:val="(%1)"/>
      <w:numFmt w:val="lowerLetter"/>
      <w:start w:val="2"/>
    </w:lvl>
  </w:abstractNum>
  <w:abstractNum w:abstractNumId="361">
    <w:nsid w:val="1818832F"/>
    <w:multiLevelType w:val="hybridMultilevel"/>
    <w:lvl w:ilvl="0">
      <w:lvlJc w:val="left"/>
      <w:lvlText w:val="(%1)"/>
      <w:numFmt w:val="lowerLetter"/>
      <w:start w:val="4"/>
    </w:lvl>
  </w:abstractNum>
  <w:abstractNum w:abstractNumId="362">
    <w:nsid w:val="24C29FD1"/>
    <w:multiLevelType w:val="hybridMultilevel"/>
    <w:lvl w:ilvl="0">
      <w:lvlJc w:val="left"/>
      <w:lvlText w:val="%1."/>
      <w:numFmt w:val="decimal"/>
      <w:start w:val="13"/>
    </w:lvl>
    <w:lvl w:ilvl="1">
      <w:lvlJc w:val="left"/>
      <w:lvlText w:val="(%2)"/>
      <w:numFmt w:val="lowerLetter"/>
      <w:start w:val="1"/>
    </w:lvl>
  </w:abstractNum>
  <w:abstractNum w:abstractNumId="363">
    <w:nsid w:val="50528108"/>
    <w:multiLevelType w:val="hybridMultilevel"/>
    <w:lvl w:ilvl="0">
      <w:lvlJc w:val="left"/>
      <w:lvlText w:val="(%1)"/>
      <w:numFmt w:val="lowerLetter"/>
      <w:start w:val="2"/>
    </w:lvl>
  </w:abstractNum>
  <w:abstractNum w:abstractNumId="364">
    <w:nsid w:val="21857A57"/>
    <w:multiLevelType w:val="hybridMultilevel"/>
    <w:lvl w:ilvl="0">
      <w:lvlJc w:val="left"/>
      <w:lvlText w:val="(%1)"/>
      <w:numFmt w:val="lowerRoman"/>
      <w:start w:val="3"/>
    </w:lvl>
  </w:abstractNum>
  <w:abstractNum w:abstractNumId="365">
    <w:nsid w:val="5FD4B154"/>
    <w:multiLevelType w:val="hybridMultilevel"/>
    <w:lvl w:ilvl="0">
      <w:lvlJc w:val="left"/>
      <w:lvlText w:val="(%1)"/>
      <w:numFmt w:val="lowerLetter"/>
      <w:start w:val="5"/>
    </w:lvl>
  </w:abstractNum>
  <w:abstractNum w:abstractNumId="366">
    <w:nsid w:val="4ABE597"/>
    <w:multiLevelType w:val="hybridMultilevel"/>
    <w:lvl w:ilvl="0">
      <w:lvlJc w:val="left"/>
      <w:lvlText w:val="(%1)"/>
      <w:numFmt w:val="lowerLetter"/>
      <w:start w:val="6"/>
    </w:lvl>
  </w:abstractNum>
  <w:abstractNum w:abstractNumId="367">
    <w:nsid w:val="5C64AD75"/>
    <w:multiLevelType w:val="hybridMultilevel"/>
    <w:lvl w:ilvl="0">
      <w:lvlJc w:val="left"/>
      <w:lvlText w:val="%1."/>
      <w:numFmt w:val="decimal"/>
      <w:start w:val="15"/>
    </w:lvl>
    <w:lvl w:ilvl="1">
      <w:lvlJc w:val="left"/>
      <w:lvlText w:val="(%2)"/>
      <w:numFmt w:val="lowerLetter"/>
      <w:start w:val="1"/>
    </w:lvl>
  </w:abstractNum>
  <w:abstractNum w:abstractNumId="368">
    <w:nsid w:val="2CDD5B39"/>
    <w:multiLevelType w:val="hybridMultilevel"/>
    <w:lvl w:ilvl="0">
      <w:lvlJc w:val="left"/>
      <w:lvlText w:val="%1."/>
      <w:numFmt w:val="decimal"/>
      <w:start w:val="16"/>
    </w:lvl>
    <w:lvl w:ilvl="1">
      <w:lvlJc w:val="left"/>
      <w:lvlText w:val="(%2)"/>
      <w:numFmt w:val="lowerLetter"/>
      <w:start w:val="1"/>
    </w:lvl>
  </w:abstractNum>
  <w:abstractNum w:abstractNumId="369">
    <w:nsid w:val="6F9EA0D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70">
    <w:nsid w:val="247FC4A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71">
    <w:nsid w:val="46C01B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72">
    <w:nsid w:val="566EC29B"/>
    <w:multiLevelType w:val="hybridMultilevel"/>
    <w:lvl w:ilvl="0">
      <w:lvlJc w:val="left"/>
      <w:lvlText w:val="(%1)"/>
      <w:numFmt w:val="lowerLetter"/>
      <w:start w:val="4"/>
    </w:lvl>
  </w:abstractNum>
  <w:abstractNum w:abstractNumId="373">
    <w:nsid w:val="7A963843"/>
    <w:multiLevelType w:val="hybridMultilevel"/>
    <w:lvl w:ilvl="0">
      <w:lvlJc w:val="left"/>
      <w:lvlText w:val="(%1)"/>
      <w:numFmt w:val="lowerLetter"/>
      <w:start w:val="7"/>
    </w:lvl>
  </w:abstractNum>
  <w:abstractNum w:abstractNumId="374">
    <w:nsid w:val="4FE12F61"/>
    <w:multiLevelType w:val="hybridMultilevel"/>
    <w:lvl w:ilvl="0">
      <w:lvlJc w:val="left"/>
      <w:lvlText w:val="%1."/>
      <w:numFmt w:val="decimal"/>
      <w:start w:val="18"/>
    </w:lvl>
    <w:lvl w:ilvl="1">
      <w:lvlJc w:val="left"/>
      <w:lvlText w:val="(%2)"/>
      <w:numFmt w:val="lowerLetter"/>
      <w:start w:val="1"/>
    </w:lvl>
  </w:abstractNum>
  <w:abstractNum w:abstractNumId="375">
    <w:nsid w:val="51A3A284"/>
    <w:multiLevelType w:val="hybridMultilevel"/>
    <w:lvl w:ilvl="0">
      <w:lvlJc w:val="left"/>
      <w:lvlText w:val="%1."/>
      <w:numFmt w:val="decimal"/>
      <w:start w:val="19"/>
    </w:lvl>
    <w:lvl w:ilvl="1">
      <w:lvlJc w:val="left"/>
      <w:lvlText w:val="(%2)"/>
      <w:numFmt w:val="lowerLetter"/>
      <w:start w:val="1"/>
    </w:lvl>
  </w:abstractNum>
  <w:abstractNum w:abstractNumId="376">
    <w:nsid w:val="376863BC"/>
    <w:multiLevelType w:val="hybridMultilevel"/>
    <w:lvl w:ilvl="0">
      <w:lvlJc w:val="left"/>
      <w:lvlText w:val="%1"/>
      <w:numFmt w:val="decimal"/>
      <w:start w:val="1"/>
    </w:lvl>
    <w:lvl w:ilvl="1">
      <w:lvlJc w:val="left"/>
      <w:lvlText w:val="(%2)"/>
      <w:numFmt w:val="lowerLetter"/>
      <w:start w:val="2"/>
    </w:lvl>
  </w:abstractNum>
  <w:abstractNum w:abstractNumId="377">
    <w:nsid w:val="118C6C0"/>
    <w:multiLevelType w:val="hybridMultilevel"/>
    <w:lvl w:ilvl="0">
      <w:lvlJc w:val="left"/>
      <w:lvlText w:val="(%1)"/>
      <w:numFmt w:val="decimal"/>
      <w:start w:val="60"/>
    </w:lvl>
    <w:lvl w:ilvl="1">
      <w:lvlJc w:val="left"/>
      <w:lvlText w:val="(%2)"/>
      <w:numFmt w:val="lowerLetter"/>
      <w:start w:val="4"/>
    </w:lvl>
  </w:abstractNum>
  <w:abstractNum w:abstractNumId="378">
    <w:nsid w:val="7F7E4A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379">
    <w:nsid w:val="2E8E9F47"/>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abstractNum>
  <w:abstractNum w:abstractNumId="380">
    <w:nsid w:val="76742596"/>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381">
    <w:nsid w:val="CB55FF3"/>
    <w:multiLevelType w:val="hybridMultilevel"/>
    <w:lvl w:ilvl="0">
      <w:lvlJc w:val="left"/>
      <w:lvlText w:val="(%1)"/>
      <w:numFmt w:val="lowerLetter"/>
      <w:start w:val="1"/>
    </w:lvl>
    <w:lvl w:ilvl="1">
      <w:lvlJc w:val="left"/>
      <w:lvlText w:val="(%2)"/>
      <w:numFmt w:val="decimal"/>
      <w:start w:val="1"/>
    </w:lvl>
  </w:abstractNum>
  <w:abstractNum w:abstractNumId="382">
    <w:nsid w:val="21DF31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83">
    <w:nsid w:val="6687F34D"/>
    <w:multiLevelType w:val="hybridMultilevel"/>
    <w:lvl w:ilvl="0">
      <w:lvlJc w:val="left"/>
      <w:lvlText w:val="(%1)"/>
      <w:numFmt w:val="decimal"/>
      <w:start w:val="30"/>
    </w:lvl>
    <w:lvl w:ilvl="1">
      <w:lvlJc w:val="left"/>
      <w:lvlText w:val="%2."/>
      <w:numFmt w:val="decimal"/>
      <w:start w:val="22"/>
    </w:lvl>
    <w:lvl w:ilvl="2">
      <w:lvlJc w:val="left"/>
      <w:lvlText w:val="(%3)"/>
      <w:numFmt w:val="lowerLetter"/>
      <w:start w:val="4"/>
    </w:lvl>
  </w:abstractNum>
  <w:abstractNum w:abstractNumId="384">
    <w:nsid w:val="25415B0C"/>
    <w:multiLevelType w:val="hybridMultilevel"/>
    <w:lvl w:ilvl="0">
      <w:lvlJc w:val="left"/>
      <w:lvlText w:val="%1."/>
      <w:numFmt w:val="decimal"/>
      <w:start w:val="25"/>
    </w:lvl>
  </w:abstractNum>
  <w:abstractNum w:abstractNumId="385">
    <w:nsid w:val="17CFC87D"/>
    <w:multiLevelType w:val="hybridMultilevel"/>
    <w:lvl w:ilvl="0">
      <w:lvlJc w:val="left"/>
      <w:lvlText w:val="%1."/>
      <w:numFmt w:val="decimal"/>
      <w:start w:val="28"/>
    </w:lvl>
    <w:lvl w:ilvl="1">
      <w:lvlJc w:val="left"/>
      <w:lvlText w:val="(%2)"/>
      <w:numFmt w:val="lowerLetter"/>
      <w:start w:val="1"/>
    </w:lvl>
  </w:abstractNum>
  <w:abstractNum w:abstractNumId="386">
    <w:nsid w:val="5D66DC65"/>
    <w:multiLevelType w:val="hybridMultilevel"/>
    <w:lvl w:ilvl="0">
      <w:lvlJc w:val="left"/>
      <w:lvlText w:val="%1."/>
      <w:numFmt w:val="decimal"/>
      <w:start w:val="32"/>
    </w:lvl>
  </w:abstractNum>
  <w:abstractNum w:abstractNumId="387">
    <w:nsid w:val="30BB2B99"/>
    <w:multiLevelType w:val="hybridMultilevel"/>
    <w:lvl w:ilvl="0">
      <w:lvlJc w:val="left"/>
      <w:lvlText w:val="%1."/>
      <w:numFmt w:val="decimal"/>
      <w:start w:val="36"/>
    </w:lvl>
    <w:lvl w:ilvl="1">
      <w:lvlJc w:val="left"/>
      <w:lvlText w:val="(%2)"/>
      <w:numFmt w:val="lowerLetter"/>
      <w:start w:val="1"/>
    </w:lvl>
  </w:abstractNum>
  <w:abstractNum w:abstractNumId="388">
    <w:nsid w:val="E3DFE6"/>
    <w:multiLevelType w:val="hybridMultilevel"/>
    <w:lvl w:ilvl="0">
      <w:lvlJc w:val="left"/>
      <w:lvlText w:val="(%1)"/>
      <w:numFmt w:val="lowerLetter"/>
      <w:start w:val="2"/>
    </w:lvl>
  </w:abstractNum>
  <w:abstractNum w:abstractNumId="389">
    <w:nsid w:val="595B37F3"/>
    <w:multiLevelType w:val="hybridMultilevel"/>
    <w:lvl w:ilvl="0">
      <w:lvlJc w:val="left"/>
      <w:lvlText w:val="(%1)"/>
      <w:numFmt w:val="lowerLetter"/>
      <w:start w:val="12"/>
    </w:lvl>
  </w:abstractNum>
  <w:abstractNum w:abstractNumId="390">
    <w:nsid w:val="71DB7E02"/>
    <w:multiLevelType w:val="hybridMultilevel"/>
    <w:lvl w:ilvl="0">
      <w:lvlJc w:val="left"/>
      <w:lvlText w:val="(%1)"/>
      <w:numFmt w:val="upperLetter"/>
      <w:start w:val="1"/>
    </w:lvl>
  </w:abstractNum>
  <w:abstractNum w:abstractNumId="391">
    <w:nsid w:val="17EC0C4"/>
    <w:multiLevelType w:val="hybridMultilevel"/>
    <w:lvl w:ilvl="0">
      <w:lvlJc w:val="left"/>
      <w:lvlText w:val="%1."/>
      <w:numFmt w:val="decimal"/>
      <w:start w:val="4"/>
    </w:lvl>
  </w:abstractNum>
  <w:abstractNum w:abstractNumId="392">
    <w:nsid w:val="7173BB22"/>
    <w:multiLevelType w:val="hybridMultilevel"/>
    <w:lvl w:ilvl="0">
      <w:lvlJc w:val="left"/>
      <w:lvlText w:val="%1."/>
      <w:numFmt w:val="decimal"/>
      <w:start w:val="1"/>
    </w:lvl>
  </w:abstractNum>
  <w:abstractNum w:abstractNumId="393">
    <w:nsid w:val="169E1DD3"/>
    <w:multiLevelType w:val="hybridMultilevel"/>
    <w:lvl w:ilvl="0">
      <w:lvlJc w:val="left"/>
      <w:lvlText w:val="%1."/>
      <w:numFmt w:val="decimal"/>
      <w:start w:val="11"/>
    </w:lvl>
  </w:abstractNum>
  <w:abstractNum w:abstractNumId="394">
    <w:nsid w:val="51D141CC"/>
    <w:multiLevelType w:val="hybridMultilevel"/>
    <w:lvl w:ilvl="0">
      <w:lvlJc w:val="left"/>
      <w:lvlText w:val="(%1)"/>
      <w:numFmt w:val="upperLetter"/>
      <w:start w:val="1"/>
    </w:lvl>
  </w:abstractNum>
  <w:abstractNum w:abstractNumId="395">
    <w:nsid w:val="12F9357A"/>
    <w:multiLevelType w:val="hybridMultilevel"/>
    <w:lvl w:ilvl="0">
      <w:lvlJc w:val="left"/>
      <w:lvlText w:val="2"/>
      <w:numFmt w:val="bullet"/>
      <w:start w:val="1"/>
    </w:lvl>
  </w:abstractNum>
  <w:abstractNum w:abstractNumId="396">
    <w:nsid w:val="7672CF28"/>
    <w:multiLevelType w:val="hybridMultilevel"/>
    <w:lvl w:ilvl="0">
      <w:lvlJc w:val="left"/>
      <w:lvlText w:val="4"/>
      <w:numFmt w:val="bullet"/>
      <w:start w:val="1"/>
    </w:lvl>
  </w:abstractNum>
  <w:abstractNum w:abstractNumId="397">
    <w:nsid w:val="567D2763"/>
    <w:multiLevelType w:val="hybridMultilevel"/>
    <w:lvl w:ilvl="0">
      <w:lvlJc w:val="left"/>
      <w:lvlText w:val="2"/>
      <w:numFmt w:val="bullet"/>
      <w:start w:val="1"/>
    </w:lvl>
  </w:abstractNum>
  <w:abstractNum w:abstractNumId="398">
    <w:nsid w:val="6F5DE2EF"/>
    <w:multiLevelType w:val="hybridMultilevel"/>
    <w:lvl w:ilvl="0">
      <w:lvlJc w:val="left"/>
      <w:lvlText w:val="%1"/>
      <w:numFmt w:val="decimal"/>
      <w:start w:val="10"/>
    </w:lvl>
  </w:abstractNum>
  <w:abstractNum w:abstractNumId="399">
    <w:nsid w:val="23502A61"/>
    <w:multiLevelType w:val="hybridMultilevel"/>
    <w:lvl w:ilvl="0">
      <w:lvlJc w:val="left"/>
      <w:lvlText w:val="%1"/>
      <w:numFmt w:val="decimal"/>
      <w:start w:val="18"/>
    </w:lvl>
  </w:abstractNum>
  <w:abstractNum w:abstractNumId="400">
    <w:nsid w:val="461BC834"/>
    <w:multiLevelType w:val="hybridMultilevel"/>
    <w:lvl w:ilvl="0">
      <w:lvlJc w:val="left"/>
      <w:lvlText w:val="%1)"/>
      <w:numFmt w:val="lowerLetter"/>
      <w:start w:val="1"/>
    </w:lvl>
  </w:abstractNum>
  <w:abstractNum w:abstractNumId="401">
    <w:nsid w:val="13DDA79D"/>
    <w:multiLevelType w:val="hybridMultilevel"/>
    <w:lvl w:ilvl="0">
      <w:lvlJc w:val="left"/>
      <w:lvlText w:val="%1)"/>
      <w:numFmt w:val="lowerLetter"/>
      <w:start w:val="1"/>
    </w:lvl>
  </w:abstractNum>
  <w:abstractNum w:abstractNumId="402">
    <w:nsid w:val="6A104566"/>
    <w:multiLevelType w:val="hybridMultilevel"/>
    <w:lvl w:ilvl="0">
      <w:lvlJc w:val="left"/>
      <w:lvlText w:val="%1."/>
      <w:numFmt w:val="decimal"/>
      <w:start w:val="1"/>
    </w:lvl>
  </w:abstractNum>
  <w:abstractNum w:abstractNumId="403">
    <w:nsid w:val="1C8A8ACF"/>
    <w:multiLevelType w:val="hybridMultilevel"/>
    <w:lvl w:ilvl="0">
      <w:lvlJc w:val="left"/>
      <w:lvlText w:val="[***]"/>
      <w:numFmt w:val="bullet"/>
      <w:start w:val="1"/>
    </w:lvl>
  </w:abstractNum>
  <w:abstractNum w:abstractNumId="404">
    <w:nsid w:val="E73DFE0"/>
    <w:multiLevelType w:val="hybridMultilevel"/>
    <w:lvl w:ilvl="0">
      <w:lvlJc w:val="left"/>
      <w:lvlText w:val="☒"/>
      <w:numFmt w:val="bullet"/>
      <w:start w:val="1"/>
    </w:lvl>
  </w:abstractNum>
  <w:abstractNum w:abstractNumId="405">
    <w:nsid w:val="39F174C7"/>
    <w:multiLevelType w:val="hybridMultilevel"/>
    <w:lvl w:ilvl="0">
      <w:lvlJc w:val="left"/>
      <w:lvlText w:val="%1."/>
      <w:numFmt w:val="decimal"/>
      <w:start w:val="1"/>
    </w:lvl>
  </w:abstractNum>
  <w:abstractNum w:abstractNumId="406">
    <w:nsid w:val="6E2E2D53"/>
    <w:multiLevelType w:val="hybridMultilevel"/>
    <w:lvl w:ilvl="0">
      <w:lvlJc w:val="left"/>
      <w:lvlText w:val="%1"/>
      <w:numFmt w:val="upperLetter"/>
      <w:start w:val="1"/>
    </w:lvl>
    <w:lvl w:ilvl="1">
      <w:lvlJc w:val="left"/>
      <w:lvlText w:val="%2."/>
      <w:numFmt w:val="decimal"/>
      <w:start w:val="2"/>
    </w:lvl>
  </w:abstractNum>
  <w:abstractNum w:abstractNumId="407">
    <w:nsid w:val="45DC439D"/>
    <w:multiLevelType w:val="hybridMultilevel"/>
    <w:lvl w:ilvl="0">
      <w:lvlJc w:val="left"/>
      <w:lvlText w:val="[%1]"/>
      <w:numFmt w:val="upperLetter"/>
      <w:start w:val="24"/>
    </w:lvl>
    <w:lvl w:ilvl="1">
      <w:lvlJc w:val="left"/>
      <w:lvlText w:val="%2"/>
      <w:numFmt w:val="decimal"/>
      <w:start w:val="1"/>
    </w:lvl>
  </w:abstractNum>
  <w:abstractNum w:abstractNumId="408">
    <w:nsid w:val="3B0A3B87"/>
    <w:multiLevelType w:val="hybridMultilevel"/>
    <w:lvl w:ilvl="0">
      <w:lvlJc w:val="left"/>
      <w:lvlText w:val="["/>
      <w:numFmt w:val="bullet"/>
      <w:start w:val="1"/>
    </w:lvl>
    <w:lvl w:ilvl="1">
      <w:lvlJc w:val="left"/>
      <w:lvlText w:val="%2."/>
      <w:numFmt w:val="decimal"/>
      <w:start w:val="3"/>
    </w:lvl>
  </w:abstractNum>
  <w:abstractNum w:abstractNumId="409">
    <w:nsid w:val="6DAC7768"/>
    <w:multiLevelType w:val="hybridMultilevel"/>
    <w:lvl w:ilvl="0">
      <w:lvlJc w:val="left"/>
      <w:lvlText w:val="%1."/>
      <w:numFmt w:val="decimal"/>
      <w:start w:val="4"/>
    </w:lvl>
  </w:abstractNum>
  <w:abstractNum w:abstractNumId="410">
    <w:nsid w:val="746AE2E4"/>
    <w:multiLevelType w:val="hybridMultilevel"/>
    <w:lvl w:ilvl="0">
      <w:lvlJc w:val="left"/>
      <w:lvlText w:val="%1."/>
      <w:numFmt w:val="lowerLetter"/>
      <w:start w:val="1"/>
    </w:lvl>
  </w:abstractNum>
  <w:abstractNum w:abstractNumId="411">
    <w:nsid w:val="317E611D"/>
    <w:multiLevelType w:val="hybridMultilevel"/>
    <w:lvl w:ilvl="0">
      <w:lvlJc w:val="left"/>
      <w:lvlText w:val="%1."/>
      <w:numFmt w:val="lowerLetter"/>
      <w:start w:val="3"/>
    </w:lvl>
  </w:abstractNum>
  <w:abstractNum w:abstractNumId="412">
    <w:nsid w:val="7A61D75B"/>
    <w:multiLevelType w:val="hybridMultilevel"/>
    <w:lvl w:ilvl="0">
      <w:lvlJc w:val="left"/>
      <w:lvlText w:val="%1."/>
      <w:numFmt w:val="decimal"/>
      <w:start w:val="1"/>
    </w:lvl>
    <w:lvl w:ilvl="1">
      <w:lvlJc w:val="left"/>
      <w:lvlText w:val="%2."/>
      <w:numFmt w:val="lowerLetter"/>
      <w:start w:val="1"/>
    </w:lvl>
  </w:abstractNum>
  <w:abstractNum w:abstractNumId="413">
    <w:nsid w:val="164A1482"/>
    <w:multiLevelType w:val="hybridMultilevel"/>
    <w:lvl w:ilvl="0">
      <w:lvlJc w:val="left"/>
      <w:lvlText w:val="%1."/>
      <w:numFmt w:val="decimal"/>
      <w:start w:val="1"/>
    </w:lvl>
  </w:abstractNum>
  <w:abstractNum w:abstractNumId="414">
    <w:nsid w:val="1806546B"/>
    <w:multiLevelType w:val="hybridMultilevel"/>
    <w:lvl w:ilvl="0">
      <w:lvlJc w:val="left"/>
      <w:lvlText w:val="%1."/>
      <w:numFmt w:val="decimal"/>
      <w:start w:val="1"/>
    </w:lvl>
  </w:abstractNum>
  <w:abstractNum w:abstractNumId="415">
    <w:nsid w:val="1FA3326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16">
    <w:nsid w:val="2E19DD00"/>
    <w:multiLevelType w:val="hybridMultilevel"/>
    <w:lvl w:ilvl="0">
      <w:lvlJc w:val="left"/>
      <w:lvlText w:val="%1."/>
      <w:numFmt w:val="upperLetter"/>
      <w:start w:val="2"/>
    </w:lvl>
    <w:lvl w:ilvl="1">
      <w:lvlJc w:val="left"/>
      <w:lvlText w:val="%2."/>
      <w:numFmt w:val="lowerRoman"/>
      <w:start w:val="1"/>
    </w:lvl>
  </w:abstractNum>
  <w:abstractNum w:abstractNumId="417">
    <w:nsid w:val="756D30D0"/>
    <w:multiLevelType w:val="hybridMultilevel"/>
    <w:lvl w:ilvl="0">
      <w:lvlJc w:val="left"/>
      <w:lvlText w:val="%1."/>
      <w:numFmt w:val="lowerRoman"/>
      <w:start w:val="5"/>
    </w:lvl>
  </w:abstractNum>
  <w:abstractNum w:abstractNumId="418">
    <w:nsid w:val="505E5E01"/>
    <w:multiLevelType w:val="hybridMultilevel"/>
    <w:lvl w:ilvl="0">
      <w:lvlJc w:val="left"/>
      <w:lvlText w:val="%1"/>
      <w:numFmt w:val="decimal"/>
      <w:start w:val="1"/>
    </w:lvl>
    <w:lvl w:ilvl="1">
      <w:lvlJc w:val="left"/>
      <w:lvlText w:val="%2."/>
      <w:numFmt w:val="decimal"/>
      <w:start w:val="1"/>
    </w:lvl>
  </w:abstractNum>
  <w:abstractNum w:abstractNumId="419">
    <w:nsid w:val="2EFDBCE6"/>
    <w:multiLevelType w:val="hybridMultilevel"/>
    <w:lvl w:ilvl="0">
      <w:lvlJc w:val="left"/>
      <w:lvlText w:val="%1."/>
      <w:numFmt w:val="decimal"/>
      <w:start w:val="2"/>
    </w:lvl>
    <w:lvl w:ilvl="1">
      <w:lvlJc w:val="left"/>
      <w:lvlText w:val="%2"/>
      <w:numFmt w:val="decimal"/>
      <w:start w:val="1"/>
    </w:lvl>
  </w:abstractNum>
  <w:abstractNum w:abstractNumId="420">
    <w:nsid w:val="4EC868C4"/>
    <w:multiLevelType w:val="hybridMultilevel"/>
    <w:lvl w:ilvl="0">
      <w:lvlJc w:val="left"/>
      <w:lvlText w:val="%1."/>
      <w:numFmt w:val="decimal"/>
      <w:start w:val="1"/>
    </w:lvl>
  </w:abstractNum>
  <w:abstractNum w:abstractNumId="421">
    <w:nsid w:val="4239DC03"/>
    <w:multiLevelType w:val="hybridMultilevel"/>
    <w:lvl w:ilvl="0">
      <w:lvlJc w:val="left"/>
      <w:lvlText w:val="%1."/>
      <w:numFmt w:val="decimal"/>
      <w:start w:val="1"/>
    </w:lvl>
  </w:abstractNum>
  <w:abstractNum w:abstractNumId="422">
    <w:nsid w:val="307C7DAA"/>
    <w:multiLevelType w:val="hybridMultilevel"/>
    <w:lvl w:ilvl="0">
      <w:lvlJc w:val="left"/>
      <w:lvlText w:val="•"/>
      <w:numFmt w:val="bullet"/>
      <w:start w:val="1"/>
    </w:lvl>
  </w:abstractNum>
  <w:abstractNum w:abstractNumId="423">
    <w:nsid w:val="403C23E6"/>
    <w:multiLevelType w:val="hybridMultilevel"/>
    <w:lvl w:ilvl="0">
      <w:lvlJc w:val="left"/>
      <w:lvlText w:val="(%1)"/>
      <w:numFmt w:val="decimal"/>
      <w:start w:val="1"/>
    </w:lvl>
  </w:abstractNum>
  <w:abstractNum w:abstractNumId="424">
    <w:nsid w:val="58D7F9D7"/>
    <w:multiLevelType w:val="hybridMultilevel"/>
    <w:lvl w:ilvl="0">
      <w:lvlJc w:val="left"/>
      <w:lvlText w:val="(%1)"/>
      <w:numFmt w:val="lowerLetter"/>
      <w:start w:val="1"/>
    </w:lvl>
  </w:abstractNum>
  <w:abstractNum w:abstractNumId="425">
    <w:nsid w:val="24DBF76"/>
    <w:multiLevelType w:val="hybridMultilevel"/>
    <w:lvl w:ilvl="0">
      <w:lvlJc w:val="left"/>
      <w:lvlText w:val="(%1)"/>
      <w:numFmt w:val="decimal"/>
      <w:start w:val="2"/>
    </w:lvl>
  </w:abstractNum>
  <w:abstractNum w:abstractNumId="426">
    <w:nsid w:val="53355960"/>
    <w:multiLevelType w:val="hybridMultilevel"/>
    <w:lvl w:ilvl="0">
      <w:lvlJc w:val="left"/>
      <w:lvlText w:val="(%1)"/>
      <w:numFmt w:val="decimal"/>
      <w:start w:val="1"/>
    </w:lvl>
  </w:abstractNum>
  <w:abstractNum w:abstractNumId="427">
    <w:nsid w:val="4F4AC8FF"/>
    <w:multiLevelType w:val="hybridMultilevel"/>
    <w:lvl w:ilvl="0">
      <w:lvlJc w:val="left"/>
      <w:lvlText w:val="(%1)"/>
      <w:numFmt w:val="lowerLetter"/>
      <w:start w:val="1"/>
    </w:lvl>
  </w:abstractNum>
  <w:abstractNum w:abstractNumId="428">
    <w:nsid w:val="58CAE6D9"/>
    <w:multiLevelType w:val="hybridMultilevel"/>
    <w:lvl w:ilvl="0">
      <w:lvlJc w:val="left"/>
      <w:lvlText w:val="(%1)"/>
      <w:numFmt w:val="decimal"/>
      <w:start w:val="1"/>
    </w:lvl>
  </w:abstractNum>
  <w:abstractNum w:abstractNumId="429">
    <w:nsid w:val="42933C4F"/>
    <w:multiLevelType w:val="hybridMultilevel"/>
    <w:lvl w:ilvl="0">
      <w:lvlJc w:val="left"/>
      <w:lvlText w:val="(%1)"/>
      <w:numFmt w:val="lowerLetter"/>
      <w:start w:val="1"/>
    </w:lvl>
  </w:abstractNum>
  <w:abstractNum w:abstractNumId="430">
    <w:nsid w:val="729AF360"/>
    <w:multiLevelType w:val="hybridMultilevel"/>
    <w:lvl w:ilvl="0">
      <w:lvlJc w:val="left"/>
      <w:lvlText w:val="(%1)"/>
      <w:numFmt w:val="decimal"/>
      <w:start w:val="3"/>
    </w:lvl>
  </w:abstractNum>
  <w:abstractNum w:abstractNumId="431">
    <w:nsid w:val="1EE6AF0D"/>
    <w:multiLevelType w:val="hybridMultilevel"/>
    <w:lvl w:ilvl="0">
      <w:lvlJc w:val="left"/>
      <w:lvlText w:val="(%1)"/>
      <w:numFmt w:val="decimal"/>
      <w:start w:val="1"/>
    </w:lvl>
  </w:abstractNum>
  <w:abstractNum w:abstractNumId="432">
    <w:nsid w:val="5670E3ED"/>
    <w:multiLevelType w:val="hybridMultilevel"/>
    <w:lvl w:ilvl="0">
      <w:lvlJc w:val="left"/>
      <w:lvlText w:val="(%1)"/>
      <w:numFmt w:val="decimal"/>
      <w:start w:val="5"/>
    </w:lvl>
  </w:abstractNum>
  <w:abstractNum w:abstractNumId="433">
    <w:nsid w:val="5CAB38C6"/>
    <w:multiLevelType w:val="hybridMultilevel"/>
    <w:lvl w:ilvl="0">
      <w:lvlJc w:val="left"/>
      <w:lvlText w:val="(%1)"/>
      <w:numFmt w:val="decimal"/>
      <w:start w:val="1"/>
    </w:lvl>
  </w:abstractNum>
  <w:abstractNum w:abstractNumId="434">
    <w:nsid w:val="3B7139DD"/>
    <w:multiLevelType w:val="hybridMultilevel"/>
    <w:lvl w:ilvl="0">
      <w:lvlJc w:val="left"/>
      <w:lvlText w:val="(%1)"/>
      <w:numFmt w:val="decimal"/>
      <w:start w:val="1"/>
    </w:lvl>
  </w:abstractNum>
  <w:abstractNum w:abstractNumId="435">
    <w:nsid w:val="64E4C3CD"/>
    <w:multiLevelType w:val="hybridMultilevel"/>
    <w:lvl w:ilvl="0">
      <w:lvlJc w:val="left"/>
      <w:lvlText w:val="(%1)"/>
      <w:numFmt w:val="decimal"/>
      <w:start w:val="3"/>
    </w:lvl>
  </w:abstractNum>
  <w:abstractNum w:abstractNumId="436">
    <w:nsid w:val="169CAD8D"/>
    <w:multiLevelType w:val="hybridMultilevel"/>
    <w:lvl w:ilvl="0">
      <w:lvlJc w:val="left"/>
      <w:lvlText w:val="(%1)"/>
      <w:numFmt w:val="decimal"/>
      <w:start w:val="12"/>
    </w:lvl>
  </w:abstractNum>
  <w:abstractNum w:abstractNumId="437">
    <w:nsid w:val="299F6730"/>
    <w:multiLevelType w:val="hybridMultilevel"/>
    <w:lvl w:ilvl="0">
      <w:lvlJc w:val="left"/>
      <w:lvlText w:val="[***]"/>
      <w:numFmt w:val="bullet"/>
      <w:start w:val="1"/>
    </w:lvl>
  </w:abstractNum>
  <w:abstractNum w:abstractNumId="438">
    <w:nsid w:val="2AC1076A"/>
    <w:multiLevelType w:val="hybridMultilevel"/>
    <w:lvl w:ilvl="0">
      <w:lvlJc w:val="left"/>
      <w:lvlText w:val="[***]"/>
      <w:numFmt w:val="bullet"/>
      <w:start w:val="1"/>
    </w:lvl>
  </w:abstractNum>
  <w:abstractNum w:abstractNumId="439">
    <w:nsid w:val="51A6E915"/>
    <w:multiLevelType w:val="hybridMultilevel"/>
    <w:lvl w:ilvl="0">
      <w:lvlJc w:val="left"/>
      <w:lvlText w:val="[***]"/>
      <w:numFmt w:val="bullet"/>
      <w:start w:val="1"/>
    </w:lvl>
  </w:abstractNum>
  <w:abstractNum w:abstractNumId="440">
    <w:nsid w:val="174BDE99"/>
    <w:multiLevelType w:val="hybridMultilevel"/>
    <w:lvl w:ilvl="0">
      <w:lvlJc w:val="left"/>
      <w:lvlText w:val="[***]"/>
      <w:numFmt w:val="bullet"/>
      <w:start w:val="1"/>
    </w:lvl>
  </w:abstractNum>
  <w:abstractNum w:abstractNumId="441">
    <w:nsid w:val="1F2BEA4E"/>
    <w:multiLevelType w:val="hybridMultilevel"/>
    <w:lvl w:ilvl="0">
      <w:lvlJc w:val="left"/>
      <w:lvlText w:val="[***]"/>
      <w:numFmt w:val="bullet"/>
      <w:start w:val="1"/>
    </w:lvl>
  </w:abstractNum>
  <w:abstractNum w:abstractNumId="442">
    <w:nsid w:val="3254A32"/>
    <w:multiLevelType w:val="hybridMultilevel"/>
    <w:lvl w:ilvl="0">
      <w:lvlJc w:val="left"/>
      <w:lvlText w:val="[***]"/>
      <w:numFmt w:val="bullet"/>
      <w:start w:val="1"/>
    </w:lvl>
  </w:abstractNum>
  <w:abstractNum w:abstractNumId="443">
    <w:nsid w:val="11ADB5F4"/>
    <w:multiLevelType w:val="hybridMultilevel"/>
    <w:lvl w:ilvl="0">
      <w:lvlJc w:val="left"/>
      <w:lvlText w:val="[***]"/>
      <w:numFmt w:val="bullet"/>
      <w:start w:val="1"/>
    </w:lvl>
  </w:abstractNum>
  <w:abstractNum w:abstractNumId="444">
    <w:nsid w:val="3575FED1"/>
    <w:multiLevelType w:val="hybridMultilevel"/>
    <w:lvl w:ilvl="0">
      <w:lvlJc w:val="left"/>
      <w:lvlText w:val="[***]"/>
      <w:numFmt w:val="bullet"/>
      <w:start w:val="1"/>
    </w:lvl>
  </w:abstractNum>
  <w:abstractNum w:abstractNumId="445">
    <w:nsid w:val="1B2B9E9D"/>
    <w:multiLevelType w:val="hybridMultilevel"/>
    <w:lvl w:ilvl="0">
      <w:lvlJc w:val="left"/>
      <w:lvlText w:val="[***]"/>
      <w:numFmt w:val="bullet"/>
      <w:start w:val="1"/>
    </w:lvl>
  </w:abstractNum>
  <w:abstractNum w:abstractNumId="446">
    <w:nsid w:val="3150E85C"/>
    <w:multiLevelType w:val="hybridMultilevel"/>
    <w:lvl w:ilvl="0">
      <w:lvlJc w:val="left"/>
      <w:lvlText w:val="(%1)"/>
      <w:numFmt w:val="lowerLetter"/>
      <w:start w:val="1"/>
    </w:lvl>
    <w:lvl w:ilvl="1">
      <w:lvlJc w:val="left"/>
      <w:lvlText w:val="(%2)"/>
      <w:numFmt w:val="decimal"/>
      <w:start w:val="1"/>
    </w:lvl>
  </w:abstractNum>
  <w:abstractNum w:abstractNumId="447">
    <w:nsid w:val="638FDBD1"/>
    <w:multiLevelType w:val="hybridMultilevel"/>
    <w:lvl w:ilvl="0">
      <w:lvlJc w:val="left"/>
      <w:lvlText w:val="(%1)"/>
      <w:numFmt w:val="lowerRoman"/>
      <w:start w:val="1"/>
    </w:lvl>
    <w:lvl w:ilvl="1">
      <w:lvlJc w:val="left"/>
      <w:lvlText w:val="(%2)"/>
      <w:numFmt w:val="upperLetter"/>
      <w:start w:val="1"/>
    </w:lvl>
  </w:abstractNum>
  <w:abstractNum w:abstractNumId="448">
    <w:nsid w:val="1098CF6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449">
    <w:nsid w:val="1AF465D"/>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abstractNum>
  <w:abstractNum w:abstractNumId="450">
    <w:nsid w:val="128D98B7"/>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51">
    <w:nsid w:val="5F6138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452">
    <w:nsid w:val="43E9226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lvl w:ilvl="3">
      <w:lvlJc w:val="left"/>
      <w:lvlText w:val="(%4)"/>
      <w:numFmt w:val="upperLetter"/>
      <w:start w:val="1"/>
    </w:lvl>
  </w:abstractNum>
  <w:abstractNum w:abstractNumId="453">
    <w:nsid w:val="430A1662"/>
    <w:multiLevelType w:val="hybridMultilevel"/>
    <w:lvl w:ilvl="0">
      <w:lvlJc w:val="left"/>
      <w:lvlText w:val="(%1)"/>
      <w:numFmt w:val="lowerLetter"/>
      <w:start w:val="10"/>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454">
    <w:nsid w:val="1F9D5C18"/>
    <w:multiLevelType w:val="hybridMultilevel"/>
    <w:lvl w:ilvl="0">
      <w:lvlJc w:val="left"/>
      <w:lvlText w:val="(%1)"/>
      <w:numFmt w:val="lowerLetter"/>
      <w:start w:val="14"/>
    </w:lvl>
    <w:lvl w:ilvl="1">
      <w:lvlJc w:val="left"/>
      <w:lvlText w:val="(%2)"/>
      <w:numFmt w:val="decimal"/>
      <w:start w:val="1"/>
    </w:lvl>
  </w:abstractNum>
  <w:abstractNum w:abstractNumId="455">
    <w:nsid w:val="1CC11C3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456">
    <w:nsid w:val="4557D5D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57">
    <w:nsid w:val="72D2B579"/>
    <w:multiLevelType w:val="hybridMultilevel"/>
    <w:lvl w:ilvl="0">
      <w:lvlJc w:val="left"/>
      <w:lvlText w:val="(%1)"/>
      <w:numFmt w:val="lowerLetter"/>
      <w:start w:val="21"/>
    </w:lvl>
    <w:lvl w:ilvl="1">
      <w:lvlJc w:val="left"/>
      <w:lvlText w:val="(%2)"/>
      <w:numFmt w:val="decimal"/>
      <w:start w:val="1"/>
    </w:lvl>
    <w:lvl w:ilvl="2">
      <w:lvlJc w:val="left"/>
      <w:lvlText w:val="(%3)"/>
      <w:numFmt w:val="lowerLetter"/>
      <w:start w:val="9"/>
    </w:lvl>
  </w:abstractNum>
  <w:abstractNum w:abstractNumId="458">
    <w:nsid w:val="6C0BE536"/>
    <w:multiLevelType w:val="hybridMultilevel"/>
    <w:lvl w:ilvl="0">
      <w:lvlJc w:val="left"/>
      <w:lvlText w:val="(%1)"/>
      <w:numFmt w:val="lowerRoman"/>
      <w:start w:val="2"/>
    </w:lvl>
  </w:abstractNum>
  <w:abstractNum w:abstractNumId="459">
    <w:nsid w:val="1E22BCB2"/>
    <w:multiLevelType w:val="hybridMultilevel"/>
    <w:lvl w:ilvl="0">
      <w:lvlJc w:val="left"/>
      <w:lvlText w:val="%1"/>
      <w:numFmt w:val="lowerRoman"/>
      <w:start w:val="1"/>
    </w:lvl>
    <w:lvl w:ilvl="1">
      <w:lvlJc w:val="left"/>
      <w:lvlText w:val="(%2)"/>
      <w:numFmt w:val="decimal"/>
      <w:start w:val="2"/>
    </w:lvl>
  </w:abstractNum>
  <w:abstractNum w:abstractNumId="460">
    <w:nsid w:val="3565F1C8"/>
    <w:multiLevelType w:val="hybridMultilevel"/>
    <w:lvl w:ilvl="0">
      <w:lvlJc w:val="left"/>
      <w:lvlText w:val="(%1)"/>
      <w:numFmt w:val="lowerRoman"/>
      <w:start w:val="5"/>
    </w:lvl>
    <w:lvl w:ilvl="1">
      <w:lvlJc w:val="left"/>
      <w:lvlText w:val="%2"/>
      <w:numFmt w:val="decimal"/>
      <w:start w:val="1"/>
    </w:lvl>
  </w:abstractNum>
  <w:abstractNum w:abstractNumId="461">
    <w:nsid w:val="5EA6D896"/>
    <w:multiLevelType w:val="hybridMultilevel"/>
    <w:lvl w:ilvl="0">
      <w:lvlJc w:val="left"/>
      <w:lvlText w:val="(%1)"/>
      <w:numFmt w:val="decimal"/>
      <w:start w:val="1"/>
    </w:lvl>
  </w:abstractNum>
  <w:abstractNum w:abstractNumId="462">
    <w:nsid w:val="3D096BBF"/>
    <w:multiLevelType w:val="hybridMultilevel"/>
    <w:lvl w:ilvl="0">
      <w:lvlJc w:val="left"/>
      <w:lvlText w:val="%1"/>
      <w:numFmt w:val="lowerLetter"/>
      <w:start w:val="1"/>
    </w:lvl>
    <w:lvl w:ilvl="1">
      <w:lvlJc w:val="left"/>
      <w:lvlText w:val="(%2)"/>
      <w:numFmt w:val="decimal"/>
      <w:start w:val="5"/>
    </w:lvl>
  </w:abstractNum>
  <w:abstractNum w:abstractNumId="463">
    <w:nsid w:val="BD6D5B5"/>
    <w:multiLevelType w:val="hybridMultilevel"/>
    <w:lvl w:ilvl="0">
      <w:lvlJc w:val="left"/>
      <w:lvlText w:val="(%1)"/>
      <w:numFmt w:val="lowerLetter"/>
      <w:start w:val="2"/>
    </w:lvl>
    <w:lvl w:ilvl="1">
      <w:lvlJc w:val="left"/>
      <w:lvlText w:val="%2"/>
      <w:numFmt w:val="decimal"/>
      <w:start w:val="1"/>
    </w:lvl>
  </w:abstractNum>
  <w:abstractNum w:abstractNumId="464">
    <w:nsid w:val="3B52115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65">
    <w:nsid w:val="787AA59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466">
    <w:nsid w:val="70BB9983"/>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467">
    <w:nsid w:val="51EEBEEA"/>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68">
    <w:nsid w:val="221A0CCD"/>
    <w:multiLevelType w:val="hybridMultilevel"/>
    <w:lvl w:ilvl="0">
      <w:lvlJc w:val="left"/>
      <w:lvlText w:val="(%1)"/>
      <w:numFmt w:val="lowerLetter"/>
      <w:start w:val="5"/>
    </w:lvl>
  </w:abstractNum>
  <w:abstractNum w:abstractNumId="469">
    <w:nsid w:val="1B7CA0ED"/>
    <w:multiLevelType w:val="hybridMultilevel"/>
    <w:lvl w:ilvl="0">
      <w:lvlJc w:val="left"/>
      <w:lvlText w:val="(%1)"/>
      <w:numFmt w:val="decimal"/>
      <w:start w:val="2"/>
    </w:lvl>
  </w:abstractNum>
  <w:abstractNum w:abstractNumId="470">
    <w:nsid w:val="2395A7FF"/>
    <w:multiLevelType w:val="hybridMultilevel"/>
    <w:lvl w:ilvl="0">
      <w:lvlJc w:val="left"/>
      <w:lvlText w:val="(%1)"/>
      <w:numFmt w:val="lowerLetter"/>
      <w:start w:val="8"/>
    </w:lvl>
  </w:abstractNum>
  <w:abstractNum w:abstractNumId="471">
    <w:nsid w:val="3965EB66"/>
    <w:multiLevelType w:val="hybridMultilevel"/>
    <w:lvl w:ilvl="0">
      <w:lvlJc w:val="left"/>
      <w:lvlText w:val="(%1)"/>
      <w:numFmt w:val="lowerLetter"/>
      <w:start w:val="1"/>
    </w:lvl>
  </w:abstractNum>
  <w:abstractNum w:abstractNumId="472">
    <w:nsid w:val="3AA88B3C"/>
    <w:multiLevelType w:val="hybridMultilevel"/>
    <w:lvl w:ilvl="0">
      <w:lvlJc w:val="left"/>
      <w:lvlText w:val="(%1)"/>
      <w:numFmt w:val="decimal"/>
      <w:start w:val="2"/>
    </w:lvl>
  </w:abstractNum>
  <w:abstractNum w:abstractNumId="473">
    <w:nsid w:val="26BAF231"/>
    <w:multiLevelType w:val="hybridMultilevel"/>
    <w:lvl w:ilvl="0">
      <w:lvlJc w:val="left"/>
      <w:lvlText w:val="(%1)"/>
      <w:numFmt w:val="lowerLetter"/>
      <w:start w:val="1"/>
    </w:lvl>
  </w:abstractNum>
  <w:abstractNum w:abstractNumId="474">
    <w:nsid w:val="4B13A1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75">
    <w:nsid w:val="701E8A0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76">
    <w:nsid w:val="41E690CF"/>
    <w:multiLevelType w:val="hybridMultilevel"/>
    <w:lvl w:ilvl="0">
      <w:lvlJc w:val="left"/>
      <w:lvlText w:val="(%1)"/>
      <w:numFmt w:val="lowerLetter"/>
      <w:start w:val="1"/>
    </w:lvl>
  </w:abstractNum>
  <w:abstractNum w:abstractNumId="477">
    <w:nsid w:val="7C6489B6"/>
    <w:multiLevelType w:val="hybridMultilevel"/>
    <w:lvl w:ilvl="0">
      <w:lvlJc w:val="left"/>
      <w:lvlText w:val="(%1)"/>
      <w:numFmt w:val="lowerLetter"/>
      <w:start w:val="5"/>
    </w:lvl>
  </w:abstractNum>
  <w:abstractNum w:abstractNumId="478">
    <w:nsid w:val="53AE65DE"/>
    <w:multiLevelType w:val="hybridMultilevel"/>
    <w:lvl w:ilvl="0">
      <w:lvlJc w:val="left"/>
      <w:lvlText w:val="(%1)"/>
      <w:numFmt w:val="lowerLetter"/>
      <w:start w:val="1"/>
    </w:lvl>
  </w:abstractNum>
  <w:abstractNum w:abstractNumId="479">
    <w:nsid w:val="527F603D"/>
    <w:multiLevelType w:val="hybridMultilevel"/>
    <w:lvl w:ilvl="0">
      <w:lvlJc w:val="left"/>
      <w:lvlText w:val="(%1)"/>
      <w:numFmt w:val="lowerLetter"/>
      <w:start w:val="1"/>
    </w:lvl>
  </w:abstractNum>
  <w:abstractNum w:abstractNumId="480">
    <w:nsid w:val="7E13D013"/>
    <w:multiLevelType w:val="hybridMultilevel"/>
    <w:lvl w:ilvl="0">
      <w:lvlJc w:val="left"/>
      <w:lvlText w:val="(%1)"/>
      <w:numFmt w:val="lowerLetter"/>
      <w:start w:val="1"/>
    </w:lvl>
    <w:lvl w:ilvl="1">
      <w:lvlJc w:val="left"/>
      <w:lvlText w:val="(%2)"/>
      <w:numFmt w:val="decimal"/>
      <w:start w:val="1"/>
    </w:lvl>
  </w:abstractNum>
  <w:abstractNum w:abstractNumId="481">
    <w:nsid w:val="663BFE95"/>
    <w:multiLevelType w:val="hybridMultilevel"/>
    <w:lvl w:ilvl="0">
      <w:lvlJc w:val="left"/>
      <w:lvlText w:val="(%1)"/>
      <w:numFmt w:val="lowerLetter"/>
      <w:start w:val="3"/>
    </w:lvl>
    <w:lvl w:ilvl="1">
      <w:lvlJc w:val="left"/>
      <w:lvlText w:val="(%2)"/>
      <w:numFmt w:val="decimal"/>
      <w:start w:val="1"/>
    </w:lvl>
  </w:abstractNum>
  <w:abstractNum w:abstractNumId="482">
    <w:nsid w:val="31E0986F"/>
    <w:multiLevelType w:val="hybridMultilevel"/>
    <w:lvl w:ilvl="0">
      <w:lvlJc w:val="left"/>
      <w:lvlText w:val="(%1)"/>
      <w:numFmt w:val="decimal"/>
      <w:start w:val="1"/>
    </w:lvl>
    <w:lvl w:ilvl="1">
      <w:lvlJc w:val="left"/>
      <w:lvlText w:val="(%2)"/>
      <w:numFmt w:val="lowerRoman"/>
      <w:start w:val="1"/>
    </w:lvl>
  </w:abstractNum>
  <w:abstractNum w:abstractNumId="483">
    <w:nsid w:val="41FCF27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84">
    <w:nsid w:val="294614F7"/>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85">
    <w:nsid w:val="517DF48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86">
    <w:nsid w:val="5EBE0EA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87">
    <w:nsid w:val="6E9DEAD0"/>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488">
    <w:nsid w:val="4450AA00"/>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489">
    <w:nsid w:val="4AC9F3E2"/>
    <w:multiLevelType w:val="hybridMultilevel"/>
    <w:lvl w:ilvl="0">
      <w:lvlJc w:val="left"/>
      <w:lvlText w:val="(%1)"/>
      <w:numFmt w:val="lowerRoman"/>
      <w:start w:val="1"/>
    </w:lvl>
  </w:abstractNum>
  <w:abstractNum w:abstractNumId="490">
    <w:nsid w:val="CC0A782"/>
    <w:multiLevelType w:val="hybridMultilevel"/>
    <w:lvl w:ilvl="0">
      <w:lvlJc w:val="left"/>
      <w:lvlText w:val="(%1)"/>
      <w:numFmt w:val="lowerLetter"/>
      <w:start w:val="1"/>
    </w:lvl>
  </w:abstractNum>
  <w:abstractNum w:abstractNumId="491">
    <w:nsid w:val="79B69BC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92">
    <w:nsid w:val="2970CC7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493">
    <w:nsid w:val="49CA134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94">
    <w:nsid w:val="58D717E"/>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9"/>
    </w:lvl>
  </w:abstractNum>
  <w:abstractNum w:abstractNumId="495">
    <w:nsid w:val="64C2D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496">
    <w:nsid w:val="4244B8D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97">
    <w:nsid w:val="76490B01"/>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498">
    <w:nsid w:val="36B19CBF"/>
    <w:multiLevelType w:val="hybridMultilevel"/>
    <w:lvl w:ilvl="0">
      <w:lvlJc w:val="left"/>
      <w:lvlText w:val="(%1)"/>
      <w:numFmt w:val="lowerLetter"/>
      <w:start w:val="1"/>
    </w:lvl>
    <w:lvl w:ilvl="1">
      <w:lvlJc w:val="left"/>
      <w:lvlText w:val="(%2)"/>
      <w:numFmt w:val="decimal"/>
      <w:start w:val="1"/>
    </w:lvl>
  </w:abstractNum>
  <w:abstractNum w:abstractNumId="499">
    <w:nsid w:val="645EC5AB"/>
    <w:multiLevelType w:val="hybridMultilevel"/>
    <w:lvl w:ilvl="0">
      <w:lvlJc w:val="left"/>
      <w:lvlText w:val="[%1]"/>
      <w:numFmt w:val="upperLetter"/>
      <w:start w:val="24"/>
    </w:lvl>
  </w:abstractNum>
  <w:abstractNum w:abstractNumId="500">
    <w:nsid w:val="11C5ABEF"/>
    <w:multiLevelType w:val="hybridMultilevel"/>
    <w:lvl w:ilvl="0">
      <w:lvlJc w:val="left"/>
      <w:lvlText w:val="["/>
      <w:numFmt w:val="bullet"/>
      <w:start w:val="1"/>
    </w:lvl>
  </w:abstractNum>
  <w:abstractNum w:abstractNumId="501">
    <w:nsid w:val="5A4744BE"/>
    <w:multiLevelType w:val="hybridMultilevel"/>
    <w:lvl w:ilvl="0">
      <w:lvlJc w:val="left"/>
      <w:lvlText w:val="[%1]"/>
      <w:numFmt w:val="upperLetter"/>
      <w:start w:val="24"/>
    </w:lvl>
  </w:abstractNum>
  <w:abstractNum w:abstractNumId="502">
    <w:nsid w:val="1DC4B111"/>
    <w:multiLevelType w:val="hybridMultilevel"/>
    <w:lvl w:ilvl="0">
      <w:lvlJc w:val="left"/>
      <w:lvlText w:val="["/>
      <w:numFmt w:val="bullet"/>
      <w:start w:val="1"/>
    </w:lvl>
  </w:abstractNum>
  <w:abstractNum w:abstractNumId="503">
    <w:nsid w:val="4C6E372B"/>
    <w:multiLevelType w:val="hybridMultilevel"/>
    <w:lvl w:ilvl="0">
      <w:lvlJc w:val="left"/>
      <w:lvlText w:val="[%1]"/>
      <w:numFmt w:val="upperLetter"/>
      <w:start w:val="24"/>
    </w:lvl>
  </w:abstractNum>
  <w:abstractNum w:abstractNumId="504">
    <w:nsid w:val="10236EF"/>
    <w:multiLevelType w:val="hybridMultilevel"/>
    <w:lvl w:ilvl="0">
      <w:lvlJc w:val="left"/>
      <w:lvlText w:val="[%1]"/>
      <w:numFmt w:val="upperLetter"/>
      <w:start w:val="24"/>
    </w:lvl>
  </w:abstractNum>
  <w:abstractNum w:abstractNumId="505">
    <w:nsid w:val="68D8526B"/>
    <w:multiLevelType w:val="hybridMultilevel"/>
    <w:lvl w:ilvl="0">
      <w:lvlJc w:val="left"/>
      <w:lvlText w:val="["/>
      <w:numFmt w:val="bullet"/>
      <w:start w:val="1"/>
    </w:lvl>
  </w:abstractNum>
  <w:abstractNum w:abstractNumId="506">
    <w:nsid w:val="3C8CC138"/>
    <w:multiLevelType w:val="hybridMultilevel"/>
    <w:lvl w:ilvl="0">
      <w:lvlJc w:val="left"/>
      <w:lvlText w:val="["/>
      <w:numFmt w:val="bullet"/>
      <w:start w:val="1"/>
    </w:lvl>
  </w:abstractNum>
  <w:abstractNum w:abstractNumId="507">
    <w:nsid w:val="42E8C7BE"/>
    <w:multiLevelType w:val="hybridMultilevel"/>
    <w:lvl w:ilvl="0">
      <w:lvlJc w:val="left"/>
      <w:lvlText w:val="["/>
      <w:numFmt w:val="bullet"/>
      <w:start w:val="1"/>
    </w:lvl>
  </w:abstractNum>
  <w:abstractNum w:abstractNumId="508">
    <w:nsid w:val="653CDC22"/>
    <w:multiLevelType w:val="hybridMultilevel"/>
    <w:lvl w:ilvl="0">
      <w:lvlJc w:val="left"/>
      <w:lvlText w:val="["/>
      <w:numFmt w:val="bullet"/>
      <w:start w:val="1"/>
    </w:lvl>
  </w:abstractNum>
  <w:abstractNum w:abstractNumId="509">
    <w:nsid w:val="103B2716"/>
    <w:multiLevelType w:val="hybridMultilevel"/>
    <w:lvl w:ilvl="0">
      <w:lvlJc w:val="left"/>
      <w:lvlText w:val="["/>
      <w:numFmt w:val="bullet"/>
      <w:start w:val="1"/>
    </w:lvl>
  </w:abstractNum>
  <w:abstractNum w:abstractNumId="510">
    <w:nsid w:val="156827FB"/>
    <w:multiLevelType w:val="hybridMultilevel"/>
    <w:lvl w:ilvl="0">
      <w:lvlJc w:val="left"/>
      <w:lvlText w:val="["/>
      <w:numFmt w:val="bullet"/>
      <w:start w:val="1"/>
    </w:lvl>
  </w:abstractNum>
  <w:abstractNum w:abstractNumId="511">
    <w:nsid w:val="6350AC35"/>
    <w:multiLevelType w:val="hybridMultilevel"/>
    <w:lvl w:ilvl="0">
      <w:lvlJc w:val="left"/>
      <w:lvlText w:val="[%1]"/>
      <w:numFmt w:val="upperLetter"/>
      <w:start w:val="24"/>
    </w:lvl>
  </w:abstractNum>
  <w:abstractNum w:abstractNumId="512">
    <w:nsid w:val="767725AB"/>
    <w:multiLevelType w:val="hybridMultilevel"/>
    <w:lvl w:ilvl="0">
      <w:lvlJc w:val="left"/>
      <w:lvlText w:val="["/>
      <w:numFmt w:val="bullet"/>
      <w:start w:val="1"/>
    </w:lvl>
  </w:abstractNum>
  <w:abstractNum w:abstractNumId="513">
    <w:nsid w:val="4748C06A"/>
    <w:multiLevelType w:val="hybridMultilevel"/>
    <w:lvl w:ilvl="0">
      <w:lvlJc w:val="left"/>
      <w:lvlText w:val="["/>
      <w:numFmt w:val="bullet"/>
      <w:start w:val="1"/>
    </w:lvl>
  </w:abstractNum>
  <w:abstractNum w:abstractNumId="514">
    <w:nsid w:val="254D9EA9"/>
    <w:multiLevelType w:val="hybridMultilevel"/>
    <w:lvl w:ilvl="0">
      <w:lvlJc w:val="left"/>
      <w:lvlText w:val="["/>
      <w:numFmt w:val="bullet"/>
      <w:start w:val="1"/>
    </w:lvl>
  </w:abstractNum>
  <w:abstractNum w:abstractNumId="515">
    <w:nsid w:val="1FBD3AA3"/>
    <w:multiLevelType w:val="hybridMultilevel"/>
    <w:lvl w:ilvl="0">
      <w:lvlJc w:val="left"/>
      <w:lvlText w:val="["/>
      <w:numFmt w:val="bullet"/>
      <w:start w:val="1"/>
    </w:lvl>
  </w:abstractNum>
  <w:abstractNum w:abstractNumId="516">
    <w:nsid w:val="18C6B4F2"/>
    <w:multiLevelType w:val="hybridMultilevel"/>
    <w:lvl w:ilvl="0">
      <w:lvlJc w:val="left"/>
      <w:lvlText w:val="["/>
      <w:numFmt w:val="bullet"/>
      <w:start w:val="1"/>
    </w:lvl>
  </w:abstractNum>
  <w:abstractNum w:abstractNumId="517">
    <w:nsid w:val="40BAD55"/>
    <w:multiLevelType w:val="hybridMultilevel"/>
    <w:lvl w:ilvl="0">
      <w:lvlJc w:val="left"/>
      <w:lvlText w:val="["/>
      <w:numFmt w:val="bullet"/>
      <w:start w:val="1"/>
    </w:lvl>
  </w:abstractNum>
  <w:abstractNum w:abstractNumId="518">
    <w:nsid w:val="E5B2573"/>
    <w:multiLevelType w:val="hybridMultilevel"/>
    <w:lvl w:ilvl="0">
      <w:lvlJc w:val="left"/>
      <w:lvlText w:val="["/>
      <w:numFmt w:val="bullet"/>
      <w:start w:val="1"/>
    </w:lvl>
  </w:abstractNum>
  <w:abstractNum w:abstractNumId="519">
    <w:nsid w:val="5D175EF2"/>
    <w:multiLevelType w:val="hybridMultilevel"/>
    <w:lvl w:ilvl="0">
      <w:lvlJc w:val="left"/>
      <w:lvlText w:val="[%1]"/>
      <w:numFmt w:val="upperLetter"/>
      <w:start w:val="24"/>
    </w:lvl>
  </w:abstractNum>
  <w:abstractNum w:abstractNumId="520">
    <w:nsid w:val="4ED5A137"/>
    <w:multiLevelType w:val="hybridMultilevel"/>
    <w:lvl w:ilvl="0">
      <w:lvlJc w:val="left"/>
      <w:lvlText w:val="["/>
      <w:numFmt w:val="bullet"/>
      <w:start w:val="1"/>
    </w:lvl>
  </w:abstractNum>
  <w:abstractNum w:abstractNumId="521">
    <w:nsid w:val="1B1BCCF5"/>
    <w:multiLevelType w:val="hybridMultilevel"/>
    <w:lvl w:ilvl="0">
      <w:lvlJc w:val="left"/>
      <w:lvlText w:val="["/>
      <w:numFmt w:val="bullet"/>
      <w:start w:val="1"/>
    </w:lvl>
  </w:abstractNum>
  <w:abstractNum w:abstractNumId="522">
    <w:nsid w:val="56CDFABB"/>
    <w:multiLevelType w:val="hybridMultilevel"/>
    <w:lvl w:ilvl="0">
      <w:lvlJc w:val="left"/>
      <w:lvlText w:val="(%1)"/>
      <w:numFmt w:val="lowerLetter"/>
      <w:start w:val="3"/>
    </w:lvl>
  </w:abstractNum>
  <w:abstractNum w:abstractNumId="523">
    <w:nsid w:val="78466DAF"/>
    <w:multiLevelType w:val="hybridMultilevel"/>
    <w:lvl w:ilvl="0">
      <w:lvlJc w:val="left"/>
      <w:lvlText w:val="["/>
      <w:numFmt w:val="bullet"/>
      <w:start w:val="1"/>
    </w:lvl>
  </w:abstractNum>
  <w:abstractNum w:abstractNumId="524">
    <w:nsid w:val="64E5E036"/>
    <w:multiLevelType w:val="hybridMultilevel"/>
    <w:lvl w:ilvl="0">
      <w:lvlJc w:val="left"/>
      <w:lvlText w:val="[%1]"/>
      <w:numFmt w:val="upperLetter"/>
      <w:start w:val="24"/>
    </w:lvl>
  </w:abstractNum>
  <w:abstractNum w:abstractNumId="525">
    <w:nsid w:val="5C5B6C3A"/>
    <w:multiLevelType w:val="hybridMultilevel"/>
    <w:lvl w:ilvl="0">
      <w:lvlJc w:val="left"/>
      <w:lvlText w:val="["/>
      <w:numFmt w:val="bullet"/>
      <w:start w:val="1"/>
    </w:lvl>
  </w:abstractNum>
  <w:abstractNum w:abstractNumId="526">
    <w:nsid w:val="5D094B84"/>
    <w:multiLevelType w:val="hybridMultilevel"/>
    <w:lvl w:ilvl="0">
      <w:lvlJc w:val="left"/>
      <w:lvlText w:val="["/>
      <w:numFmt w:val="bullet"/>
      <w:start w:val="1"/>
    </w:lvl>
  </w:abstractNum>
  <w:abstractNum w:abstractNumId="527">
    <w:nsid w:val="272A9914"/>
    <w:multiLevelType w:val="hybridMultilevel"/>
    <w:lvl w:ilvl="0">
      <w:lvlJc w:val="left"/>
      <w:lvlText w:val="["/>
      <w:numFmt w:val="bullet"/>
      <w:start w:val="1"/>
    </w:lvl>
  </w:abstractNum>
  <w:abstractNum w:abstractNumId="528">
    <w:nsid w:val="52A4773B"/>
    <w:multiLevelType w:val="hybridMultilevel"/>
    <w:lvl w:ilvl="0">
      <w:lvlJc w:val="left"/>
      <w:lvlText w:val="["/>
      <w:numFmt w:val="bullet"/>
      <w:start w:val="1"/>
    </w:lvl>
  </w:abstractNum>
  <w:abstractNum w:abstractNumId="529">
    <w:nsid w:val="13BAE843"/>
    <w:multiLevelType w:val="hybridMultilevel"/>
    <w:lvl w:ilvl="0">
      <w:lvlJc w:val="left"/>
      <w:lvlText w:val="(%1)"/>
      <w:numFmt w:val="lowerLetter"/>
      <w:start w:val="4"/>
    </w:lvl>
    <w:lvl w:ilvl="1">
      <w:lvlJc w:val="left"/>
      <w:lvlText w:val="(%2)"/>
      <w:numFmt w:val="decimal"/>
      <w:start w:val="1"/>
    </w:lvl>
  </w:abstractNum>
  <w:abstractNum w:abstractNumId="530">
    <w:nsid w:val="B895EBF"/>
    <w:multiLevelType w:val="hybridMultilevel"/>
    <w:lvl w:ilvl="0">
      <w:lvlJc w:val="left"/>
      <w:lvlText w:val="(%1)"/>
      <w:numFmt w:val="lowerRoman"/>
      <w:start w:val="1"/>
    </w:lvl>
  </w:abstractNum>
  <w:abstractNum w:abstractNumId="531">
    <w:nsid w:val="646A232A"/>
    <w:multiLevelType w:val="hybridMultilevel"/>
    <w:lvl w:ilvl="0">
      <w:lvlJc w:val="left"/>
      <w:lvlText w:val="(%1)"/>
      <w:numFmt w:val="lowerRoman"/>
      <w:start w:val="3"/>
    </w:lvl>
  </w:abstractNum>
  <w:abstractNum w:abstractNumId="532">
    <w:nsid w:val="6E022D01"/>
    <w:multiLevelType w:val="hybridMultilevel"/>
    <w:lvl w:ilvl="0">
      <w:lvlJc w:val="left"/>
      <w:lvlText w:val="%1"/>
      <w:numFmt w:val="lowerRoman"/>
      <w:start w:val="1"/>
    </w:lvl>
    <w:lvl w:ilvl="1">
      <w:lvlJc w:val="left"/>
      <w:lvlText w:val="(%2)"/>
      <w:numFmt w:val="upperLetter"/>
      <w:start w:val="2"/>
    </w:lvl>
  </w:abstractNum>
  <w:abstractNum w:abstractNumId="533">
    <w:nsid w:val="294E0FD0"/>
    <w:multiLevelType w:val="hybridMultilevel"/>
    <w:lvl w:ilvl="0">
      <w:lvlJc w:val="left"/>
      <w:lvlText w:val="(%1)"/>
      <w:numFmt w:val="lowerRoman"/>
      <w:start w:val="13"/>
    </w:lvl>
    <w:lvl w:ilvl="1">
      <w:lvlJc w:val="left"/>
      <w:lvlText w:val="%2"/>
      <w:numFmt w:val="upperLetter"/>
      <w:start w:val="1"/>
    </w:lvl>
  </w:abstractNum>
  <w:abstractNum w:abstractNumId="534">
    <w:nsid w:val="30D85A55"/>
    <w:multiLevelType w:val="hybridMultilevel"/>
    <w:lvl w:ilvl="0">
      <w:lvlJc w:val="left"/>
      <w:lvlText w:val="(%1)"/>
      <w:numFmt w:val="lowerRoman"/>
      <w:start w:val="18"/>
    </w:lvl>
  </w:abstractNum>
  <w:abstractNum w:abstractNumId="535">
    <w:nsid w:val="6F0463F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536">
    <w:nsid w:val="1226623C"/>
    <w:multiLevelType w:val="hybridMultilevel"/>
    <w:lvl w:ilvl="0">
      <w:lvlJc w:val="left"/>
      <w:lvlText w:val="%1"/>
      <w:numFmt w:val="decimal"/>
      <w:start w:val="1"/>
    </w:lvl>
    <w:lvl w:ilvl="1">
      <w:lvlJc w:val="left"/>
      <w:lvlText w:val="(%2)"/>
      <w:numFmt w:val="lowerRoman"/>
      <w:start w:val="21"/>
    </w:lvl>
    <w:lvl w:ilvl="2">
      <w:lvlJc w:val="left"/>
      <w:lvlText w:val="%3"/>
      <w:numFmt w:val="upperLetter"/>
      <w:start w:val="1"/>
    </w:lvl>
  </w:abstractNum>
  <w:abstractNum w:abstractNumId="537">
    <w:nsid w:val="6D651B8D"/>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538">
    <w:nsid w:val="31ED2BAF"/>
    <w:multiLevelType w:val="hybridMultilevel"/>
    <w:lvl w:ilvl="0">
      <w:lvlJc w:val="left"/>
      <w:lvlText w:val="[***]"/>
      <w:numFmt w:val="bullet"/>
      <w:start w:val="1"/>
    </w:lvl>
  </w:abstractNum>
  <w:abstractNum w:abstractNumId="539">
    <w:nsid w:val="77633E5E"/>
    <w:multiLevelType w:val="hybridMultilevel"/>
    <w:lvl w:ilvl="0">
      <w:lvlJc w:val="left"/>
      <w:lvlText w:val="•"/>
      <w:numFmt w:val="bullet"/>
      <w:start w:val="1"/>
    </w:lvl>
  </w:abstractNum>
  <w:abstractNum w:abstractNumId="540">
    <w:nsid w:val="7DA042A3"/>
    <w:multiLevelType w:val="hybridMultilevel"/>
    <w:lvl w:ilvl="0">
      <w:lvlJc w:val="left"/>
      <w:lvlText w:val="[***]"/>
      <w:numFmt w:val="bullet"/>
      <w:start w:val="1"/>
    </w:lvl>
  </w:abstractNum>
  <w:abstractNum w:abstractNumId="541">
    <w:nsid w:val="475553AB"/>
    <w:multiLevelType w:val="hybridMultilevel"/>
    <w:lvl w:ilvl="0">
      <w:lvlJc w:val="left"/>
      <w:lvlText w:val="[***]"/>
      <w:numFmt w:val="bullet"/>
      <w:start w:val="1"/>
    </w:lvl>
  </w:abstractNum>
  <w:abstractNum w:abstractNumId="542">
    <w:nsid w:val="5AB3EA93"/>
    <w:multiLevelType w:val="hybridMultilevel"/>
    <w:lvl w:ilvl="0">
      <w:lvlJc w:val="left"/>
      <w:lvlText w:val="(%1)"/>
      <w:numFmt w:val="lowerLetter"/>
      <w:start w:val="1"/>
    </w:lvl>
  </w:abstractNum>
  <w:abstractNum w:abstractNumId="543">
    <w:nsid w:val="7417684F"/>
    <w:multiLevelType w:val="hybridMultilevel"/>
    <w:lvl w:ilvl="0">
      <w:lvlJc w:val="left"/>
      <w:lvlText w:val="(%1)"/>
      <w:numFmt w:val="lowerLetter"/>
      <w:start w:val="3"/>
    </w:lvl>
  </w:abstractNum>
  <w:abstractNum w:abstractNumId="544">
    <w:nsid w:val="E9E1415"/>
    <w:multiLevelType w:val="hybridMultilevel"/>
    <w:lvl w:ilvl="0">
      <w:lvlJc w:val="left"/>
      <w:lvlText w:val="(%1)"/>
      <w:numFmt w:val="decimal"/>
      <w:start w:val="1"/>
    </w:lvl>
    <w:lvl w:ilvl="1">
      <w:lvlJc w:val="left"/>
      <w:lvlText w:val="(%2)"/>
      <w:numFmt w:val="lowerRoman"/>
      <w:start w:val="2"/>
    </w:lvl>
  </w:abstractNum>
  <w:abstractNum w:abstractNumId="545">
    <w:nsid w:val="1893D"/>
    <w:multiLevelType w:val="hybridMultilevel"/>
    <w:lvl w:ilvl="0">
      <w:lvlJc w:val="left"/>
      <w:lvlText w:val="(%1)"/>
      <w:numFmt w:val="decimal"/>
      <w:start w:val="7"/>
    </w:lvl>
  </w:abstractNum>
  <w:abstractNum w:abstractNumId="546">
    <w:nsid w:val="13D4A2F2"/>
    <w:multiLevelType w:val="hybridMultilevel"/>
    <w:lvl w:ilvl="0">
      <w:lvlJc w:val="left"/>
      <w:lvlText w:val="(%1)"/>
      <w:numFmt w:val="lowerRoman"/>
      <w:start w:val="2"/>
    </w:lvl>
  </w:abstractNum>
  <w:abstractNum w:abstractNumId="547">
    <w:nsid w:val="2764C907"/>
    <w:multiLevelType w:val="hybridMultilevel"/>
    <w:lvl w:ilvl="0">
      <w:lvlJc w:val="left"/>
      <w:lvlText w:val="%1."/>
      <w:numFmt w:val="lowerLetter"/>
      <w:start w:val="1"/>
    </w:lvl>
  </w:abstractNum>
  <w:abstractNum w:abstractNumId="548">
    <w:nsid w:val="40D3692"/>
    <w:multiLevelType w:val="hybridMultilevel"/>
    <w:lvl w:ilvl="0">
      <w:lvlJc w:val="left"/>
      <w:lvlText w:val="%1."/>
      <w:numFmt w:val="lowerLetter"/>
      <w:start w:val="4"/>
    </w:lvl>
  </w:abstractNum>
  <w:abstractNum w:abstractNumId="549">
    <w:nsid w:val="222FC865"/>
    <w:multiLevelType w:val="hybridMultilevel"/>
    <w:lvl w:ilvl="0">
      <w:lvlJc w:val="left"/>
      <w:lvlText w:val="%1."/>
      <w:numFmt w:val="lowerLetter"/>
      <w:start w:val="1"/>
    </w:lvl>
  </w:abstractNum>
  <w:abstractNum w:abstractNumId="550">
    <w:nsid w:val="47C27FA"/>
    <w:multiLevelType w:val="hybridMultilevel"/>
    <w:lvl w:ilvl="0">
      <w:lvlJc w:val="left"/>
      <w:lvlText w:val="%1."/>
      <w:numFmt w:val="lowerLetter"/>
      <w:start w:val="7"/>
    </w:lvl>
  </w:abstractNum>
  <w:abstractNum w:abstractNumId="551">
    <w:nsid w:val="52E2D7C9"/>
    <w:multiLevelType w:val="hybridMultilevel"/>
    <w:lvl w:ilvl="0">
      <w:lvlJc w:val="left"/>
      <w:lvlText w:val="%1."/>
      <w:numFmt w:val="upperLetter"/>
      <w:start w:val="9"/>
    </w:lvl>
  </w:abstractNum>
  <w:abstractNum w:abstractNumId="552">
    <w:nsid w:val="3D4B955A"/>
    <w:multiLevelType w:val="hybridMultilevel"/>
    <w:lvl w:ilvl="0">
      <w:lvlJc w:val="left"/>
      <w:lvlText w:val="%1."/>
      <w:numFmt w:val="decimal"/>
      <w:start w:val="4"/>
    </w:lvl>
  </w:abstractNum>
  <w:abstractNum w:abstractNumId="553">
    <w:nsid w:val="5B4A22B5"/>
    <w:multiLevelType w:val="hybridMultilevel"/>
    <w:lvl w:ilvl="0">
      <w:lvlJc w:val="left"/>
      <w:lvlText w:val="%1."/>
      <w:numFmt w:val="lowerLetter"/>
      <w:start w:val="1"/>
    </w:lvl>
  </w:abstractNum>
  <w:abstractNum w:abstractNumId="554">
    <w:nsid w:val="4B294578"/>
    <w:multiLevelType w:val="hybridMultilevel"/>
    <w:lvl w:ilvl="0">
      <w:lvlJc w:val="left"/>
      <w:lvlText w:val="%1."/>
      <w:numFmt w:val="lowerLetter"/>
      <w:start w:val="4"/>
    </w:lvl>
  </w:abstractNum>
  <w:abstractNum w:abstractNumId="555">
    <w:nsid w:val="22317590"/>
    <w:multiLevelType w:val="hybridMultilevel"/>
    <w:lvl w:ilvl="0">
      <w:lvlJc w:val="left"/>
      <w:lvlText w:val="%1."/>
      <w:numFmt w:val="lowerLetter"/>
      <w:start w:val="1"/>
    </w:lvl>
  </w:abstractNum>
  <w:abstractNum w:abstractNumId="556">
    <w:nsid w:val="37A58EEF"/>
    <w:multiLevelType w:val="hybridMultilevel"/>
    <w:lvl w:ilvl="0">
      <w:lvlJc w:val="left"/>
      <w:lvlText w:val="(%1)"/>
      <w:numFmt w:val="decimal"/>
      <w:start w:val="1"/>
    </w:lvl>
  </w:abstractNum>
  <w:abstractNum w:abstractNumId="557">
    <w:nsid w:val="283290FD"/>
    <w:multiLevelType w:val="hybridMultilevel"/>
    <w:lvl w:ilvl="0">
      <w:lvlJc w:val="left"/>
      <w:lvlText w:val="(%1)"/>
      <w:numFmt w:val="lowerLetter"/>
      <w:start w:val="1"/>
    </w:lvl>
  </w:abstractNum>
  <w:abstractNum w:abstractNumId="558">
    <w:nsid w:val="495C0EA5"/>
    <w:multiLevelType w:val="hybridMultilevel"/>
    <w:lvl w:ilvl="0">
      <w:lvlJc w:val="left"/>
      <w:lvlText w:val="(%1)"/>
      <w:numFmt w:val="decimal"/>
      <w:start w:val="3"/>
    </w:lvl>
  </w:abstractNum>
  <w:abstractNum w:abstractNumId="559">
    <w:nsid w:val="A4A062B"/>
    <w:multiLevelType w:val="hybridMultilevel"/>
    <w:lvl w:ilvl="0">
      <w:lvlJc w:val="left"/>
      <w:lvlText w:val="(%1)"/>
      <w:numFmt w:val="decimal"/>
      <w:start w:val="9"/>
    </w:lvl>
  </w:abstractNum>
  <w:abstractNum w:abstractNumId="560">
    <w:nsid w:val="3BED7940"/>
    <w:multiLevelType w:val="hybridMultilevel"/>
    <w:lvl w:ilvl="0">
      <w:lvlJc w:val="left"/>
      <w:lvlText w:val="%1."/>
      <w:numFmt w:val="lowerLetter"/>
      <w:start w:val="4"/>
    </w:lvl>
  </w:abstractNum>
  <w:abstractNum w:abstractNumId="561">
    <w:nsid w:val="54E56D64"/>
    <w:multiLevelType w:val="hybridMultilevel"/>
    <w:lvl w:ilvl="0">
      <w:lvlJc w:val="left"/>
      <w:lvlText w:val="(%1)"/>
      <w:numFmt w:val="decimal"/>
      <w:start w:val="1"/>
    </w:lvl>
  </w:abstractNum>
  <w:abstractNum w:abstractNumId="562">
    <w:nsid w:val="6EB42955"/>
    <w:multiLevelType w:val="hybridMultilevel"/>
    <w:lvl w:ilvl="0">
      <w:lvlJc w:val="left"/>
      <w:lvlText w:val="%1."/>
      <w:numFmt w:val="lowerLetter"/>
      <w:start w:val="1"/>
    </w:lvl>
  </w:abstractNum>
  <w:abstractNum w:abstractNumId="563">
    <w:nsid w:val="29EFA642"/>
    <w:multiLevelType w:val="hybridMultilevel"/>
    <w:lvl w:ilvl="0">
      <w:lvlJc w:val="left"/>
      <w:lvlText w:val="(%1)"/>
      <w:numFmt w:val="decimal"/>
      <w:start w:val="1"/>
    </w:lvl>
  </w:abstractNum>
  <w:abstractNum w:abstractNumId="564">
    <w:nsid w:val="7E337D35"/>
    <w:multiLevelType w:val="hybridMultilevel"/>
    <w:lvl w:ilvl="0">
      <w:lvlJc w:val="left"/>
      <w:lvlText w:val="%1."/>
      <w:numFmt w:val="lowerLetter"/>
      <w:start w:val="2"/>
    </w:lvl>
  </w:abstractNum>
  <w:abstractNum w:abstractNumId="565">
    <w:nsid w:val="1F8C83AB"/>
    <w:multiLevelType w:val="hybridMultilevel"/>
    <w:lvl w:ilvl="0">
      <w:lvlJc w:val="left"/>
      <w:lvlText w:val="%1."/>
      <w:numFmt w:val="lowerLetter"/>
      <w:start w:val="1"/>
    </w:lvl>
  </w:abstractNum>
  <w:abstractNum w:abstractNumId="566">
    <w:nsid w:val="18F40A33"/>
    <w:multiLevelType w:val="hybridMultilevel"/>
    <w:lvl w:ilvl="0">
      <w:lvlJc w:val="left"/>
      <w:lvlText w:val="%1."/>
      <w:numFmt w:val="lowerLetter"/>
      <w:start w:val="4"/>
    </w:lvl>
  </w:abstractNum>
  <w:abstractNum w:abstractNumId="567">
    <w:nsid w:val="1059DF71"/>
    <w:multiLevelType w:val="hybridMultilevel"/>
    <w:lvl w:ilvl="0">
      <w:lvlJc w:val="left"/>
      <w:lvlText w:val="%1."/>
      <w:numFmt w:val="lowerLetter"/>
      <w:start w:val="7"/>
    </w:lvl>
  </w:abstractNum>
  <w:abstractNum w:abstractNumId="568">
    <w:nsid w:val="CF19F38"/>
    <w:multiLevelType w:val="hybridMultilevel"/>
    <w:lvl w:ilvl="0">
      <w:lvlJc w:val="left"/>
      <w:lvlText w:val="%1."/>
      <w:numFmt w:val="lowerLetter"/>
      <w:start w:val="1"/>
    </w:lvl>
  </w:abstractNum>
  <w:abstractNum w:abstractNumId="569">
    <w:nsid w:val="4AE135E2"/>
    <w:multiLevelType w:val="hybridMultilevel"/>
    <w:lvl w:ilvl="0">
      <w:lvlJc w:val="left"/>
      <w:lvlText w:val="(%1)"/>
      <w:numFmt w:val="decimal"/>
      <w:start w:val="1"/>
    </w:lvl>
  </w:abstractNum>
  <w:abstractNum w:abstractNumId="570">
    <w:nsid w:val="7BD1DCF"/>
    <w:multiLevelType w:val="hybridMultilevel"/>
    <w:lvl w:ilvl="0">
      <w:lvlJc w:val="left"/>
      <w:lvlText w:val="(%1)"/>
      <w:numFmt w:val="decimal"/>
      <w:start w:val="11"/>
    </w:lvl>
  </w:abstractNum>
  <w:abstractNum w:abstractNumId="571">
    <w:nsid w:val="A91E1DC"/>
    <w:multiLevelType w:val="hybridMultilevel"/>
    <w:lvl w:ilvl="0">
      <w:lvlJc w:val="left"/>
      <w:lvlText w:val="(%1)"/>
      <w:numFmt w:val="decimal"/>
      <w:start w:val="17"/>
    </w:lvl>
  </w:abstractNum>
  <w:abstractNum w:abstractNumId="572">
    <w:nsid w:val="1236898D"/>
    <w:multiLevelType w:val="hybridMultilevel"/>
    <w:lvl w:ilvl="0">
      <w:lvlJc w:val="left"/>
      <w:lvlText w:val="%1."/>
      <w:numFmt w:val="lowerLetter"/>
      <w:start w:val="1"/>
    </w:lvl>
  </w:abstractNum>
  <w:abstractNum w:abstractNumId="573">
    <w:nsid w:val="62710862"/>
    <w:multiLevelType w:val="hybridMultilevel"/>
    <w:lvl w:ilvl="0">
      <w:lvlJc w:val="left"/>
      <w:lvlText w:val="(%1)"/>
      <w:numFmt w:val="lowerLetter"/>
      <w:start w:val="1"/>
    </w:lvl>
  </w:abstractNum>
  <w:abstractNum w:abstractNumId="574">
    <w:nsid w:val="7EA94A2B"/>
    <w:multiLevelType w:val="hybridMultilevel"/>
    <w:lvl w:ilvl="0">
      <w:lvlJc w:val="left"/>
      <w:lvlText w:val="(%1)"/>
      <w:numFmt w:val="decimal"/>
      <w:start w:val="2"/>
    </w:lvl>
  </w:abstractNum>
  <w:abstractNum w:abstractNumId="575">
    <w:nsid w:val="20D49DA3"/>
    <w:multiLevelType w:val="hybridMultilevel"/>
    <w:lvl w:ilvl="0">
      <w:lvlJc w:val="left"/>
      <w:lvlText w:val="(%1)"/>
      <w:numFmt w:val="lowerLetter"/>
      <w:start w:val="1"/>
    </w:lvl>
  </w:abstractNum>
  <w:abstractNum w:abstractNumId="576">
    <w:nsid w:val="6272919F"/>
    <w:multiLevelType w:val="hybridMultilevel"/>
    <w:lvl w:ilvl="0">
      <w:lvlJc w:val="left"/>
      <w:lvlText w:val="(%1)"/>
      <w:numFmt w:val="decimal"/>
      <w:start w:val="1"/>
    </w:lvl>
  </w:abstractNum>
  <w:abstractNum w:abstractNumId="577">
    <w:nsid w:val="127DED1D"/>
    <w:multiLevelType w:val="hybridMultilevel"/>
    <w:lvl w:ilvl="0">
      <w:lvlJc w:val="left"/>
      <w:lvlText w:val="(%1)"/>
      <w:numFmt w:val="lowerLetter"/>
      <w:start w:val="3"/>
    </w:lvl>
  </w:abstractNum>
  <w:abstractNum w:abstractNumId="578">
    <w:nsid w:val="483966AA"/>
    <w:multiLevelType w:val="hybridMultilevel"/>
    <w:lvl w:ilvl="0">
      <w:lvlJc w:val="left"/>
      <w:lvlText w:val="(%1)"/>
      <w:numFmt w:val="lowerLetter"/>
      <w:start w:val="1"/>
    </w:lvl>
  </w:abstractNum>
  <w:abstractNum w:abstractNumId="579">
    <w:nsid w:val="667FC831"/>
    <w:multiLevelType w:val="hybridMultilevel"/>
    <w:lvl w:ilvl="0">
      <w:lvlJc w:val="left"/>
      <w:lvlText w:val="(%1)"/>
      <w:numFmt w:val="lowerRoman"/>
      <w:start w:val="1"/>
    </w:lvl>
  </w:abstractNum>
  <w:abstractNum w:abstractNumId="580">
    <w:nsid w:val="34ADB582"/>
    <w:multiLevelType w:val="hybridMultilevel"/>
    <w:lvl w:ilvl="0">
      <w:lvlJc w:val="left"/>
      <w:lvlText w:val="(%1)"/>
      <w:numFmt w:val="decimal"/>
      <w:start w:val="2"/>
    </w:lvl>
  </w:abstractNum>
  <w:abstractNum w:abstractNumId="581">
    <w:nsid w:val="4CB58EA4"/>
    <w:multiLevelType w:val="hybridMultilevel"/>
    <w:lvl w:ilvl="0">
      <w:lvlJc w:val="left"/>
      <w:lvlText w:val="(%1)"/>
      <w:numFmt w:val="lowerRoman"/>
      <w:start w:val="1"/>
    </w:lvl>
  </w:abstractNum>
  <w:abstractNum w:abstractNumId="582">
    <w:nsid w:val="39629FFA"/>
    <w:multiLevelType w:val="hybridMultilevel"/>
    <w:lvl w:ilvl="0">
      <w:lvlJc w:val="left"/>
      <w:lvlText w:val="(%1)"/>
      <w:numFmt w:val="decimal"/>
      <w:start w:val="2"/>
    </w:lvl>
  </w:abstractNum>
  <w:abstractNum w:abstractNumId="583">
    <w:nsid w:val="71F94ADC"/>
    <w:multiLevelType w:val="hybridMultilevel"/>
    <w:lvl w:ilvl="0">
      <w:lvlJc w:val="left"/>
      <w:lvlText w:val="(%1)"/>
      <w:numFmt w:val="lowerLetter"/>
      <w:start w:val="4"/>
    </w:lvl>
  </w:abstractNum>
  <w:abstractNum w:abstractNumId="584">
    <w:nsid w:val="27FFB15A"/>
    <w:multiLevelType w:val="hybridMultilevel"/>
    <w:lvl w:ilvl="0">
      <w:lvlJc w:val="left"/>
      <w:lvlText w:val="%1."/>
      <w:numFmt w:val="decimal"/>
      <w:start w:val="1"/>
    </w:lvl>
  </w:abstractNum>
  <w:abstractNum w:abstractNumId="585">
    <w:nsid w:val="48BE573"/>
    <w:multiLevelType w:val="hybridMultilevel"/>
    <w:lvl w:ilvl="0">
      <w:lvlJc w:val="left"/>
      <w:lvlText w:val="%1."/>
      <w:numFmt w:val="decimal"/>
      <w:start w:val="1"/>
    </w:lvl>
  </w:abstractNum>
  <w:abstractNum w:abstractNumId="586">
    <w:nsid w:val="142AC06C"/>
    <w:multiLevelType w:val="hybridMultilevel"/>
    <w:lvl w:ilvl="0">
      <w:lvlJc w:val="left"/>
      <w:lvlText w:val="%1."/>
      <w:numFmt w:val="decimal"/>
      <w:start w:val="2"/>
    </w:lvl>
  </w:abstractNum>
  <w:abstractNum w:abstractNumId="587">
    <w:nsid w:val="5FA54049"/>
    <w:multiLevelType w:val="hybridMultilevel"/>
    <w:lvl w:ilvl="0">
      <w:lvlJc w:val="left"/>
      <w:lvlText w:val="%1."/>
      <w:numFmt w:val="decimal"/>
      <w:start w:val="4"/>
    </w:lvl>
  </w:abstractNum>
  <w:abstractNum w:abstractNumId="588">
    <w:nsid w:val="2CBE7670"/>
    <w:multiLevelType w:val="hybridMultilevel"/>
    <w:lvl w:ilvl="0">
      <w:lvlJc w:val="left"/>
      <w:lvlText w:val="[***]"/>
      <w:numFmt w:val="bullet"/>
      <w:start w:val="1"/>
    </w:lvl>
  </w:abstractNum>
  <w:abstractNum w:abstractNumId="589">
    <w:nsid w:val="5D86CF11"/>
    <w:multiLevelType w:val="hybridMultilevel"/>
    <w:lvl w:ilvl="0">
      <w:lvlJc w:val="left"/>
      <w:lvlText w:val="%1."/>
      <w:numFmt w:val="decimal"/>
      <w:start w:val="1"/>
    </w:lvl>
  </w:abstractNum>
  <w:abstractNum w:abstractNumId="590">
    <w:nsid w:val="69EF4674"/>
    <w:multiLevelType w:val="hybridMultilevel"/>
    <w:lvl w:ilvl="0">
      <w:lvlJc w:val="left"/>
      <w:lvlText w:val="%1."/>
      <w:numFmt w:val="decimal"/>
      <w:start w:val="2"/>
    </w:lvl>
  </w:abstractNum>
  <w:abstractNum w:abstractNumId="591">
    <w:nsid w:val="68ABEFB0"/>
    <w:multiLevelType w:val="hybridMultilevel"/>
    <w:lvl w:ilvl="0">
      <w:lvlJc w:val="left"/>
      <w:lvlText w:val="%1."/>
      <w:numFmt w:val="decimal"/>
      <w:start w:val="3"/>
    </w:lvl>
  </w:abstractNum>
  <w:abstractNum w:abstractNumId="592">
    <w:nsid w:val="326C3C76"/>
    <w:multiLevelType w:val="hybridMultilevel"/>
    <w:lvl w:ilvl="0">
      <w:lvlJc w:val="left"/>
      <w:lvlText w:val="[***]"/>
      <w:numFmt w:val="bullet"/>
      <w:start w:val="1"/>
    </w:lvl>
  </w:abstractNum>
  <w:abstractNum w:abstractNumId="593">
    <w:nsid w:val="58A36FCA"/>
    <w:multiLevelType w:val="hybridMultilevel"/>
    <w:lvl w:ilvl="0">
      <w:lvlJc w:val="left"/>
      <w:lvlText w:val="•"/>
      <w:numFmt w:val="bullet"/>
      <w:start w:val="1"/>
    </w:lvl>
    <w:lvl w:ilvl="1">
      <w:lvlJc w:val="left"/>
      <w:lvlText w:val="-"/>
      <w:numFmt w:val="bullet"/>
      <w:start w:val="1"/>
    </w:lvl>
  </w:abstractNum>
  <w:abstractNum w:abstractNumId="594">
    <w:nsid w:val="129B95F2"/>
    <w:multiLevelType w:val="hybridMultilevel"/>
    <w:lvl w:ilvl="0">
      <w:lvlJc w:val="left"/>
      <w:lvlText w:val="%1."/>
      <w:numFmt w:val="decimal"/>
      <w:start w:val="1"/>
    </w:lvl>
    <w:lvl w:ilvl="1">
      <w:lvlJc w:val="left"/>
      <w:lvlText w:val="%2"/>
      <w:numFmt w:val="lowerLetter"/>
      <w:start w:val="1"/>
    </w:lvl>
  </w:abstractNum>
  <w:abstractNum w:abstractNumId="595">
    <w:nsid w:val="309FB9AB"/>
    <w:multiLevelType w:val="hybridMultilevel"/>
    <w:lvl w:ilvl="0">
      <w:lvlJc w:val="left"/>
      <w:lvlText w:val="%1."/>
      <w:numFmt w:val="decimal"/>
      <w:start w:val="1"/>
    </w:lvl>
  </w:abstractNum>
  <w:abstractNum w:abstractNumId="596">
    <w:nsid w:val="782FF375"/>
    <w:multiLevelType w:val="hybridMultilevel"/>
    <w:lvl w:ilvl="0">
      <w:lvlJc w:val="left"/>
      <w:lvlText w:val="%1."/>
      <w:numFmt w:val="decimal"/>
      <w:start w:val="2"/>
    </w:lvl>
  </w:abstractNum>
  <w:abstractNum w:abstractNumId="597">
    <w:nsid w:val="2B8FA025"/>
    <w:multiLevelType w:val="hybridMultilevel"/>
    <w:lvl w:ilvl="0">
      <w:lvlJc w:val="left"/>
      <w:lvlText w:val="%1."/>
      <w:numFmt w:val="decimal"/>
      <w:start w:val="4"/>
    </w:lvl>
  </w:abstractNum>
  <w:abstractNum w:abstractNumId="598">
    <w:nsid w:val="40F9991C"/>
    <w:multiLevelType w:val="hybridMultilevel"/>
    <w:lvl w:ilvl="0">
      <w:lvlJc w:val="left"/>
      <w:lvlText w:val="%1."/>
      <w:numFmt w:val="decimal"/>
      <w:start w:val="1"/>
    </w:lvl>
  </w:abstractNum>
  <w:abstractNum w:abstractNumId="599">
    <w:nsid w:val="52192AD"/>
    <w:multiLevelType w:val="hybridMultilevel"/>
    <w:lvl w:ilvl="0">
      <w:lvlJc w:val="left"/>
      <w:lvlText w:val="%1."/>
      <w:numFmt w:val="decimal"/>
      <w:start w:val="3"/>
    </w:lvl>
  </w:abstractNum>
  <w:abstractNum w:abstractNumId="600">
    <w:nsid w:val="7670D608"/>
    <w:multiLevelType w:val="hybridMultilevel"/>
    <w:lvl w:ilvl="0">
      <w:lvlJc w:val="left"/>
      <w:lvlText w:val="%1."/>
      <w:numFmt w:val="decimal"/>
      <w:start w:val="6"/>
    </w:lvl>
  </w:abstractNum>
  <w:abstractNum w:abstractNumId="601">
    <w:nsid w:val="48B6B6EB"/>
    <w:multiLevelType w:val="hybridMultilevel"/>
    <w:lvl w:ilvl="0">
      <w:lvlJc w:val="left"/>
      <w:lvlText w:val="(%1)"/>
      <w:numFmt w:val="lowerLetter"/>
      <w:start w:val="9"/>
    </w:lvl>
  </w:abstractNum>
  <w:abstractNum w:abstractNumId="602">
    <w:nsid w:val="FB37489"/>
    <w:multiLevelType w:val="hybridMultilevel"/>
    <w:lvl w:ilvl="0">
      <w:lvlJc w:val="left"/>
      <w:lvlText w:val="(%1)"/>
      <w:numFmt w:val="lowerLetter"/>
      <w:start w:val="2"/>
    </w:lvl>
  </w:abstractNum>
  <w:abstractNum w:abstractNumId="603">
    <w:nsid w:val="8A75F95"/>
    <w:multiLevelType w:val="hybridMultilevel"/>
    <w:lvl w:ilvl="0">
      <w:lvlJc w:val="left"/>
      <w:lvlText w:val="%1."/>
      <w:numFmt w:val="decimal"/>
      <w:start w:val="11"/>
    </w:lvl>
  </w:abstractNum>
  <w:abstractNum w:abstractNumId="604">
    <w:nsid w:val="2B27BF4D"/>
    <w:multiLevelType w:val="hybridMultilevel"/>
    <w:lvl w:ilvl="0">
      <w:lvlJc w:val="left"/>
      <w:lvlText w:val="%1."/>
      <w:numFmt w:val="decimal"/>
      <w:start w:val="12"/>
    </w:lvl>
  </w:abstractNum>
  <w:abstractNum w:abstractNumId="605">
    <w:nsid w:val="E5CBEB4"/>
    <w:multiLevelType w:val="hybridMultilevel"/>
    <w:lvl w:ilvl="0">
      <w:lvlJc w:val="left"/>
      <w:lvlText w:val="(%1)"/>
      <w:numFmt w:val="lowerRoman"/>
      <w:start w:val="1"/>
    </w:lvl>
  </w:abstractNum>
  <w:abstractNum w:abstractNumId="606">
    <w:nsid w:val="297BFD38"/>
    <w:multiLevelType w:val="hybridMultilevel"/>
    <w:lvl w:ilvl="0">
      <w:lvlJc w:val="left"/>
      <w:lvlText w:val="%1."/>
      <w:numFmt w:val="decimal"/>
      <w:start w:val="14"/>
    </w:lvl>
    <w:lvl w:ilvl="1">
      <w:lvlJc w:val="left"/>
      <w:lvlText w:val="%2."/>
      <w:numFmt w:val="lowerLetter"/>
      <w:start w:val="1"/>
    </w:lvl>
  </w:abstractNum>
  <w:abstractNum w:abstractNumId="607">
    <w:nsid w:val="D9A50ED"/>
    <w:multiLevelType w:val="hybridMultilevel"/>
    <w:lvl w:ilvl="0">
      <w:lvlJc w:val="left"/>
      <w:lvlText w:val="(%1)"/>
      <w:numFmt w:val="decimal"/>
      <w:start w:val="10"/>
    </w:lvl>
  </w:abstractNum>
  <w:abstractNum w:abstractNumId="608">
    <w:nsid w:val="20DAABD1"/>
    <w:multiLevelType w:val="hybridMultilevel"/>
    <w:lvl w:ilvl="0">
      <w:lvlJc w:val="left"/>
      <w:lvlText w:val="%1."/>
      <w:numFmt w:val="lowerLetter"/>
      <w:start w:val="4"/>
    </w:lvl>
  </w:abstractNum>
  <w:abstractNum w:abstractNumId="609">
    <w:nsid w:val="71B563E3"/>
    <w:multiLevelType w:val="hybridMultilevel"/>
    <w:lvl w:ilvl="0">
      <w:lvlJc w:val="left"/>
      <w:lvlText w:val="[***]"/>
      <w:numFmt w:val="bullet"/>
      <w:start w:val="1"/>
    </w:lvl>
  </w:abstractNum>
  <w:abstractNum w:abstractNumId="610">
    <w:nsid w:val="741A191E"/>
    <w:multiLevelType w:val="hybridMultilevel"/>
    <w:lvl w:ilvl="0">
      <w:lvlJc w:val="left"/>
      <w:lvlText w:val="•"/>
      <w:numFmt w:val="bullet"/>
      <w:start w:val="1"/>
    </w:lvl>
  </w:abstractNum>
  <w:abstractNum w:abstractNumId="611">
    <w:nsid w:val="55886153"/>
    <w:multiLevelType w:val="hybridMultilevel"/>
    <w:lvl w:ilvl="0">
      <w:lvlJc w:val="left"/>
      <w:lvlText w:val="•"/>
      <w:numFmt w:val="bullet"/>
      <w:start w:val="1"/>
    </w:lvl>
  </w:abstractNum>
  <w:abstractNum w:abstractNumId="612">
    <w:nsid w:val="3E6AF287"/>
    <w:multiLevelType w:val="hybridMultilevel"/>
    <w:lvl w:ilvl="0">
      <w:lvlJc w:val="left"/>
      <w:lvlText w:val="•"/>
      <w:numFmt w:val="bullet"/>
      <w:start w:val="1"/>
    </w:lvl>
  </w:abstractNum>
  <w:abstractNum w:abstractNumId="613">
    <w:nsid w:val="2D7CB919"/>
    <w:multiLevelType w:val="hybridMultilevel"/>
    <w:lvl w:ilvl="0">
      <w:lvlJc w:val="left"/>
      <w:lvlText w:val="[***]"/>
      <w:numFmt w:val="bullet"/>
      <w:start w:val="1"/>
    </w:lvl>
  </w:abstractNum>
  <w:abstractNum w:abstractNumId="614">
    <w:nsid w:val="4781AC2F"/>
    <w:multiLevelType w:val="hybridMultilevel"/>
    <w:lvl w:ilvl="0">
      <w:lvlJc w:val="left"/>
      <w:lvlText w:val="•"/>
      <w:numFmt w:val="bullet"/>
      <w:start w:val="1"/>
    </w:lvl>
  </w:abstractNum>
  <w:abstractNum w:abstractNumId="615">
    <w:nsid w:val="666AA3E1"/>
    <w:multiLevelType w:val="hybridMultilevel"/>
    <w:lvl w:ilvl="0">
      <w:lvlJc w:val="left"/>
      <w:lvlText w:val="%1."/>
      <w:numFmt w:val="upperLetter"/>
      <w:start w:val="21"/>
    </w:lvl>
    <w:lvl w:ilvl="1">
      <w:lvlJc w:val="left"/>
      <w:lvlText w:val="•"/>
      <w:numFmt w:val="bullet"/>
      <w:start w:val="1"/>
    </w:lvl>
  </w:abstractNum>
  <w:abstractNum w:abstractNumId="616">
    <w:nsid w:val="32089E8C"/>
    <w:multiLevelType w:val="hybridMultilevel"/>
    <w:lvl w:ilvl="0">
      <w:lvlJc w:val="left"/>
      <w:lvlText w:val="[***]"/>
      <w:numFmt w:val="bullet"/>
      <w:start w:val="1"/>
    </w:lvl>
  </w:abstractNum>
  <w:abstractNum w:abstractNumId="617">
    <w:nsid w:val="5BAC6C9C"/>
    <w:multiLevelType w:val="hybridMultilevel"/>
    <w:lvl w:ilvl="0">
      <w:lvlJc w:val="left"/>
      <w:lvlText w:val="[***]"/>
      <w:numFmt w:val="bullet"/>
      <w:start w:val="1"/>
    </w:lvl>
  </w:abstractNum>
  <w:abstractNum w:abstractNumId="618">
    <w:nsid w:val="460FE42B"/>
    <w:multiLevelType w:val="hybridMultilevel"/>
    <w:lvl w:ilvl="0">
      <w:lvlJc w:val="left"/>
      <w:lvlText w:val="%1."/>
      <w:numFmt w:val="decimal"/>
      <w:start w:val="1"/>
    </w:lvl>
  </w:abstractNum>
  <w:abstractNum w:abstractNumId="619">
    <w:nsid w:val="5EC714FC"/>
    <w:multiLevelType w:val="hybridMultilevel"/>
    <w:lvl w:ilvl="0">
      <w:lvlJc w:val="left"/>
      <w:lvlText w:val="%1."/>
      <w:numFmt w:val="decimal"/>
      <w:start w:val="2"/>
    </w:lvl>
  </w:abstractNum>
  <w:abstractNum w:abstractNumId="620">
    <w:nsid w:val="39333BAD"/>
    <w:multiLevelType w:val="hybridMultilevel"/>
    <w:lvl w:ilvl="0">
      <w:lvlJc w:val="left"/>
      <w:lvlText w:val="%1."/>
      <w:numFmt w:val="decimal"/>
      <w:start w:val="3"/>
    </w:lvl>
  </w:abstractNum>
  <w:abstractNum w:abstractNumId="621">
    <w:nsid w:val="2FFF2A9F"/>
    <w:multiLevelType w:val="hybridMultilevel"/>
    <w:lvl w:ilvl="0">
      <w:lvlJc w:val="left"/>
      <w:lvlText w:val="%1."/>
      <w:numFmt w:val="decimal"/>
      <w:start w:val="1"/>
    </w:lvl>
  </w:abstractNum>
  <w:abstractNum w:abstractNumId="622">
    <w:nsid w:val="477304AC"/>
    <w:multiLevelType w:val="hybridMultilevel"/>
    <w:lvl w:ilvl="0">
      <w:lvlJc w:val="left"/>
      <w:lvlText w:val="%1."/>
      <w:numFmt w:val="decimal"/>
      <w:start w:val="2"/>
    </w:lvl>
  </w:abstractNum>
  <w:abstractNum w:abstractNumId="623">
    <w:nsid w:val="6B9F7823"/>
    <w:multiLevelType w:val="hybridMultilevel"/>
    <w:lvl w:ilvl="0">
      <w:lvlJc w:val="left"/>
      <w:lvlText w:val="%1."/>
      <w:numFmt w:val="decimal"/>
      <w:start w:val="3"/>
    </w:lvl>
  </w:abstractNum>
  <w:abstractNum w:abstractNumId="624">
    <w:nsid w:val="8A29A69"/>
    <w:multiLevelType w:val="hybridMultilevel"/>
    <w:lvl w:ilvl="0">
      <w:lvlJc w:val="left"/>
      <w:lvlText w:val="%1."/>
      <w:numFmt w:val="decimal"/>
      <w:start w:val="4"/>
    </w:lvl>
  </w:abstractNum>
  <w:abstractNum w:abstractNumId="625">
    <w:nsid w:val="5A0E9A9F"/>
    <w:multiLevelType w:val="hybridMultilevel"/>
    <w:lvl w:ilvl="0">
      <w:lvlJc w:val="left"/>
      <w:lvlText w:val="•"/>
      <w:numFmt w:val="bullet"/>
      <w:start w:val="1"/>
    </w:lvl>
  </w:abstractNum>
  <w:abstractNum w:abstractNumId="626">
    <w:nsid w:val="1C3F31CE"/>
    <w:multiLevelType w:val="hybridMultilevel"/>
    <w:lvl w:ilvl="0">
      <w:lvlJc w:val="left"/>
      <w:lvlText w:val="%1."/>
      <w:numFmt w:val="decimal"/>
      <w:start w:val="5"/>
    </w:lvl>
  </w:abstractNum>
  <w:abstractNum w:abstractNumId="627">
    <w:nsid w:val="D28DDE"/>
    <w:multiLevelType w:val="hybridMultilevel"/>
    <w:lvl w:ilvl="0">
      <w:lvlJc w:val="left"/>
      <w:lvlText w:val="•"/>
      <w:numFmt w:val="bullet"/>
      <w:start w:val="1"/>
    </w:lvl>
  </w:abstractNum>
  <w:abstractNum w:abstractNumId="628">
    <w:nsid w:val="59E3AC4"/>
    <w:multiLevelType w:val="hybridMultilevel"/>
    <w:lvl w:ilvl="0">
      <w:lvlJc w:val="left"/>
      <w:lvlText w:val="%1."/>
      <w:numFmt w:val="decimal"/>
      <w:start w:val="5"/>
    </w:lvl>
    <w:lvl w:ilvl="1">
      <w:lvlJc w:val="left"/>
      <w:lvlText w:val="•"/>
      <w:numFmt w:val="bullet"/>
      <w:start w:val="1"/>
    </w:lvl>
  </w:abstractNum>
  <w:abstractNum w:abstractNumId="629">
    <w:nsid w:val="5D38CAEA"/>
    <w:multiLevelType w:val="hybridMultilevel"/>
    <w:lvl w:ilvl="0">
      <w:lvlJc w:val="left"/>
      <w:lvlText w:val="%1."/>
      <w:numFmt w:val="decimal"/>
      <w:start w:val="7"/>
    </w:lvl>
  </w:abstractNum>
  <w:abstractNum w:abstractNumId="630">
    <w:nsid w:val="5F4208C"/>
    <w:multiLevelType w:val="hybridMultilevel"/>
    <w:lvl w:ilvl="0">
      <w:lvlJc w:val="left"/>
      <w:lvlText w:val="%1."/>
      <w:numFmt w:val="decimal"/>
      <w:start w:val="8"/>
    </w:lvl>
  </w:abstractNum>
  <w:abstractNum w:abstractNumId="631">
    <w:nsid w:val="7C0F10CC"/>
    <w:multiLevelType w:val="hybridMultilevel"/>
    <w:lvl w:ilvl="0">
      <w:lvlJc w:val="left"/>
      <w:lvlText w:val="•"/>
      <w:numFmt w:val="bullet"/>
      <w:start w:val="1"/>
    </w:lvl>
  </w:abstractNum>
  <w:abstractNum w:abstractNumId="632">
    <w:nsid w:val="25EF81D5"/>
    <w:multiLevelType w:val="hybridMultilevel"/>
    <w:lvl w:ilvl="0">
      <w:lvlJc w:val="left"/>
      <w:lvlText w:val="•"/>
      <w:numFmt w:val="bullet"/>
      <w:start w:val="1"/>
    </w:lvl>
  </w:abstractNum>
  <w:abstractNum w:abstractNumId="633">
    <w:nsid w:val="15A79515"/>
    <w:multiLevelType w:val="hybridMultilevel"/>
    <w:lvl w:ilvl="0">
      <w:lvlJc w:val="left"/>
      <w:lvlText w:val="%1."/>
      <w:numFmt w:val="decimal"/>
      <w:start w:val="9"/>
    </w:lvl>
  </w:abstractNum>
  <w:abstractNum w:abstractNumId="634">
    <w:nsid w:val="4B67062"/>
    <w:multiLevelType w:val="hybridMultilevel"/>
    <w:lvl w:ilvl="0">
      <w:lvlJc w:val="left"/>
      <w:lvlText w:val="•"/>
      <w:numFmt w:val="bullet"/>
      <w:start w:val="1"/>
    </w:lvl>
  </w:abstractNum>
  <w:abstractNum w:abstractNumId="635">
    <w:nsid w:val="51174123"/>
    <w:multiLevelType w:val="hybridMultilevel"/>
    <w:lvl w:ilvl="0">
      <w:lvlJc w:val="left"/>
      <w:lvlText w:val="•"/>
      <w:numFmt w:val="bullet"/>
      <w:start w:val="1"/>
    </w:lvl>
  </w:abstractNum>
  <w:abstractNum w:abstractNumId="636">
    <w:nsid w:val="240453CA"/>
    <w:multiLevelType w:val="hybridMultilevel"/>
    <w:lvl w:ilvl="0">
      <w:lvlJc w:val="left"/>
      <w:lvlText w:val="%1."/>
      <w:numFmt w:val="decimal"/>
      <w:start w:val="10"/>
    </w:lvl>
  </w:abstractNum>
  <w:abstractNum w:abstractNumId="637">
    <w:nsid w:val="2E326D9A"/>
    <w:multiLevelType w:val="hybridMultilevel"/>
    <w:lvl w:ilvl="0">
      <w:lvlJc w:val="left"/>
      <w:lvlText w:val="%1."/>
      <w:numFmt w:val="decimal"/>
      <w:start w:val="11"/>
    </w:lvl>
  </w:abstractNum>
  <w:abstractNum w:abstractNumId="638">
    <w:nsid w:val="5EB19210"/>
    <w:multiLevelType w:val="hybridMultilevel"/>
    <w:lvl w:ilvl="0">
      <w:lvlJc w:val="left"/>
      <w:lvlText w:val="•"/>
      <w:numFmt w:val="bullet"/>
      <w:start w:val="1"/>
    </w:lvl>
  </w:abstractNum>
  <w:abstractNum w:abstractNumId="639">
    <w:nsid w:val="44DEFF9B"/>
    <w:multiLevelType w:val="hybridMultilevel"/>
    <w:lvl w:ilvl="0">
      <w:lvlJc w:val="left"/>
      <w:lvlText w:val="•"/>
      <w:numFmt w:val="bullet"/>
      <w:start w:val="1"/>
    </w:lvl>
  </w:abstractNum>
  <w:abstractNum w:abstractNumId="640">
    <w:nsid w:val="1FE7D17D"/>
    <w:multiLevelType w:val="hybridMultilevel"/>
    <w:lvl w:ilvl="0">
      <w:lvlJc w:val="left"/>
      <w:lvlText w:val="•"/>
      <w:numFmt w:val="bullet"/>
      <w:start w:val="1"/>
    </w:lvl>
  </w:abstractNum>
  <w:abstractNum w:abstractNumId="641">
    <w:nsid w:val="52CBAB2E"/>
    <w:multiLevelType w:val="hybridMultilevel"/>
    <w:lvl w:ilvl="0">
      <w:lvlJc w:val="left"/>
      <w:lvlText w:val="%1."/>
      <w:numFmt w:val="decimal"/>
      <w:start w:val="12"/>
    </w:lvl>
  </w:abstractNum>
  <w:abstractNum w:abstractNumId="642">
    <w:nsid w:val="1A6760EF"/>
    <w:multiLevelType w:val="hybridMultilevel"/>
    <w:lvl w:ilvl="0">
      <w:lvlJc w:val="left"/>
      <w:lvlText w:val="•"/>
      <w:numFmt w:val="bullet"/>
      <w:start w:val="1"/>
    </w:lvl>
  </w:abstractNum>
  <w:abstractNum w:abstractNumId="643">
    <w:nsid w:val="5E52C405"/>
    <w:multiLevelType w:val="hybridMultilevel"/>
    <w:lvl w:ilvl="0">
      <w:lvlJc w:val="left"/>
      <w:lvlText w:val="•"/>
      <w:numFmt w:val="bullet"/>
      <w:start w:val="1"/>
    </w:lvl>
  </w:abstractNum>
  <w:abstractNum w:abstractNumId="644">
    <w:nsid w:val="486447"/>
    <w:multiLevelType w:val="hybridMultilevel"/>
    <w:lvl w:ilvl="0">
      <w:lvlJc w:val="left"/>
      <w:lvlText w:val="•"/>
      <w:numFmt w:val="bullet"/>
      <w:start w:val="1"/>
    </w:lvl>
  </w:abstractNum>
  <w:abstractNum w:abstractNumId="645">
    <w:nsid w:val="61E90D1E"/>
    <w:multiLevelType w:val="hybridMultilevel"/>
    <w:lvl w:ilvl="0">
      <w:lvlJc w:val="left"/>
      <w:lvlText w:val="•"/>
      <w:numFmt w:val="bullet"/>
      <w:start w:val="1"/>
    </w:lvl>
  </w:abstractNum>
  <w:abstractNum w:abstractNumId="646">
    <w:nsid w:val="44BD67E6"/>
    <w:multiLevelType w:val="hybridMultilevel"/>
    <w:lvl w:ilvl="0">
      <w:lvlJc w:val="left"/>
      <w:lvlText w:val="%1."/>
      <w:numFmt w:val="decimal"/>
      <w:start w:val="13"/>
    </w:lvl>
  </w:abstractNum>
  <w:abstractNum w:abstractNumId="647">
    <w:nsid w:val="325102D3"/>
    <w:multiLevelType w:val="hybridMultilevel"/>
    <w:lvl w:ilvl="0">
      <w:lvlJc w:val="left"/>
      <w:lvlText w:val="%1."/>
      <w:numFmt w:val="decimal"/>
      <w:start w:val="14"/>
    </w:lvl>
  </w:abstractNum>
  <w:abstractNum w:abstractNumId="648">
    <w:nsid w:val="3D9579BA"/>
    <w:multiLevelType w:val="hybridMultilevel"/>
    <w:lvl w:ilvl="0">
      <w:lvlJc w:val="left"/>
      <w:lvlText w:val="•"/>
      <w:numFmt w:val="bullet"/>
      <w:start w:val="1"/>
    </w:lvl>
  </w:abstractNum>
  <w:abstractNum w:abstractNumId="649">
    <w:nsid w:val="ACD4C11"/>
    <w:multiLevelType w:val="hybridMultilevel"/>
    <w:lvl w:ilvl="0">
      <w:lvlJc w:val="left"/>
      <w:lvlText w:val="•"/>
      <w:numFmt w:val="bullet"/>
      <w:start w:val="1"/>
    </w:lvl>
    <w:lvl w:ilvl="1">
      <w:lvlJc w:val="left"/>
      <w:lvlText w:val="(%2)"/>
      <w:numFmt w:val="lowerRoman"/>
      <w:start w:val="4"/>
    </w:lvl>
    <w:lvl w:ilvl="2">
      <w:lvlJc w:val="left"/>
      <w:lvlText w:val="•"/>
      <w:numFmt w:val="bullet"/>
      <w:start w:val="1"/>
    </w:lvl>
  </w:abstractNum>
  <w:abstractNum w:abstractNumId="650">
    <w:nsid w:val="111817CF"/>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651">
    <w:nsid w:val="76C8B568"/>
    <w:multiLevelType w:val="hybridMultilevel"/>
    <w:lvl w:ilvl="0">
      <w:lvlJc w:val="left"/>
      <w:lvlText w:val="•"/>
      <w:numFmt w:val="bullet"/>
      <w:start w:val="1"/>
    </w:lvl>
  </w:abstractNum>
  <w:abstractNum w:abstractNumId="652">
    <w:nsid w:val="3ACC76B1"/>
    <w:multiLevelType w:val="hybridMultilevel"/>
    <w:lvl w:ilvl="0">
      <w:lvlJc w:val="left"/>
      <w:lvlText w:val="%1."/>
      <w:numFmt w:val="decimal"/>
      <w:start w:val="15"/>
    </w:lvl>
  </w:abstractNum>
  <w:abstractNum w:abstractNumId="653">
    <w:nsid w:val="588B1C7C"/>
    <w:multiLevelType w:val="hybridMultilevel"/>
    <w:lvl w:ilvl="0">
      <w:lvlJc w:val="left"/>
      <w:lvlText w:val="•"/>
      <w:numFmt w:val="bullet"/>
      <w:start w:val="1"/>
    </w:lvl>
  </w:abstractNum>
  <w:abstractNum w:abstractNumId="654">
    <w:nsid w:val="62682D8B"/>
    <w:multiLevelType w:val="hybridMultilevel"/>
    <w:lvl w:ilvl="0">
      <w:lvlJc w:val="left"/>
      <w:lvlText w:val="(%1)"/>
      <w:numFmt w:val="lowerLetter"/>
      <w:start w:val="6"/>
    </w:lvl>
  </w:abstractNum>
  <w:abstractNum w:abstractNumId="655">
    <w:nsid w:val="436F111A"/>
    <w:multiLevelType w:val="hybridMultilevel"/>
    <w:lvl w:ilvl="0">
      <w:lvlJc w:val="left"/>
      <w:lvlText w:val="%1."/>
      <w:numFmt w:val="decimal"/>
      <w:start w:val="16"/>
    </w:lvl>
  </w:abstractNum>
  <w:abstractNum w:abstractNumId="656">
    <w:nsid w:val="3299B71B"/>
    <w:multiLevelType w:val="hybridMultilevel"/>
    <w:lvl w:ilvl="0">
      <w:lvlJc w:val="left"/>
      <w:lvlText w:val="%1."/>
      <w:numFmt w:val="decimal"/>
      <w:start w:val="17"/>
    </w:lvl>
  </w:abstractNum>
  <w:abstractNum w:abstractNumId="657">
    <w:nsid w:val="7EA75F5A"/>
    <w:multiLevelType w:val="hybridMultilevel"/>
    <w:lvl w:ilvl="0">
      <w:lvlJc w:val="left"/>
      <w:lvlText w:val="•"/>
      <w:numFmt w:val="bullet"/>
      <w:start w:val="1"/>
    </w:lvl>
  </w:abstractNum>
  <w:abstractNum w:abstractNumId="658">
    <w:nsid w:val="44419EF9"/>
    <w:multiLevelType w:val="hybridMultilevel"/>
    <w:lvl w:ilvl="0">
      <w:lvlJc w:val="left"/>
      <w:lvlText w:val="•"/>
      <w:numFmt w:val="bullet"/>
      <w:start w:val="1"/>
    </w:lvl>
  </w:abstractNum>
  <w:abstractNum w:abstractNumId="659">
    <w:nsid w:val="3837F1DF"/>
    <w:multiLevelType w:val="hybridMultilevel"/>
    <w:lvl w:ilvl="0">
      <w:lvlJc w:val="left"/>
      <w:lvlText w:val="•"/>
      <w:numFmt w:val="bullet"/>
      <w:start w:val="1"/>
    </w:lvl>
  </w:abstractNum>
  <w:abstractNum w:abstractNumId="660">
    <w:nsid w:val="5BE02A44"/>
    <w:multiLevelType w:val="hybridMultilevel"/>
    <w:lvl w:ilvl="0">
      <w:lvlJc w:val="left"/>
      <w:lvlText w:val="%1."/>
      <w:numFmt w:val="decimal"/>
      <w:start w:val="18"/>
    </w:lvl>
  </w:abstractNum>
  <w:abstractNum w:abstractNumId="661">
    <w:nsid w:val="4A35BF85"/>
    <w:multiLevelType w:val="hybridMultilevel"/>
    <w:lvl w:ilvl="0">
      <w:lvlJc w:val="left"/>
      <w:lvlText w:val="•"/>
      <w:numFmt w:val="bullet"/>
      <w:start w:val="1"/>
    </w:lvl>
  </w:abstractNum>
  <w:abstractNum w:abstractNumId="662">
    <w:nsid w:val="344702AC"/>
    <w:multiLevelType w:val="hybridMultilevel"/>
    <w:lvl w:ilvl="0">
      <w:lvlJc w:val="left"/>
      <w:lvlText w:val="•"/>
      <w:numFmt w:val="bullet"/>
      <w:start w:val="1"/>
    </w:lvl>
  </w:abstractNum>
  <w:abstractNum w:abstractNumId="663">
    <w:nsid w:val="1CFAC1A"/>
    <w:multiLevelType w:val="hybridMultilevel"/>
    <w:lvl w:ilvl="0">
      <w:lvlJc w:val="left"/>
      <w:lvlText w:val="%1."/>
      <w:numFmt w:val="decimal"/>
      <w:start w:val="19"/>
    </w:lvl>
  </w:abstractNum>
  <w:abstractNum w:abstractNumId="664">
    <w:nsid w:val="5FDD549A"/>
    <w:multiLevelType w:val="hybridMultilevel"/>
    <w:lvl w:ilvl="0">
      <w:lvlJc w:val="left"/>
      <w:lvlText w:val="%1."/>
      <w:numFmt w:val="decimal"/>
      <w:start w:val="20"/>
    </w:lvl>
  </w:abstractNum>
  <w:abstractNum w:abstractNumId="665">
    <w:nsid w:val="38FD730E"/>
    <w:multiLevelType w:val="hybridMultilevel"/>
    <w:lvl w:ilvl="0">
      <w:lvlJc w:val="left"/>
      <w:lvlText w:val="(%1)"/>
      <w:numFmt w:val="lowerLetter"/>
      <w:start w:val="2"/>
    </w:lvl>
  </w:abstractNum>
  <w:abstractNum w:abstractNumId="666">
    <w:nsid w:val="52E6ED3D"/>
    <w:multiLevelType w:val="hybridMultilevel"/>
    <w:lvl w:ilvl="0">
      <w:lvlJc w:val="left"/>
      <w:lvlText w:val="(%1)"/>
      <w:numFmt w:val="decimal"/>
      <w:start w:val="1"/>
    </w:lvl>
  </w:abstractNum>
  <w:abstractNum w:abstractNumId="667">
    <w:nsid w:val="3E1A864"/>
    <w:multiLevelType w:val="hybridMultilevel"/>
    <w:lvl w:ilvl="0">
      <w:lvlJc w:val="left"/>
      <w:lvlText w:val="%1."/>
      <w:numFmt w:val="decimal"/>
      <w:start w:val="21"/>
    </w:lvl>
  </w:abstractNum>
  <w:abstractNum w:abstractNumId="668">
    <w:nsid w:val="672FE0A8"/>
    <w:multiLevelType w:val="hybridMultilevel"/>
    <w:lvl w:ilvl="0">
      <w:lvlJc w:val="left"/>
      <w:lvlText w:val="(%1)"/>
      <w:numFmt w:val="lowerRoman"/>
      <w:start w:val="1"/>
    </w:lvl>
  </w:abstractNum>
  <w:abstractNum w:abstractNumId="669">
    <w:nsid w:val="31987F4D"/>
    <w:multiLevelType w:val="hybridMultilevel"/>
    <w:lvl w:ilvl="0">
      <w:lvlJc w:val="left"/>
      <w:lvlText w:val="(%1)"/>
      <w:numFmt w:val="lowerLetter"/>
      <w:start w:val="4"/>
    </w:lvl>
  </w:abstractNum>
  <w:abstractNum w:abstractNumId="670">
    <w:nsid w:val="48C0A800"/>
    <w:multiLevelType w:val="hybridMultilevel"/>
    <w:lvl w:ilvl="0">
      <w:lvlJc w:val="left"/>
      <w:lvlText w:val="(%1)"/>
      <w:numFmt w:val="lowerRoman"/>
      <w:start w:val="9"/>
    </w:lvl>
  </w:abstractNum>
  <w:abstractNum w:abstractNumId="671">
    <w:nsid w:val="717B226"/>
    <w:multiLevelType w:val="hybridMultilevel"/>
    <w:lvl w:ilvl="0">
      <w:lvlJc w:val="left"/>
      <w:lvlText w:val="(%1)"/>
      <w:numFmt w:val="lowerLetter"/>
      <w:start w:val="2"/>
    </w:lvl>
  </w:abstractNum>
  <w:abstractNum w:abstractNumId="672">
    <w:nsid w:val="4642A7B"/>
    <w:multiLevelType w:val="hybridMultilevel"/>
    <w:lvl w:ilvl="0">
      <w:lvlJc w:val="left"/>
      <w:lvlText w:val=","/>
      <w:numFmt w:val="bullet"/>
      <w:start w:val="1"/>
    </w:lvl>
  </w:abstractNum>
  <w:abstractNum w:abstractNumId="673">
    <w:nsid w:val="632808EF"/>
    <w:multiLevelType w:val="hybridMultilevel"/>
    <w:lvl w:ilvl="0">
      <w:lvlJc w:val="left"/>
      <w:lvlText w:val="(%1)"/>
      <w:numFmt w:val="lowerLetter"/>
      <w:start w:val="1"/>
    </w:lvl>
  </w:abstractNum>
  <w:abstractNum w:abstractNumId="674">
    <w:nsid w:val="656A762B"/>
    <w:multiLevelType w:val="hybridMultilevel"/>
    <w:lvl w:ilvl="0">
      <w:lvlJc w:val="left"/>
      <w:lvlText w:val="•"/>
      <w:numFmt w:val="bullet"/>
      <w:start w:val="1"/>
    </w:lvl>
  </w:abstractNum>
  <w:abstractNum w:abstractNumId="675">
    <w:nsid w:val="4AC8EC3"/>
    <w:multiLevelType w:val="hybridMultilevel"/>
    <w:lvl w:ilvl="0">
      <w:lvlJc w:val="left"/>
      <w:lvlText w:val="%1."/>
      <w:numFmt w:val="decimal"/>
      <w:start w:val="1"/>
    </w:lvl>
  </w:abstractNum>
  <w:abstractNum w:abstractNumId="676">
    <w:nsid w:val="4511160D"/>
    <w:multiLevelType w:val="hybridMultilevel"/>
    <w:lvl w:ilvl="0">
      <w:lvlJc w:val="left"/>
      <w:lvlText w:val="%1."/>
      <w:numFmt w:val="decimal"/>
      <w:start w:val="2"/>
    </w:lvl>
  </w:abstractNum>
  <w:abstractNum w:abstractNumId="677">
    <w:nsid w:val="2A27DE11"/>
    <w:multiLevelType w:val="hybridMultilevel"/>
    <w:lvl w:ilvl="0">
      <w:lvlJc w:val="left"/>
      <w:lvlText w:val="%1."/>
      <w:numFmt w:val="decimal"/>
      <w:start w:val="4"/>
    </w:lvl>
  </w:abstractNum>
  <w:abstractNum w:abstractNumId="678">
    <w:nsid w:val="36FD9196"/>
    <w:multiLevelType w:val="hybridMultilevel"/>
    <w:lvl w:ilvl="0">
      <w:lvlJc w:val="left"/>
      <w:lvlText w:val="%1."/>
      <w:numFmt w:val="decimal"/>
      <w:start w:val="5"/>
    </w:lvl>
  </w:abstractNum>
  <w:abstractNum w:abstractNumId="679">
    <w:nsid w:val="2A68FC8"/>
    <w:multiLevelType w:val="hybridMultilevel"/>
    <w:lvl w:ilvl="0">
      <w:lvlJc w:val="left"/>
      <w:lvlText w:val="%1."/>
      <w:numFmt w:val="decimal"/>
      <w:start w:val="6"/>
    </w:lvl>
  </w:abstractNum>
  <w:abstractNum w:abstractNumId="680">
    <w:nsid w:val="34F52A23"/>
    <w:multiLevelType w:val="hybridMultilevel"/>
    <w:lvl w:ilvl="0">
      <w:lvlJc w:val="left"/>
      <w:lvlText w:val="%1."/>
      <w:numFmt w:val="decimal"/>
      <w:start w:val="8"/>
    </w:lvl>
  </w:abstractNum>
  <w:abstractNum w:abstractNumId="681">
    <w:nsid w:val="4815A966"/>
    <w:multiLevelType w:val="hybridMultilevel"/>
    <w:lvl w:ilvl="0">
      <w:lvlJc w:val="left"/>
      <w:lvlText w:val="•"/>
      <w:numFmt w:val="bullet"/>
      <w:start w:val="1"/>
    </w:lvl>
  </w:abstractNum>
  <w:abstractNum w:abstractNumId="682">
    <w:nsid w:val="796F4530"/>
    <w:multiLevelType w:val="hybridMultilevel"/>
    <w:lvl w:ilvl="0">
      <w:lvlJc w:val="left"/>
      <w:lvlText w:val="%1."/>
      <w:numFmt w:val="upperLetter"/>
      <w:start w:val="2"/>
    </w:lvl>
  </w:abstractNum>
  <w:abstractNum w:abstractNumId="683">
    <w:nsid w:val="6FC1A0D4"/>
    <w:multiLevelType w:val="hybridMultilevel"/>
    <w:lvl w:ilvl="0">
      <w:lvlJc w:val="left"/>
      <w:lvlText w:val="%1."/>
      <w:numFmt w:val="decimal"/>
      <w:start w:val="1"/>
    </w:lvl>
    <w:lvl w:ilvl="1">
      <w:lvlJc w:val="left"/>
      <w:lvlText w:val="(%2)"/>
      <w:numFmt w:val="lowerLetter"/>
      <w:start w:val="1"/>
    </w:lvl>
  </w:abstractNum>
  <w:abstractNum w:abstractNumId="684">
    <w:nsid w:val="20A0C5E2"/>
    <w:multiLevelType w:val="hybridMultilevel"/>
    <w:lvl w:ilvl="0">
      <w:lvlJc w:val="left"/>
      <w:lvlText w:val="(%1)"/>
      <w:numFmt w:val="lowerLetter"/>
      <w:start w:val="4"/>
    </w:lvl>
  </w:abstractNum>
  <w:abstractNum w:abstractNumId="685">
    <w:nsid w:val="5BD772BB"/>
    <w:multiLevelType w:val="hybridMultilevel"/>
    <w:lvl w:ilvl="0">
      <w:lvlJc w:val="left"/>
      <w:lvlText w:val="%1"/>
      <w:numFmt w:val="decimal"/>
      <w:start w:val="1"/>
    </w:lvl>
    <w:lvl w:ilvl="1">
      <w:lvlJc w:val="left"/>
      <w:lvlText w:val="(%2)"/>
      <w:numFmt w:val="lowerLetter"/>
      <w:start w:val="8"/>
    </w:lvl>
  </w:abstractNum>
  <w:abstractNum w:abstractNumId="686">
    <w:nsid w:val="3330B1EE"/>
    <w:multiLevelType w:val="hybridMultilevel"/>
    <w:lvl w:ilvl="0">
      <w:lvlJc w:val="left"/>
      <w:lvlText w:val="%1."/>
      <w:numFmt w:val="decimal"/>
      <w:start w:val="4"/>
    </w:lvl>
    <w:lvl w:ilvl="1">
      <w:lvlJc w:val="left"/>
      <w:lvlText w:val="%2"/>
      <w:numFmt w:val="lowerLetter"/>
      <w:start w:val="1"/>
    </w:lvl>
  </w:abstractNum>
  <w:abstractNum w:abstractNumId="687">
    <w:nsid w:val="533A7CFD"/>
    <w:multiLevelType w:val="hybridMultilevel"/>
    <w:lvl w:ilvl="0">
      <w:lvlJc w:val="left"/>
      <w:lvlText w:val="%1."/>
      <w:numFmt w:val="upperLetter"/>
      <w:start w:val="9"/>
    </w:lvl>
  </w:abstractNum>
  <w:abstractNum w:abstractNumId="688">
    <w:nsid w:val="5A7ED215"/>
    <w:multiLevelType w:val="hybridMultilevel"/>
    <w:lvl w:ilvl="0">
      <w:lvlJc w:val="left"/>
      <w:lvlText w:val="%1."/>
      <w:numFmt w:val="upperLetter"/>
      <w:start w:val="35"/>
    </w:lvl>
    <w:lvl w:ilvl="1">
      <w:lvlJc w:val="left"/>
      <w:lvlText w:val="%2."/>
      <w:numFmt w:val="decimal"/>
      <w:start w:val="5"/>
    </w:lvl>
    <w:lvl w:ilvl="2">
      <w:lvlJc w:val="left"/>
      <w:lvlText w:val="(%3)"/>
      <w:numFmt w:val="lowerLetter"/>
      <w:start w:val="1"/>
    </w:lvl>
  </w:abstractNum>
  <w:abstractNum w:abstractNumId="689">
    <w:nsid w:val="777250E7"/>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690">
    <w:nsid w:val="B726EDC"/>
    <w:multiLevelType w:val="hybridMultilevel"/>
    <w:lvl w:ilvl="0">
      <w:lvlJc w:val="left"/>
      <w:lvlText w:val="%1."/>
      <w:numFmt w:val="decimal"/>
      <w:start w:val="13"/>
    </w:lvl>
    <w:lvl w:ilvl="1">
      <w:lvlJc w:val="left"/>
      <w:lvlText w:val="•"/>
      <w:numFmt w:val="bullet"/>
      <w:start w:val="1"/>
    </w:lvl>
  </w:abstractNum>
  <w:abstractNum w:abstractNumId="691">
    <w:nsid w:val="365EFC5A"/>
    <w:multiLevelType w:val="hybridMultilevel"/>
    <w:lvl w:ilvl="0">
      <w:lvlJc w:val="left"/>
      <w:lvlText w:val="%1."/>
      <w:numFmt w:val="upperLetter"/>
      <w:start w:val="22"/>
    </w:lvl>
  </w:abstractNum>
  <w:abstractNum w:abstractNumId="692">
    <w:nsid w:val="41A8106C"/>
    <w:multiLevelType w:val="hybridMultilevel"/>
    <w:lvl w:ilvl="0">
      <w:lvlJc w:val="left"/>
      <w:lvlText w:val="(%1)"/>
      <w:numFmt w:val="lowerLetter"/>
      <w:start w:val="2"/>
    </w:lvl>
  </w:abstractNum>
  <w:abstractNum w:abstractNumId="693">
    <w:nsid w:val="3FB97188"/>
    <w:multiLevelType w:val="hybridMultilevel"/>
    <w:lvl w:ilvl="0">
      <w:lvlJc w:val="left"/>
      <w:lvlText w:val="%1."/>
      <w:numFmt w:val="lowerRoman"/>
      <w:start w:val="1"/>
    </w:lvl>
  </w:abstractNum>
  <w:abstractNum w:abstractNumId="694">
    <w:nsid w:val="382EA874"/>
    <w:multiLevelType w:val="hybridMultilevel"/>
    <w:lvl w:ilvl="0">
      <w:lvlJc w:val="left"/>
      <w:lvlText w:val="%1."/>
      <w:numFmt w:val="decimal"/>
      <w:start w:val="1"/>
    </w:lvl>
  </w:abstractNum>
  <w:abstractNum w:abstractNumId="695">
    <w:nsid w:val="21856507"/>
    <w:multiLevelType w:val="hybridMultilevel"/>
    <w:lvl w:ilvl="0">
      <w:lvlJc w:val="left"/>
      <w:lvlText w:val="%1."/>
      <w:numFmt w:val="decimal"/>
      <w:start w:val="2"/>
    </w:lvl>
  </w:abstractNum>
  <w:abstractNum w:abstractNumId="696">
    <w:nsid w:val="78B6E496"/>
    <w:multiLevelType w:val="hybridMultilevel"/>
    <w:lvl w:ilvl="0">
      <w:lvlJc w:val="left"/>
      <w:lvlText w:val="%1."/>
      <w:numFmt w:val="upperLetter"/>
      <w:start w:val="1"/>
    </w:lvl>
  </w:abstractNum>
  <w:abstractNum w:abstractNumId="697">
    <w:nsid w:val="B1595B1"/>
    <w:multiLevelType w:val="hybridMultilevel"/>
    <w:lvl w:ilvl="0">
      <w:lvlJc w:val="left"/>
      <w:lvlText w:val="%1."/>
      <w:numFmt w:val="upperLetter"/>
      <w:start w:val="3"/>
    </w:lvl>
    <w:lvl w:ilvl="1">
      <w:lvlJc w:val="left"/>
      <w:lvlText w:val="•"/>
      <w:numFmt w:val="bullet"/>
      <w:start w:val="1"/>
    </w:lvl>
  </w:abstractNum>
  <w:abstractNum w:abstractNumId="698">
    <w:nsid w:val="25670D6B"/>
    <w:multiLevelType w:val="hybridMultilevel"/>
    <w:lvl w:ilvl="0">
      <w:lvlJc w:val="left"/>
      <w:lvlText w:val="%1."/>
      <w:numFmt w:val="upperLetter"/>
      <w:start w:val="5"/>
    </w:lvl>
  </w:abstractNum>
  <w:abstractNum w:abstractNumId="699">
    <w:nsid w:val="5FE6C53F"/>
    <w:multiLevelType w:val="hybridMultilevel"/>
    <w:lvl w:ilvl="0">
      <w:lvlJc w:val="left"/>
      <w:lvlText w:val="%1."/>
      <w:numFmt w:val="upperLetter"/>
      <w:start w:val="6"/>
    </w:lvl>
  </w:abstractNum>
  <w:abstractNum w:abstractNumId="700">
    <w:nsid w:val="3CAE14FE"/>
    <w:multiLevelType w:val="hybridMultilevel"/>
    <w:lvl w:ilvl="0">
      <w:lvlJc w:val="left"/>
      <w:lvlText w:val="%1."/>
      <w:numFmt w:val="upperLetter"/>
      <w:start w:val="7"/>
    </w:lvl>
    <w:lvl w:ilvl="1">
      <w:lvlJc w:val="left"/>
      <w:lvlText w:val="•"/>
      <w:numFmt w:val="bullet"/>
      <w:start w:val="1"/>
    </w:lvl>
  </w:abstractNum>
  <w:abstractNum w:abstractNumId="701">
    <w:nsid w:val="6E27B56B"/>
    <w:multiLevelType w:val="hybridMultilevel"/>
    <w:lvl w:ilvl="0">
      <w:lvlJc w:val="left"/>
      <w:lvlText w:val="%1."/>
      <w:numFmt w:val="upperLetter"/>
      <w:start w:val="9"/>
    </w:lvl>
  </w:abstractNum>
  <w:abstractNum w:abstractNumId="702">
    <w:nsid w:val="66FE7765"/>
    <w:multiLevelType w:val="hybridMultilevel"/>
    <w:lvl w:ilvl="0">
      <w:lvlJc w:val="left"/>
      <w:lvlText w:val="•"/>
      <w:numFmt w:val="bullet"/>
      <w:start w:val="1"/>
    </w:lvl>
  </w:abstractNum>
  <w:abstractNum w:abstractNumId="703">
    <w:nsid w:val="41123F79"/>
    <w:multiLevelType w:val="hybridMultilevel"/>
    <w:lvl w:ilvl="0">
      <w:lvlJc w:val="left"/>
      <w:lvlText w:val="•"/>
      <w:numFmt w:val="bullet"/>
      <w:start w:val="1"/>
    </w:lvl>
    <w:lvl w:ilvl="1">
      <w:lvlJc w:val="left"/>
      <w:lvlText w:val="(%2)"/>
      <w:numFmt w:val="lowerLetter"/>
      <w:start w:val="1"/>
    </w:lvl>
  </w:abstractNum>
  <w:abstractNum w:abstractNumId="704">
    <w:nsid w:val="514FBE5A"/>
    <w:multiLevelType w:val="hybridMultilevel"/>
    <w:lvl w:ilvl="0">
      <w:lvlJc w:val="left"/>
      <w:lvlText w:val="(%1)"/>
      <w:numFmt w:val="lowerLetter"/>
      <w:start w:val="1"/>
    </w:lvl>
  </w:abstractNum>
  <w:abstractNum w:abstractNumId="705">
    <w:nsid w:val="4C68ED90"/>
    <w:multiLevelType w:val="hybridMultilevel"/>
    <w:lvl w:ilvl="0">
      <w:lvlJc w:val="left"/>
      <w:lvlText w:val="%1."/>
      <w:numFmt w:val="upperLetter"/>
      <w:start w:val="12"/>
    </w:lvl>
  </w:abstractNum>
  <w:abstractNum w:abstractNumId="706">
    <w:nsid w:val="45BECE3C"/>
    <w:multiLevelType w:val="hybridMultilevel"/>
    <w:lvl w:ilvl="0">
      <w:lvlJc w:val="left"/>
      <w:lvlText w:val="%1."/>
      <w:numFmt w:val="decimal"/>
      <w:start w:val="3"/>
    </w:lvl>
    <w:lvl w:ilvl="1">
      <w:lvlJc w:val="left"/>
      <w:lvlText w:val="•"/>
      <w:numFmt w:val="bullet"/>
      <w:start w:val="1"/>
    </w:lvl>
  </w:abstractNum>
  <w:abstractNum w:abstractNumId="707">
    <w:nsid w:val="1660D468"/>
    <w:multiLevelType w:val="hybridMultilevel"/>
    <w:lvl w:ilvl="0">
      <w:lvlJc w:val="left"/>
      <w:lvlText w:val="%1."/>
      <w:numFmt w:val="decimal"/>
      <w:start w:val="5"/>
    </w:lvl>
    <w:lvl w:ilvl="1">
      <w:lvlJc w:val="left"/>
      <w:lvlText w:val="•"/>
      <w:numFmt w:val="bullet"/>
      <w:start w:val="1"/>
    </w:lvl>
  </w:abstractNum>
  <w:abstractNum w:abstractNumId="708">
    <w:nsid w:val="7690CBA1"/>
    <w:multiLevelType w:val="hybridMultilevel"/>
    <w:lvl w:ilvl="0">
      <w:lvlJc w:val="left"/>
      <w:lvlText w:val="•"/>
      <w:numFmt w:val="bullet"/>
      <w:start w:val="1"/>
    </w:lvl>
  </w:abstractNum>
  <w:abstractNum w:abstractNumId="709">
    <w:nsid w:val="7CBC5FD3"/>
    <w:multiLevelType w:val="hybridMultilevel"/>
    <w:lvl w:ilvl="0">
      <w:lvlJc w:val="left"/>
      <w:lvlText w:val="%1."/>
      <w:numFmt w:val="decimal"/>
      <w:start w:val="1"/>
    </w:lvl>
    <w:lvl w:ilvl="1">
      <w:lvlJc w:val="left"/>
      <w:lvlText w:val="(%2)"/>
      <w:numFmt w:val="lowerLetter"/>
      <w:start w:val="1"/>
    </w:lvl>
  </w:abstractNum>
  <w:abstractNum w:abstractNumId="710">
    <w:nsid w:val="19076430"/>
    <w:multiLevelType w:val="hybridMultilevel"/>
    <w:lvl w:ilvl="0">
      <w:lvlJc w:val="left"/>
      <w:lvlText w:val="(%1)"/>
      <w:numFmt w:val="lowerLetter"/>
      <w:start w:val="2"/>
    </w:lvl>
  </w:abstractNum>
  <w:abstractNum w:abstractNumId="711">
    <w:nsid w:val="2B85F5C4"/>
    <w:multiLevelType w:val="hybridMultilevel"/>
    <w:lvl w:ilvl="0">
      <w:lvlJc w:val="left"/>
      <w:lvlText w:val="(%1)"/>
      <w:numFmt w:val="lowerLetter"/>
      <w:start w:val="4"/>
    </w:lvl>
  </w:abstractNum>
  <w:abstractNum w:abstractNumId="712">
    <w:nsid w:val="44D2093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3">
    <w:nsid w:val="1276A9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714">
    <w:nsid w:val="1B47969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8"/>
    </w:lvl>
  </w:abstractNum>
  <w:abstractNum w:abstractNumId="715">
    <w:nsid w:val="6572CF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6">
    <w:nsid w:val="6E4E1C1B"/>
    <w:multiLevelType w:val="hybridMultilevel"/>
    <w:lvl w:ilvl="0">
      <w:lvlJc w:val="left"/>
      <w:lvlText w:val="(%1)"/>
      <w:numFmt w:val="lowerRoman"/>
      <w:start w:val="4"/>
    </w:lvl>
    <w:lvl w:ilvl="1">
      <w:lvlJc w:val="left"/>
      <w:lvlText w:val="(%2)"/>
      <w:numFmt w:val="decimal"/>
      <w:start w:val="1"/>
    </w:lvl>
  </w:abstractNum>
  <w:abstractNum w:abstractNumId="717">
    <w:nsid w:val="4E78488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8">
    <w:nsid w:val="38AD4C18"/>
    <w:multiLevelType w:val="hybridMultilevel"/>
    <w:lvl w:ilvl="0">
      <w:lvlJc w:val="left"/>
      <w:lvlText w:val="(%1)"/>
      <w:numFmt w:val="lowerLetter"/>
      <w:start w:val="5"/>
    </w:lvl>
  </w:abstractNum>
  <w:abstractNum w:abstractNumId="719">
    <w:nsid w:val="48CCEE31"/>
    <w:multiLevelType w:val="hybridMultilevel"/>
    <w:lvl w:ilvl="0">
      <w:lvlJc w:val="left"/>
      <w:lvlText w:val="(%1)"/>
      <w:numFmt w:val="lowerLetter"/>
      <w:start w:val="11"/>
    </w:lvl>
  </w:abstractNum>
  <w:abstractNum w:abstractNumId="720">
    <w:nsid w:val="45EA996E"/>
    <w:multiLevelType w:val="hybridMultilevel"/>
    <w:lvl w:ilvl="0">
      <w:lvlJc w:val="left"/>
      <w:lvlText w:val="(%1)"/>
      <w:numFmt w:val="lowerLetter"/>
      <w:start w:val="17"/>
    </w:lvl>
  </w:abstractNum>
  <w:abstractNum w:abstractNumId="721">
    <w:nsid w:val="441FBAF4"/>
    <w:multiLevelType w:val="hybridMultilevel"/>
    <w:lvl w:ilvl="0">
      <w:lvlJc w:val="left"/>
      <w:lvlText w:val="%1."/>
      <w:numFmt w:val="upperLetter"/>
      <w:start w:val="1"/>
    </w:lvl>
  </w:abstractNum>
  <w:abstractNum w:abstractNumId="722">
    <w:nsid w:val="7F2BEA8B"/>
    <w:multiLevelType w:val="hybridMultilevel"/>
    <w:lvl w:ilvl="0">
      <w:lvlJc w:val="left"/>
      <w:lvlText w:val="%1."/>
      <w:numFmt w:val="decimal"/>
      <w:start w:val="1"/>
    </w:lvl>
  </w:abstractNum>
  <w:abstractNum w:abstractNumId="723">
    <w:nsid w:val="792A9DB"/>
    <w:multiLevelType w:val="hybridMultilevel"/>
    <w:lvl w:ilvl="0">
      <w:lvlJc w:val="left"/>
      <w:lvlText w:val="%1."/>
      <w:numFmt w:val="upperLetter"/>
      <w:start w:val="1"/>
    </w:lvl>
  </w:abstractNum>
  <w:abstractNum w:abstractNumId="724">
    <w:nsid w:val="3D92C7D"/>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jpe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jpe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jpe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jpe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jpe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jpe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jpe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jpe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jpe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jpe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jpe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jpe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2019-12-02T17:35:14Z</dcterms:created>
  <dcterms:modified xsi:type="dcterms:W3CDTF">2019-12-02T17:35:14Z</dcterms:modified>
</cp:coreProperties>
</file>