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nl-20260630.htm"/>
      <w:bookmarkStart w:id="1" w:name="kspsnl20260630"/>
      <w:bookmarkEnd w:id="0"/>
      <w:bookmarkEnd w:id="1"/>
      <w:r>
        <w:rPr/>
        <w:t> </w:t>
      </w:r>
    </w:p>
    <w:p>
      <w:pPr>
        <w:pStyle w:val="TextBody"/>
        <w:pBdr>
          <w:top w:val="double" w:sz="4" w:space="1" w:color="000000"/>
        </w:pBdr>
        <w:bidi w:val="0"/>
        <w:spacing w:before="120" w:after="283"/>
        <w:jc w:val="left"/>
        <w:rPr/>
      </w:pPr>
      <w:r>
        <w:rPr/>
        <w:t> </w:t>
      </w:r>
    </w:p>
    <w:p>
      <w:pPr>
        <w:pStyle w:val="TextBody"/>
        <w:bidi w:val="0"/>
        <w:spacing w:before="40" w:after="283"/>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pBdr>
          <w:bottom w:val="single" w:sz="4"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120" w:after="283"/>
        <w:jc w:val="center"/>
        <w:rPr>
          <w:rFonts w:ascii="Arial" w:hAnsi="Arial"/>
          <w:b/>
          <w:color w:val="000000"/>
          <w:sz w:val="18"/>
        </w:rPr>
      </w:pPr>
      <w:r>
        <w:rPr>
          <w:rFonts w:ascii="Arial" w:hAnsi="Arial"/>
          <w:b/>
          <w:color w:val="000000"/>
          <w:sz w:val="18"/>
        </w:rPr>
        <w:t>For the quarterly period ended June 30, 2026</w:t>
      </w:r>
    </w:p>
    <w:p>
      <w:pPr>
        <w:pStyle w:val="TextBody"/>
        <w:bidi w:val="0"/>
        <w:spacing w:before="120" w:after="283"/>
        <w:jc w:val="center"/>
        <w:rPr>
          <w:rFonts w:ascii="Arial" w:hAnsi="Arial"/>
          <w:b/>
          <w:color w:val="000000"/>
          <w:sz w:val="18"/>
        </w:rPr>
      </w:pPr>
      <w:r>
        <w:rPr>
          <w:rFonts w:ascii="Arial" w:hAnsi="Arial"/>
          <w:b/>
          <w:color w:val="000000"/>
          <w:sz w:val="18"/>
        </w:rPr>
        <w:t>OR</w:t>
      </w:r>
    </w:p>
    <w:p>
      <w:pPr>
        <w:pStyle w:val="TextBody"/>
        <w:bidi w:val="0"/>
        <w:spacing w:before="12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120" w:after="283"/>
        <w:jc w:val="center"/>
        <w:rPr>
          <w:rFonts w:ascii="Arial" w:hAnsi="Arial"/>
          <w:b/>
          <w:color w:val="000000"/>
          <w:sz w:val="18"/>
        </w:rPr>
      </w:pPr>
      <w:r>
        <w:rPr>
          <w:rFonts w:ascii="Arial" w:hAnsi="Arial"/>
          <w:b/>
          <w:color w:val="000000"/>
          <w:sz w:val="18"/>
        </w:rPr>
        <w:t>For the transition period from ________ to ________</w:t>
      </w:r>
    </w:p>
    <w:p>
      <w:pPr>
        <w:pStyle w:val="TextBody"/>
        <w:bidi w:val="0"/>
        <w:spacing w:before="120" w:after="283"/>
        <w:jc w:val="center"/>
        <w:rPr>
          <w:rFonts w:ascii="Arial" w:hAnsi="Arial"/>
          <w:b/>
          <w:color w:val="000000"/>
          <w:sz w:val="18"/>
        </w:rPr>
      </w:pPr>
      <w:r>
        <w:rPr>
          <w:rFonts w:ascii="Arial" w:hAnsi="Arial"/>
          <w:b/>
          <w:color w:val="000000"/>
          <w:sz w:val="18"/>
        </w:rPr>
        <w:t>Commission File Number: 001-38943</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6765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638175"/>
                    </a:xfrm>
                    <a:prstGeom prst="rect">
                      <a:avLst/>
                    </a:prstGeom>
                  </pic:spPr>
                </pic:pic>
              </a:graphicData>
            </a:graphic>
          </wp:inline>
        </w:drawing>
      </w:r>
    </w:p>
    <w:p>
      <w:pPr>
        <w:pStyle w:val="TextBody"/>
        <w:bidi w:val="0"/>
        <w:spacing w:before="40" w:after="283"/>
        <w:jc w:val="center"/>
        <w:rPr>
          <w:rFonts w:ascii="Arial" w:hAnsi="Arial"/>
          <w:b/>
          <w:color w:val="000000"/>
          <w:sz w:val="44"/>
        </w:rPr>
      </w:pPr>
      <w:r>
        <w:rPr>
          <w:rFonts w:ascii="Arial" w:hAnsi="Arial"/>
          <w:b/>
          <w:color w:val="000000"/>
          <w:sz w:val="44"/>
        </w:rPr>
        <w:t>Personalis, Inc.</w:t>
      </w:r>
    </w:p>
    <w:p>
      <w:pPr>
        <w:pStyle w:val="TextBody"/>
        <w:bidi w:val="0"/>
        <w:jc w:val="center"/>
        <w:rPr>
          <w:rFonts w:ascii="Arial" w:hAnsi="Arial"/>
          <w:color w:val="000000"/>
          <w:sz w:val="16"/>
        </w:rPr>
      </w:pPr>
      <w:r>
        <w:rPr>
          <w:rFonts w:ascii="Arial" w:hAnsi="Arial"/>
          <w:color w:val="000000"/>
          <w:sz w:val="16"/>
        </w:rPr>
        <w:t>(Exact Name of registrant as specified in its charter)</w:t>
      </w:r>
    </w:p>
    <w:p>
      <w:pPr>
        <w:pStyle w:val="TextBody"/>
        <w:pBdr>
          <w:bottom w:val="single" w:sz="4" w:space="3" w:color="000000"/>
        </w:pBdr>
        <w:bidi w:val="0"/>
        <w:jc w:val="center"/>
        <w:rPr/>
      </w:pPr>
      <w:r>
        <w:rPr/>
        <w:t> </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2956"/>
        <w:gridCol w:w="1411"/>
      </w:tblGrid>
      <w:tr>
        <w:trPr/>
        <w:tc>
          <w:tcPr>
            <w:tcW w:w="29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27-5411038</w:t>
            </w:r>
          </w:p>
        </w:tc>
      </w:tr>
      <w:tr>
        <w:trPr/>
        <w:tc>
          <w:tcPr>
            <w:tcW w:w="2956"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(State or other jurisdiction of</w:t>
            </w:r>
          </w:p>
          <w:p>
            <w:pPr>
              <w:pStyle w:val="TableContents"/>
              <w:bidi w:val="0"/>
              <w:spacing w:before="0" w:after="283"/>
              <w:jc w:val="center"/>
              <w:rPr>
                <w:rFonts w:ascii="Arial" w:hAnsi="Arial"/>
                <w:color w:val="000000"/>
                <w:sz w:val="16"/>
              </w:rPr>
            </w:pPr>
            <w:r>
              <w:rPr>
                <w:rFonts w:ascii="Arial" w:hAnsi="Arial"/>
                <w:color w:val="000000"/>
                <w:sz w:val="16"/>
              </w:rPr>
              <w:t>incorporation or organization)</w:t>
            </w:r>
          </w:p>
        </w:tc>
        <w:tc>
          <w:tcPr>
            <w:tcW w:w="1411"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(I.R.S. Employer</w:t>
            </w:r>
          </w:p>
          <w:p>
            <w:pPr>
              <w:pStyle w:val="TableContents"/>
              <w:bidi w:val="0"/>
              <w:spacing w:before="0" w:after="283"/>
              <w:jc w:val="center"/>
              <w:rPr>
                <w:rFonts w:ascii="Arial" w:hAnsi="Arial"/>
                <w:color w:val="000000"/>
                <w:sz w:val="16"/>
              </w:rPr>
            </w:pPr>
            <w:r>
              <w:rPr>
                <w:rFonts w:ascii="Arial" w:hAnsi="Arial"/>
                <w:color w:val="000000"/>
                <w:sz w:val="16"/>
              </w:rPr>
              <w:t>Identification No.)</w:t>
            </w:r>
          </w:p>
        </w:tc>
      </w:tr>
      <w:tr>
        <w:trPr/>
        <w:tc>
          <w:tcPr>
            <w:tcW w:w="29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6600 Dumbarton Circle</w:t>
            </w:r>
          </w:p>
          <w:p>
            <w:pPr>
              <w:pStyle w:val="TableContents"/>
              <w:bidi w:val="0"/>
              <w:spacing w:before="0" w:after="283"/>
              <w:jc w:val="center"/>
              <w:rPr>
                <w:rFonts w:ascii="Arial" w:hAnsi="Arial"/>
                <w:b/>
                <w:color w:val="000000"/>
                <w:sz w:val="18"/>
              </w:rPr>
            </w:pPr>
            <w:r>
              <w:rPr>
                <w:rFonts w:ascii="Arial" w:hAnsi="Arial"/>
                <w:b/>
                <w:color w:val="000000"/>
                <w:sz w:val="18"/>
              </w:rPr>
              <w:t>Fremont, California</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94555</w:t>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(Address of principal executive offices)</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6"/>
        </w:rPr>
        <w:t>Registrant’s telephone number, including area code:</w:t>
      </w:r>
      <w:r>
        <w:rPr>
          <w:rFonts w:ascii="Times New Roman" w:hAnsi="Times New Roman"/>
          <w:color w:val="000000"/>
          <w:sz w:val="20"/>
        </w:rPr>
        <w:t xml:space="preserve"> </w:t>
      </w:r>
      <w:r>
        <w:rPr>
          <w:rFonts w:ascii="Arial" w:hAnsi="Arial"/>
          <w:b/>
          <w:color w:val="000000"/>
          <w:sz w:val="18"/>
        </w:rPr>
        <w:t>(650) 752-1300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55" w:type="dxa"/>
        <w:jc w:val="left"/>
        <w:tblInd w:w="0" w:type="dxa"/>
        <w:tblLayout w:type="fixed"/>
        <w:tblCellMar>
          <w:top w:w="28" w:type="dxa"/>
          <w:left w:w="28" w:type="dxa"/>
          <w:bottom w:w="28" w:type="dxa"/>
          <w:right w:w="28" w:type="dxa"/>
        </w:tblCellMar>
      </w:tblPr>
      <w:tblGrid>
        <w:gridCol w:w="2941"/>
        <w:gridCol w:w="146"/>
        <w:gridCol w:w="976"/>
        <w:gridCol w:w="146"/>
        <w:gridCol w:w="394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Trading</w:t>
            </w:r>
          </w:p>
          <w:p>
            <w:pPr>
              <w:pStyle w:val="TableContents"/>
              <w:bidi w:val="0"/>
              <w:spacing w:before="0" w:after="283"/>
              <w:jc w:val="center"/>
              <w:rPr>
                <w:rFonts w:ascii="Arial" w:hAnsi="Arial"/>
                <w:b/>
                <w:color w:val="000000"/>
                <w:sz w:val="18"/>
              </w:rPr>
            </w:pPr>
            <w:r>
              <w:rPr>
                <w:rFonts w:ascii="Arial" w:hAnsi="Arial"/>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PSNL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Market</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No ☐</w:t>
      </w:r>
    </w:p>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120" w:after="12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555"/>
        <w:gridCol w:w="146"/>
        <w:gridCol w:w="316"/>
        <w:gridCol w:w="1203"/>
        <w:gridCol w:w="146"/>
        <w:gridCol w:w="316"/>
        <w:gridCol w:w="1548"/>
        <w:gridCol w:w="146"/>
        <w:gridCol w:w="316"/>
        <w:gridCol w:w="1746"/>
        <w:gridCol w:w="146"/>
        <w:gridCol w:w="361"/>
        <w:gridCol w:w="1750"/>
        <w:gridCol w:w="146"/>
        <w:gridCol w:w="364"/>
      </w:tblGrid>
      <w:tr>
        <w:trPr/>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55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7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Arial" w:hAnsi="Arial"/>
          <w:color w:val="000000"/>
          <w:sz w:val="18"/>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The number of shares of registrant’s Common Stock outstanding as of</w:t>
      </w:r>
      <w:r>
        <w:rPr>
          <w:rFonts w:ascii="Times New Roman" w:hAnsi="Times New Roman"/>
          <w:color w:val="FF0000"/>
          <w:sz w:val="20"/>
        </w:rPr>
        <w:t xml:space="preserve"> </w:t>
      </w:r>
      <w:r>
        <w:rPr>
          <w:rFonts w:ascii="Arial" w:hAnsi="Arial"/>
          <w:color w:val="000000"/>
          <w:sz w:val="18"/>
        </w:rPr>
        <w:t>July 29, 2026 was 106,799,872.</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Form 10-Q</w:t>
      </w:r>
    </w:p>
    <w:p>
      <w:pPr>
        <w:pStyle w:val="TextBody"/>
        <w:bidi w:val="0"/>
        <w:jc w:val="center"/>
        <w:rPr>
          <w:rFonts w:ascii="Arial" w:hAnsi="Arial"/>
          <w:b/>
          <w:color w:val="000000"/>
          <w:sz w:val="18"/>
        </w:rPr>
      </w:pPr>
      <w:r>
        <w:rPr>
          <w:rFonts w:ascii="Arial" w:hAnsi="Arial"/>
          <w:b/>
          <w:color w:val="000000"/>
          <w:sz w:val="18"/>
        </w:rPr>
        <w:t>For the Quarterly Period Ended June 30, 2026</w:t>
      </w:r>
    </w:p>
    <w:p>
      <w:pPr>
        <w:pStyle w:val="TextBody"/>
        <w:bidi w:val="0"/>
        <w:jc w:val="center"/>
        <w:rPr/>
      </w:pPr>
      <w:r>
        <w:rPr/>
        <w:t> </w:t>
      </w:r>
    </w:p>
    <w:p>
      <w:pPr>
        <w:pStyle w:val="TextBody"/>
        <w:bidi w:val="0"/>
        <w:jc w:val="center"/>
        <w:rPr>
          <w:rFonts w:ascii="Arial" w:hAnsi="Arial"/>
          <w:b/>
          <w:color w:val="000000"/>
          <w:sz w:val="18"/>
        </w:rPr>
      </w:pPr>
      <w:bookmarkStart w:id="2" w:name="table_of_contents"/>
      <w:bookmarkEnd w:id="2"/>
      <w:r>
        <w:rPr>
          <w:rFonts w:ascii="Arial" w:hAnsi="Arial"/>
          <w:b/>
          <w:color w:val="000000"/>
          <w:sz w:val="18"/>
        </w:rPr>
        <w:t>TABLE OF CONTENTS</w:t>
      </w:r>
    </w:p>
    <w:p>
      <w:pPr>
        <w:pStyle w:val="TextBody"/>
        <w:bidi w:val="0"/>
        <w:jc w:val="center"/>
        <w:rPr/>
      </w:pPr>
      <w:r>
        <w:rPr/>
        <w:t> </w:t>
      </w:r>
    </w:p>
    <w:tbl>
      <w:tblPr>
        <w:tblW w:w="8718" w:type="dxa"/>
        <w:jc w:val="left"/>
        <w:tblInd w:w="0" w:type="dxa"/>
        <w:tblLayout w:type="fixed"/>
        <w:tblCellMar>
          <w:top w:w="28" w:type="dxa"/>
          <w:left w:w="28" w:type="dxa"/>
          <w:bottom w:w="28" w:type="dxa"/>
          <w:right w:w="28" w:type="dxa"/>
        </w:tblCellMar>
      </w:tblPr>
      <w:tblGrid>
        <w:gridCol w:w="781"/>
        <w:gridCol w:w="7351"/>
        <w:gridCol w:w="586"/>
      </w:tblGrid>
      <w:tr>
        <w:trPr/>
        <w:tc>
          <w:tcPr>
            <w:tcW w:w="78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Page</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pecial_note_forward_looking_statements">
              <w:r>
                <w:rPr>
                  <w:rStyle w:val="InternetLink"/>
                  <w:rFonts w:ascii="Arial" w:hAnsi="Arial"/>
                  <w:color w:val="0000FF"/>
                  <w:sz w:val="18"/>
                  <w:u w:val="single"/>
                </w:rPr>
                <w:t>Note Regarding Forward-Looking Statements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of_risk_factors">
              <w:r>
                <w:rPr>
                  <w:rStyle w:val="InternetLink"/>
                  <w:rFonts w:ascii="Arial" w:hAnsi="Arial"/>
                  <w:color w:val="0000FF"/>
                  <w:sz w:val="18"/>
                  <w:u w:val="single"/>
                </w:rPr>
                <w:t>Summary of Risk Factors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4</w:t>
            </w:r>
            <w:r>
              <w:rPr>
                <w:rFonts w:ascii="Times New Roman" w:hAnsi="Times New Roman"/>
                <w:color w:val="000000"/>
                <w:sz w:val="18"/>
              </w:rPr>
              <w:t xml:space="preserve"> </w:t>
            </w:r>
          </w:p>
        </w:tc>
      </w:tr>
      <w:tr>
        <w:trPr/>
        <w:tc>
          <w:tcPr>
            <w:tcW w:w="871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Arial" w:hAnsi="Arial"/>
                  <w:b/>
                  <w:color w:val="0000FF"/>
                  <w:sz w:val="18"/>
                  <w:u w:val="single"/>
                </w:rPr>
                <w:t>PART I — FINANCIAL INFORMATION</w:t>
              </w:r>
            </w:hyperlink>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18"/>
                  <w:u w:val="single"/>
                </w:rPr>
                <w:t>Financial Statements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balance_sheets_un">
              <w:r>
                <w:rPr>
                  <w:rStyle w:val="InternetLink"/>
                  <w:rFonts w:ascii="Arial" w:hAnsi="Arial"/>
                  <w:color w:val="0000FF"/>
                  <w:sz w:val="18"/>
                  <w:u w:val="single"/>
                </w:rPr>
                <w:t>Consolidated Balance Sheets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ops">
              <w:r>
                <w:rPr>
                  <w:rStyle w:val="InternetLink"/>
                  <w:rFonts w:ascii="Arial" w:hAnsi="Arial"/>
                  <w:color w:val="0000FF"/>
                  <w:sz w:val="18"/>
                  <w:u w:val="single"/>
                </w:rPr>
                <w:t>Consolidated Statements of Operations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ompre">
              <w:r>
                <w:rPr>
                  <w:rStyle w:val="InternetLink"/>
                  <w:rFonts w:ascii="Arial" w:hAnsi="Arial"/>
                  <w:color w:val="0000FF"/>
                  <w:sz w:val="18"/>
                  <w:u w:val="single"/>
                </w:rPr>
                <w:t>Consolidated Statements of Comprehensive Loss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equity_statement">
              <w:r>
                <w:rPr>
                  <w:rStyle w:val="InternetLink"/>
                  <w:rFonts w:ascii="Arial" w:hAnsi="Arial"/>
                  <w:color w:val="0000FF"/>
                  <w:sz w:val="18"/>
                  <w:u w:val="single"/>
                </w:rPr>
                <w:t>Consolidated Statements of Stockholders’ Equity</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ash_f">
              <w:r>
                <w:rPr>
                  <w:rStyle w:val="InternetLink"/>
                  <w:rFonts w:ascii="Arial" w:hAnsi="Arial"/>
                  <w:color w:val="0000FF"/>
                  <w:sz w:val="18"/>
                  <w:u w:val="single"/>
                </w:rPr>
                <w:t>Consolidated Statements of Cash Flows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hyperlink w:anchor="index_to_notes">
              <w:r>
                <w:rPr>
                  <w:rStyle w:val="InternetLink"/>
                  <w:rFonts w:ascii="Arial" w:hAnsi="Arial"/>
                  <w:color w:val="0000FF"/>
                  <w:sz w:val="18"/>
                  <w:u w:val="single"/>
                </w:rPr>
                <w:t>Index to Notes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pPr>
            <w:hyperlink w:anchor="noates_to_financials">
              <w:r>
                <w:rPr>
                  <w:rStyle w:val="InternetLink"/>
                  <w:rFonts w:ascii="Arial" w:hAnsi="Arial"/>
                  <w:color w:val="0000FF"/>
                  <w:sz w:val="18"/>
                  <w:u w:val="single"/>
                </w:rPr>
                <w:t>Notes to Consolidated Financial Statements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18"/>
                  <w:u w:val="single"/>
                </w:rPr>
                <w:t>Management’s Discussion and Analysis of Financial Condition and Results of Operations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18"/>
                  <w:u w:val="single"/>
                </w:rPr>
                <w:t>Quantitative and Qualitative Disclosures About Market Risk</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18"/>
                  <w:u w:val="single"/>
                </w:rPr>
                <w:t>Controls and Procedures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Arial" w:hAnsi="Arial"/>
                  <w:b/>
                  <w:color w:val="0000FF"/>
                  <w:sz w:val="18"/>
                  <w:u w:val="single"/>
                </w:rPr>
                <w:t>PART II — OTHER INFORMATION</w:t>
              </w:r>
            </w:hyperlink>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18"/>
                  <w:u w:val="single"/>
                </w:rPr>
                <w:t>Legal Proceedings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39</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1A.</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18"/>
                  <w:u w:val="single"/>
                </w:rPr>
                <w:t>Risk Factors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39</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18"/>
                  <w:u w:val="single"/>
                </w:rPr>
                <w:t>Unregistered Sales of Equity Securities and Use of Proceeds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18"/>
                  <w:u w:val="single"/>
                </w:rPr>
                <w:t>Defaults Upon Senior Securities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81</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18"/>
                  <w:u w:val="single"/>
                </w:rPr>
                <w:t>Mine Safety Disclosures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5.</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18"/>
                  <w:u w:val="single"/>
                </w:rPr>
                <w:t>Other Information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81</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6.</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18"/>
                  <w:u w:val="single"/>
                </w:rPr>
                <w:t>Exhibits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18"/>
                  <w:u w:val="single"/>
                </w:rPr>
                <w:t>Signatures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83</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special_note_forward_looking_statements"/>
      <w:bookmarkEnd w:id="3"/>
      <w:r>
        <w:rPr>
          <w:rFonts w:ascii="Arial" w:hAnsi="Arial"/>
          <w:b/>
          <w:color w:val="000000"/>
          <w:sz w:val="18"/>
        </w:rPr>
        <w:t>NOTE REGARDING</w:t>
      </w:r>
      <w:r>
        <w:rPr>
          <w:rFonts w:ascii="Times New Roman" w:hAnsi="Times New Roman"/>
          <w:color w:val="000000"/>
          <w:sz w:val="20"/>
        </w:rPr>
        <w:t xml:space="preserve"> </w:t>
      </w:r>
      <w:r>
        <w:rPr>
          <w:rFonts w:ascii="Arial" w:hAnsi="Arial"/>
          <w:b/>
          <w:color w:val="000000"/>
          <w:sz w:val="18"/>
        </w:rPr>
        <w:t>FORWARD-LOOKING STATEMENTS</w:t>
      </w:r>
    </w:p>
    <w:p>
      <w:pPr>
        <w:pStyle w:val="TextBody"/>
        <w:bidi w:val="0"/>
        <w:spacing w:before="200" w:after="200"/>
        <w:jc w:val="both"/>
        <w:rPr>
          <w:rFonts w:ascii="Arial" w:hAnsi="Arial"/>
          <w:color w:val="000000"/>
          <w:sz w:val="18"/>
        </w:rPr>
      </w:pPr>
      <w:r>
        <w:rPr>
          <w:rFonts w:ascii="Arial" w:hAnsi="Arial"/>
          <w:color w:val="000000"/>
          <w:sz w:val="18"/>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planned completion of the transactions contemplated by the Agreement and Plan of Merger by and among us, Tempus AI, Inc. (“Tempus”), Aviary Development, Inc., a Delaware corporation and a wholly owned subsidiary of Tempus and Toucan Development, LLC, a Nevada limited liability company and a wholly owned subsidiary of Tempus;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evolution of cancer therapies and market adoption of our testing services;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estimates of our future revenue and the timing thereof, expenses, use of cash and other resources, cost savings, capital requirements, and our needs for additional financing and our ability to obtain financing when needed;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future reimbursement and reimbursement rulings and the timing thereof;</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business strategies, including our aim to focus on certain indications and the timing thereof;</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benefits of our testing services, including their ability to increase the probability of clinical trial success;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enter into and compete effectively in existing and new markets, with existing competitors and new market entrants;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manage and grow our business by expanding our sales to existing customers or introducing our testing services to new customers;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sales, marketing and commercialization plans and strategies, including the expected benefits of and activities to be performed under our Commercialization and Reference Laboratory Agreement with Tempus;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future business with the U.S. Department of Veterans Affairs' Million Veteran Program ("VA MVP"), ModernaTX, Inc. ("Moderna"), Merck &amp; Co., Inc. ("Merck"), and other collaboration partners and customers;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belief that approval of personalized cancer therapies by the U.S. Food and Drug Administration ("FDA") may drive benefits to our business;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benefit from the scaling of our infrastructure and capacity at our headquarters facility in Fremont;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impact our collaboration agreements and key opinion leaders may have on the broader use of our testing services in the future;</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potential impacts of inflation, macroeconomic conditions, and geopolitical conflicts on our business and operations;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establish and maintain intellectual property protection for our testing services or avoid claims of infringement;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success in defending and enforcing our intellectual property rights, including patents;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potential effects of government regulation;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hire and retain key personnel; and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our ability to maintain proper and effective internal controls.</w:t>
      </w:r>
    </w:p>
    <w:p>
      <w:pPr>
        <w:pStyle w:val="TextBody"/>
        <w:bidi w:val="0"/>
        <w:spacing w:before="200" w:after="283"/>
        <w:jc w:val="both"/>
        <w:rPr>
          <w:rFonts w:ascii="Arial" w:hAnsi="Arial"/>
          <w:color w:val="000000"/>
          <w:sz w:val="18"/>
        </w:rPr>
      </w:pPr>
      <w:r>
        <w:rPr>
          <w:rFonts w:ascii="Arial" w:hAnsi="Arial"/>
          <w:color w:val="000000"/>
          <w:sz w:val="18"/>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283"/>
        <w:jc w:val="both"/>
        <w:rPr>
          <w:rFonts w:ascii="Arial" w:hAnsi="Arial"/>
          <w:color w:val="000000"/>
          <w:sz w:val="18"/>
        </w:rPr>
      </w:pPr>
      <w:r>
        <w:rPr>
          <w:rFonts w:ascii="Arial" w:hAnsi="Arial"/>
          <w:color w:val="000000"/>
          <w:sz w:val="18"/>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00" w:after="283"/>
        <w:jc w:val="both"/>
        <w:rPr>
          <w:rFonts w:ascii="Arial" w:hAnsi="Arial"/>
          <w:color w:val="000000"/>
          <w:sz w:val="18"/>
        </w:rPr>
      </w:pPr>
      <w:r>
        <w:rPr>
          <w:rFonts w:ascii="Arial" w:hAnsi="Arial"/>
          <w:color w:val="000000"/>
          <w:sz w:val="18"/>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00" w:after="283"/>
        <w:jc w:val="both"/>
        <w:rPr>
          <w:rFonts w:ascii="Arial" w:hAnsi="Arial"/>
          <w:i/>
          <w:color w:val="000000"/>
          <w:sz w:val="18"/>
        </w:rPr>
      </w:pPr>
      <w:r>
        <w:rPr>
          <w:rFonts w:ascii="Arial" w:hAnsi="Arial"/>
          <w:i/>
          <w:color w:val="000000"/>
          <w:sz w:val="18"/>
        </w:rPr>
        <w:t>Unless the context otherwise requires, references in this Quarterly Report on Form 10-Q to the “Company,” “Personalis,” “we,” “us” and “our” refer to Personalis, Inc. and our subsidiary, Personalis (UK) Ltd.</w:t>
      </w:r>
    </w:p>
    <w:p>
      <w:pPr>
        <w:pStyle w:val="TextBody"/>
        <w:bidi w:val="0"/>
        <w:spacing w:before="240" w:after="283"/>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Summary of Risk Factors</w:t>
      </w:r>
    </w:p>
    <w:p>
      <w:pPr>
        <w:pStyle w:val="TextBody"/>
        <w:bidi w:val="0"/>
        <w:spacing w:before="200" w:after="283"/>
        <w:jc w:val="both"/>
        <w:rPr>
          <w:rFonts w:ascii="Arial" w:hAnsi="Arial"/>
          <w:i/>
          <w:color w:val="000000"/>
          <w:sz w:val="18"/>
        </w:rPr>
      </w:pPr>
      <w:r>
        <w:rPr>
          <w:rFonts w:ascii="Arial" w:hAnsi="Arial"/>
          <w:i/>
          <w:color w:val="000000"/>
          <w:sz w:val="18"/>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pStyle w:val="TextBody"/>
        <w:bidi w:val="0"/>
        <w:spacing w:before="200" w:after="283"/>
        <w:jc w:val="both"/>
        <w:rPr>
          <w:rFonts w:ascii="Arial" w:hAnsi="Arial"/>
          <w:b/>
          <w:color w:val="000000"/>
          <w:sz w:val="18"/>
        </w:rPr>
      </w:pPr>
      <w:r>
        <w:rPr>
          <w:rFonts w:ascii="Arial" w:hAnsi="Arial"/>
          <w:b/>
          <w:color w:val="000000"/>
          <w:sz w:val="18"/>
        </w:rPr>
        <w:t>Risks Related to Our Pending Acquisition by Tempus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completion of the Merger is subject to a number of conditions, including certain conditions that are beyond our control, and may not be satisfied on a timely basis,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value of the per share stock consideration payable to our stockholders in the Merger is subject to changes based on fluctuations in the value of Tempus’ Class A Common Stock, and our stockholders may receive per share stock consideration with a value that is less than $16.25 per share in certain circumstances.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announcement and pendency of the Merger, and uncertainty regarding the Merger, may adversely affect our relationships and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While the Merger Agreement is in effect, we are subject to restrictions on our business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Litigation may arise in connection with the Merger, which could be costly and divert management’s attention and otherwise materially harm our business.</w:t>
      </w:r>
    </w:p>
    <w:p>
      <w:pPr>
        <w:pStyle w:val="TextBody"/>
        <w:bidi w:val="0"/>
        <w:jc w:val="left"/>
        <w:rPr/>
      </w:pPr>
      <w:r>
        <w:rPr/>
        <w:t> </w:t>
      </w:r>
    </w:p>
    <w:p>
      <w:pPr>
        <w:pStyle w:val="TextBody"/>
        <w:bidi w:val="0"/>
        <w:spacing w:before="200" w:after="283"/>
        <w:jc w:val="both"/>
        <w:rPr>
          <w:rFonts w:ascii="Arial" w:hAnsi="Arial"/>
          <w:b/>
          <w:color w:val="000000"/>
          <w:sz w:val="18"/>
        </w:rPr>
      </w:pPr>
      <w:r>
        <w:rPr>
          <w:rFonts w:ascii="Arial" w:hAnsi="Arial"/>
          <w:b/>
          <w:color w:val="000000"/>
          <w:sz w:val="18"/>
        </w:rPr>
        <w:t>Operational, Strategic and Business Risks</w:t>
      </w:r>
    </w:p>
    <w:p>
      <w:pPr>
        <w:pStyle w:val="TextBody"/>
        <w:bidi w:val="0"/>
        <w:spacing w:before="120" w:after="283"/>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both"/>
        <w:rPr>
          <w:rFonts w:ascii="Arial" w:hAnsi="Arial"/>
          <w:color w:val="000000"/>
          <w:sz w:val="18"/>
        </w:rPr>
      </w:pPr>
      <w:r>
        <w:rPr>
          <w:rFonts w:ascii="Arial" w:hAnsi="Arial"/>
          <w:color w:val="000000"/>
          <w:sz w:val="18"/>
        </w:rPr>
        <w:t>We have a history of losses and we expect to incur significant losses for the foreseeable future and may not be able to generate sufficient revenue to achieve or sustain profitability.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If we are unable to increase sales of our current testing services or successfully develop and commercialize other services, or if we are unable to execute our sales and marketing strategy for our testing services or unable to gain sufficient acceptance in the market, or if we are unable to generate sufficient reimbursement or coverage by insurance or governmental payors for our testing services, we may fail to generate sufficient revenue to achieve profitability and sustain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have substantial customer concentration, with a limited number of customers accounting for a substantial portion of our revenue and accounts receivable; in particular, we currently derive a substantial portion of our revenue from three of our largest customers, Moderna, the VA MVP and Merck, and in the past have derived a substantial portion of our revenue from other large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Building our clinical diagnostic testing business is subject to a number of reimbursement challenges and we may not be able to establish the medical necessity of our tests for coverage or reimbursement rates that cover our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are pursuing a partner-centric strategy and have key relationships with Tempus, Myriad Genetics, Inc., Moderna, and Merck, among others. These and any other partnering and/or collaboration agreements that we have entered into or may enter into in the future may not be successful, or may terminate, which could adversely impact our business or affect our ability to develop and commercialize our testing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rely on a limited number of suppliers, or in some cases, a sole supplier, for some laboratory instruments and materials, and we may not be able to replace or immediately transition to alternative suppliers should we need to do so.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 xml:space="preserve">International trade policies, including tariffs, sanctions and trade barriers may adversely affect our business, financial condition, results of operations and prospects.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have a single facility and if it becomes damaged or inoperable, or we are required to vacate our facility, our ability to sell and provide our testing services and pursue research and development efforts may be jeopardized.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If we cannot develop testing services to keep pace with rapid advances in technology, medicine, and science our operating results and competitive position could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Personalized cancer therapies represent new therapeutic approaches that could result in heightened regulatory scrutiny, delays in clinical development, or delays or inability to achieve regulatory approval, commercialization, or payor coverage, any of which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loss of key members of our executive management team or the inability to hire, retain, or motivate highly skilled personnel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may not be able to manage our future growth effectively, which could make it difficult to execute our business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may acquire businesses or assets, form joint ventures, or make investments in other companies or technologies that could harm our operating results, dilute stockholders’ ownership, or cause us to incur debt or significant expense.</w:t>
      </w:r>
    </w:p>
    <w:p>
      <w:pPr>
        <w:pStyle w:val="TextBody"/>
        <w:bidi w:val="0"/>
        <w:spacing w:before="200" w:after="283"/>
        <w:jc w:val="left"/>
        <w:rPr>
          <w:rFonts w:ascii="Arial" w:hAnsi="Arial"/>
          <w:b/>
          <w:color w:val="000000"/>
          <w:sz w:val="18"/>
        </w:rPr>
      </w:pPr>
      <w:r>
        <w:rPr>
          <w:rFonts w:ascii="Arial" w:hAnsi="Arial"/>
          <w:b/>
          <w:color w:val="000000"/>
          <w:sz w:val="18"/>
        </w:rPr>
        <w:t>Regulatory, Legal and Cybersecurity Risks</w:t>
      </w:r>
    </w:p>
    <w:p>
      <w:pPr>
        <w:pStyle w:val="TextBody"/>
        <w:bidi w:val="0"/>
        <w:spacing w:before="240" w:after="283"/>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Complying with numerous statutes and regulations pertaining to our business is an expensive and time-consuming process, and we may be subject to regulatory action if we or our testing service offerings do not comply with applicable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internal information technology systems, or those of our third-party vendors, contractors, or consultants, may fail or suffer security breaches, loss or leakage of data, and other disruptions, which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Changes in health care policy could increase our costs, decrease our revenue, and impact sales of and reimbursement for our tests. If we grow our business by developing additional in vitro diagnostic tests, we may be subject to reimbursement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Competitors could take legal action against us for statements that are made by the Company and/or its representatives, which may require us to spend significant time and money, including damages, and could limit our ability to market our tests.</w:t>
      </w:r>
    </w:p>
    <w:p>
      <w:pPr>
        <w:pStyle w:val="TextBody"/>
        <w:bidi w:val="0"/>
        <w:spacing w:before="200" w:after="283"/>
        <w:jc w:val="left"/>
        <w:rPr>
          <w:rFonts w:ascii="Arial" w:hAnsi="Arial"/>
          <w:b/>
          <w:color w:val="000000"/>
          <w:sz w:val="18"/>
        </w:rPr>
      </w:pPr>
      <w:r>
        <w:rPr>
          <w:rFonts w:ascii="Arial" w:hAnsi="Arial"/>
          <w:b/>
          <w:color w:val="000000"/>
          <w:sz w:val="18"/>
        </w:rPr>
        <w:t>Intellectual Property Risks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Litigation or other proceedings or claims of intellectual property infringement, misappropriation, breach of license terms or other violations may require us to spend significant time and money, including damages, and could prevent us from selling our tests.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If we cannot license rights to use necessary technologies on reasonable terms, we may not be able to commercialize new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If we are not able to obtain, maintain and enforce patent protection for our testing services or technologies, our competitors and other third parties could develop and commercialize products, services and technologies similar or identical to ours, and our ability to successfully commercialize testing services, and technologies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If we are unable to protect the confidentiality of our trade secrets and know-how, our business would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use of “open source” software could subject our proprietary software to general release, adversely affect our ability to sell our testing services, and subject us to possible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200" w:after="283"/>
        <w:jc w:val="left"/>
        <w:rPr>
          <w:rFonts w:ascii="Arial" w:hAnsi="Arial"/>
          <w:b/>
          <w:color w:val="000000"/>
          <w:sz w:val="18"/>
        </w:rPr>
      </w:pPr>
      <w:r>
        <w:rPr>
          <w:rFonts w:ascii="Arial" w:hAnsi="Arial"/>
          <w:b/>
          <w:color w:val="000000"/>
          <w:sz w:val="18"/>
        </w:rPr>
        <w:t>Financial and Market Risks and Risks Related to Owning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inability to raise additional capital on acceptable terms in the future may limit our ability to continue to operate our business and further expand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quarterly results may fluctuate significantly, which could adversely impact our common stock’s value.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Insiders or holders of greater than five percent of our outstanding common stock may exercise significant control over our company and will be able to influence corporate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Future sales of shares by existing stockholders, or the perception that such sales could occur, could cause the stock price of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do not currently intend to pay dividends on our common stock and, consequently, your ability to achieve a return on your investment will depend on appreciation of the value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disclosure controls and procedures may not prevent or detect all errors or acts of fraud.</w:t>
      </w:r>
    </w:p>
    <w:p>
      <w:pPr>
        <w:pStyle w:val="TextBody"/>
        <w:bidi w:val="0"/>
        <w:spacing w:before="240" w:after="283"/>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part_ifinancial_information"/>
      <w:bookmarkEnd w:id="4"/>
      <w:r>
        <w:rPr>
          <w:rFonts w:ascii="Arial" w:hAnsi="Arial"/>
          <w:b/>
          <w:color w:val="000000"/>
          <w:sz w:val="18"/>
        </w:rPr>
        <w:t>PART I — FINANCIAL</w:t>
      </w:r>
      <w:r>
        <w:rPr>
          <w:rFonts w:ascii="Times New Roman" w:hAnsi="Times New Roman"/>
          <w:color w:val="000000"/>
          <w:sz w:val="20"/>
        </w:rPr>
        <w:t xml:space="preserve"> </w:t>
      </w:r>
      <w:r>
        <w:rPr>
          <w:rFonts w:ascii="Arial" w:hAnsi="Arial"/>
          <w:b/>
          <w:color w:val="000000"/>
          <w:sz w:val="18"/>
        </w:rPr>
        <w:t>INFORMATION</w:t>
      </w:r>
    </w:p>
    <w:p>
      <w:pPr>
        <w:pStyle w:val="TextBody"/>
        <w:bidi w:val="0"/>
        <w:spacing w:before="240" w:after="283"/>
        <w:jc w:val="left"/>
        <w:rPr>
          <w:rFonts w:ascii="Arial" w:hAnsi="Arial"/>
          <w:b/>
          <w:color w:val="000000"/>
          <w:sz w:val="18"/>
        </w:rPr>
      </w:pPr>
      <w:bookmarkStart w:id="5" w:name="item_1_financial_statements"/>
      <w:bookmarkEnd w:id="5"/>
      <w:r>
        <w:rPr>
          <w:rFonts w:ascii="Arial" w:hAnsi="Arial"/>
          <w:b/>
          <w:color w:val="000000"/>
          <w:sz w:val="18"/>
        </w:rPr>
        <w:t>Item 1. Financial Statements</w:t>
      </w:r>
    </w:p>
    <w:p>
      <w:pPr>
        <w:pStyle w:val="TextBody"/>
        <w:bidi w:val="0"/>
        <w:spacing w:before="200" w:after="283"/>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6" w:name="condensed_consolidated_balance_sheets_un"/>
      <w:bookmarkEnd w:id="6"/>
      <w:r>
        <w:rPr>
          <w:rFonts w:ascii="Arial" w:hAnsi="Arial"/>
          <w:b/>
          <w:color w:val="000000"/>
          <w:sz w:val="18"/>
        </w:rPr>
        <w:t>CONSOLIDATED BALANCE SHEETS (Unaudited)</w:t>
      </w:r>
    </w:p>
    <w:p>
      <w:pPr>
        <w:pStyle w:val="TextBody"/>
        <w:bidi w:val="0"/>
        <w:jc w:val="center"/>
        <w:rPr>
          <w:rFonts w:ascii="Arial" w:hAnsi="Arial"/>
          <w:color w:val="000000"/>
          <w:sz w:val="18"/>
        </w:rPr>
      </w:pPr>
      <w:r>
        <w:rPr>
          <w:rFonts w:ascii="Arial" w:hAnsi="Arial"/>
          <w:color w:val="000000"/>
          <w:sz w:val="18"/>
        </w:rPr>
        <w:t>(In thousands, except share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41"/>
        <w:gridCol w:w="146"/>
        <w:gridCol w:w="230"/>
        <w:gridCol w:w="919"/>
        <w:gridCol w:w="166"/>
        <w:gridCol w:w="146"/>
        <w:gridCol w:w="269"/>
        <w:gridCol w:w="1075"/>
        <w:gridCol w:w="813"/>
      </w:tblGrid>
      <w:tr>
        <w:trPr/>
        <w:tc>
          <w:tcPr>
            <w:tcW w:w="6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124,245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115,708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Accounts receivable, net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16,203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Inventory and other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5,651</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267,951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44,815</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15,118</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6,280</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334,164</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Accounts payable</w:t>
            </w:r>
            <w:r>
              <w:rPr>
                <w:rFonts w:ascii="Times New Roman" w:hAnsi="Times New Roman"/>
                <w:color w:val="000000"/>
                <w:sz w:val="18"/>
              </w:rPr>
              <w:t>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12,989</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Accrued and other current liabilities </w:t>
            </w: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25,079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Contract liabilities </w:t>
            </w: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39,630</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31,866</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72,979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Commitments and contingencies</w:t>
            </w:r>
            <w:r>
              <w:rPr>
                <w:rFonts w:ascii="Times New Roman" w:hAnsi="Times New Roman"/>
                <w:color w:val="000000"/>
                <w:sz w:val="20"/>
              </w:rPr>
              <w:t> </w:t>
            </w:r>
            <w:r>
              <w:rPr>
                <w:rFonts w:ascii="Arial" w:hAnsi="Arial"/>
                <w:color w:val="000000"/>
                <w:sz w:val="18"/>
              </w:rPr>
              <w:t>(Note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 10,000,000</w:t>
            </w:r>
            <w:r>
              <w:rPr>
                <w:rFonts w:ascii="Times New Roman" w:hAnsi="Times New Roman"/>
                <w:color w:val="000000"/>
                <w:sz w:val="20"/>
              </w:rPr>
              <w:t> </w:t>
            </w:r>
            <w:r>
              <w:rPr>
                <w:rFonts w:ascii="Arial" w:hAnsi="Arial"/>
                <w:color w:val="000000"/>
                <w:sz w:val="18"/>
              </w:rPr>
              <w:t>shares authorized; none</w:t>
            </w:r>
            <w:r>
              <w:rPr>
                <w:rFonts w:ascii="Times New Roman" w:hAnsi="Times New Roman"/>
                <w:color w:val="000000"/>
                <w:sz w:val="20"/>
              </w:rPr>
              <w:t> </w:t>
            </w:r>
            <w:r>
              <w:rPr>
                <w:rFonts w:ascii="Arial" w:hAnsi="Arial"/>
                <w:color w:val="000000"/>
                <w:sz w:val="18"/>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 200,000,000</w:t>
            </w:r>
            <w:r>
              <w:rPr>
                <w:rFonts w:ascii="Times New Roman" w:hAnsi="Times New Roman"/>
                <w:color w:val="000000"/>
                <w:sz w:val="20"/>
              </w:rPr>
              <w:t> </w:t>
            </w:r>
            <w:r>
              <w:rPr>
                <w:rFonts w:ascii="Arial" w:hAnsi="Arial"/>
                <w:color w:val="000000"/>
                <w:sz w:val="18"/>
              </w:rPr>
              <w:t>shares authorized; 106,367,428</w:t>
            </w:r>
            <w:r>
              <w:rPr>
                <w:rFonts w:ascii="Times New Roman" w:hAnsi="Times New Roman"/>
                <w:color w:val="000000"/>
                <w:sz w:val="20"/>
              </w:rPr>
              <w:t> </w:t>
            </w:r>
            <w:r>
              <w:rPr>
                <w:rFonts w:ascii="Arial" w:hAnsi="Arial"/>
                <w:color w:val="000000"/>
                <w:sz w:val="18"/>
              </w:rPr>
              <w:t>and 102,475,891</w:t>
            </w:r>
            <w:r>
              <w:rPr>
                <w:rFonts w:ascii="Times New Roman" w:hAnsi="Times New Roman"/>
                <w:color w:val="000000"/>
                <w:sz w:val="20"/>
              </w:rPr>
              <w:t> </w:t>
            </w:r>
            <w:r>
              <w:rPr>
                <w:rFonts w:ascii="Arial" w:hAnsi="Arial"/>
                <w:color w:val="000000"/>
                <w:sz w:val="18"/>
              </w:rPr>
              <w:t>shares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928,244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892,331</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(631,260</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261,185</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334,164</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(1) Includes related party accounts receivable of $7.5</w:t>
      </w:r>
      <w:r>
        <w:rPr>
          <w:rFonts w:ascii="Times New Roman" w:hAnsi="Times New Roman"/>
          <w:color w:val="000000"/>
          <w:sz w:val="20"/>
        </w:rPr>
        <w:t xml:space="preserve"> </w:t>
      </w:r>
      <w:r>
        <w:rPr>
          <w:rFonts w:ascii="Arial" w:hAnsi="Arial"/>
          <w:color w:val="000000"/>
          <w:sz w:val="16"/>
        </w:rPr>
        <w:t>million and $2.5</w:t>
      </w:r>
      <w:r>
        <w:rPr>
          <w:rFonts w:ascii="Times New Roman" w:hAnsi="Times New Roman"/>
          <w:color w:val="000000"/>
          <w:sz w:val="20"/>
        </w:rPr>
        <w:t xml:space="preserve"> </w:t>
      </w:r>
      <w:r>
        <w:rPr>
          <w:rFonts w:ascii="Arial" w:hAnsi="Arial"/>
          <w:color w:val="000000"/>
          <w:sz w:val="16"/>
        </w:rPr>
        <w:t>million as of June 30, 2026 and December 31, 2025, respectively.</w:t>
      </w:r>
    </w:p>
    <w:p>
      <w:pPr>
        <w:pStyle w:val="TextBody"/>
        <w:bidi w:val="0"/>
        <w:jc w:val="left"/>
        <w:rPr>
          <w:rFonts w:ascii="Times New Roman" w:hAnsi="Times New Roman"/>
          <w:sz w:val="20"/>
        </w:rPr>
      </w:pPr>
      <w:r>
        <w:rPr>
          <w:rFonts w:ascii="Arial" w:hAnsi="Arial"/>
          <w:color w:val="000000"/>
          <w:sz w:val="16"/>
        </w:rPr>
        <w:t>(2) Includes related party liabilities of $5.4</w:t>
      </w:r>
      <w:r>
        <w:rPr>
          <w:rFonts w:ascii="Times New Roman" w:hAnsi="Times New Roman"/>
          <w:color w:val="000000"/>
          <w:sz w:val="20"/>
        </w:rPr>
        <w:t xml:space="preserve"> </w:t>
      </w:r>
      <w:r>
        <w:rPr>
          <w:rFonts w:ascii="Arial" w:hAnsi="Arial"/>
          <w:color w:val="000000"/>
          <w:sz w:val="16"/>
        </w:rPr>
        <w:t>million</w:t>
      </w:r>
      <w:r>
        <w:rPr>
          <w:rFonts w:ascii="Times New Roman" w:hAnsi="Times New Roman"/>
          <w:color w:val="000000"/>
          <w:sz w:val="20"/>
        </w:rPr>
        <w:t xml:space="preserve"> </w:t>
      </w:r>
      <w:r>
        <w:rPr>
          <w:rFonts w:ascii="Arial" w:hAnsi="Arial"/>
          <w:color w:val="000000"/>
          <w:sz w:val="16"/>
        </w:rPr>
        <w:t>and $5.7</w:t>
      </w:r>
      <w:r>
        <w:rPr>
          <w:rFonts w:ascii="Times New Roman" w:hAnsi="Times New Roman"/>
          <w:color w:val="000000"/>
          <w:sz w:val="20"/>
        </w:rPr>
        <w:t xml:space="preserve"> </w:t>
      </w:r>
      <w:r>
        <w:rPr>
          <w:rFonts w:ascii="Arial" w:hAnsi="Arial"/>
          <w:color w:val="000000"/>
          <w:sz w:val="16"/>
        </w:rPr>
        <w:t>million as of June 30, 2026 and December 31, 2025, respectively.</w:t>
      </w:r>
    </w:p>
    <w:p>
      <w:pPr>
        <w:pStyle w:val="TextBody"/>
        <w:bidi w:val="0"/>
        <w:jc w:val="both"/>
        <w:rPr>
          <w:rFonts w:ascii="Times New Roman" w:hAnsi="Times New Roman"/>
          <w:sz w:val="20"/>
        </w:rPr>
      </w:pPr>
      <w:r>
        <w:rPr>
          <w:rFonts w:ascii="Arial" w:hAnsi="Arial"/>
          <w:color w:val="000000"/>
          <w:sz w:val="16"/>
        </w:rPr>
        <w:t>(3) Includes related party contract liabilities of $1.7</w:t>
      </w:r>
      <w:r>
        <w:rPr>
          <w:rFonts w:ascii="Times New Roman" w:hAnsi="Times New Roman"/>
          <w:color w:val="000000"/>
          <w:sz w:val="20"/>
        </w:rPr>
        <w:t xml:space="preserve"> </w:t>
      </w:r>
      <w:r>
        <w:rPr>
          <w:rFonts w:ascii="Arial" w:hAnsi="Arial"/>
          <w:color w:val="000000"/>
          <w:sz w:val="16"/>
        </w:rPr>
        <w:t>million</w:t>
      </w:r>
      <w:r>
        <w:rPr>
          <w:rFonts w:ascii="Times New Roman" w:hAnsi="Times New Roman"/>
          <w:color w:val="000000"/>
          <w:sz w:val="20"/>
        </w:rPr>
        <w:t xml:space="preserve"> </w:t>
      </w:r>
      <w:r>
        <w:rPr>
          <w:rFonts w:ascii="Arial" w:hAnsi="Arial"/>
          <w:color w:val="000000"/>
          <w:sz w:val="16"/>
        </w:rPr>
        <w:t>and nil</w:t>
      </w:r>
      <w:r>
        <w:rPr>
          <w:rFonts w:ascii="Times New Roman" w:hAnsi="Times New Roman"/>
          <w:color w:val="000000"/>
          <w:sz w:val="20"/>
        </w:rPr>
        <w:t xml:space="preserve"> </w:t>
      </w:r>
      <w:r>
        <w:rPr>
          <w:rFonts w:ascii="Arial" w:hAnsi="Arial"/>
          <w:color w:val="000000"/>
          <w:sz w:val="16"/>
        </w:rPr>
        <w:t>as of June 30, 2026 and December 31, 2025, respectively.</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7" w:name="condensed_consolidated_statements_ops"/>
      <w:bookmarkEnd w:id="7"/>
      <w:r>
        <w:rPr>
          <w:rFonts w:ascii="Arial" w:hAnsi="Arial"/>
          <w:b/>
          <w:color w:val="000000"/>
          <w:sz w:val="18"/>
        </w:rPr>
        <w:t>CONSOLIDATED STATEMENTS OF OPERATIONS (Unaudited)</w:t>
      </w:r>
    </w:p>
    <w:p>
      <w:pPr>
        <w:pStyle w:val="TextBody"/>
        <w:bidi w:val="0"/>
        <w:jc w:val="center"/>
        <w:rPr>
          <w:rFonts w:ascii="Arial" w:hAnsi="Arial"/>
          <w:color w:val="000000"/>
          <w:sz w:val="18"/>
        </w:rPr>
      </w:pPr>
      <w:r>
        <w:rPr>
          <w:rFonts w:ascii="Arial" w:hAnsi="Arial"/>
          <w:color w:val="000000"/>
          <w:sz w:val="18"/>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4"/>
        <w:gridCol w:w="146"/>
        <w:gridCol w:w="211"/>
        <w:gridCol w:w="1141"/>
        <w:gridCol w:w="166"/>
        <w:gridCol w:w="146"/>
        <w:gridCol w:w="211"/>
        <w:gridCol w:w="1036"/>
        <w:gridCol w:w="166"/>
        <w:gridCol w:w="146"/>
        <w:gridCol w:w="211"/>
        <w:gridCol w:w="1141"/>
        <w:gridCol w:w="166"/>
        <w:gridCol w:w="146"/>
        <w:gridCol w:w="211"/>
        <w:gridCol w:w="1036"/>
        <w:gridCol w:w="791"/>
      </w:tblGrid>
      <w:tr>
        <w:trPr/>
        <w:tc>
          <w:tcPr>
            <w:tcW w:w="3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Revenue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25,845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Selling, general and administrative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(39,500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(35,797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105,424,708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88,517,498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104,808,285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87,990,691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Arial" w:hAnsi="Arial"/>
          <w:color w:val="000000"/>
          <w:sz w:val="16"/>
        </w:rPr>
        <w:t>(1) Includes related party revenue of $8.4</w:t>
      </w:r>
      <w:r>
        <w:rPr>
          <w:rFonts w:ascii="Times New Roman" w:hAnsi="Times New Roman"/>
          <w:color w:val="000000"/>
          <w:sz w:val="20"/>
        </w:rPr>
        <w:t xml:space="preserve"> </w:t>
      </w:r>
      <w:r>
        <w:rPr>
          <w:rFonts w:ascii="Arial" w:hAnsi="Arial"/>
          <w:color w:val="000000"/>
          <w:sz w:val="16"/>
        </w:rPr>
        <w:t>million and $1.9</w:t>
      </w:r>
      <w:r>
        <w:rPr>
          <w:rFonts w:ascii="Times New Roman" w:hAnsi="Times New Roman"/>
          <w:color w:val="000000"/>
          <w:sz w:val="20"/>
        </w:rPr>
        <w:t xml:space="preserve"> </w:t>
      </w:r>
      <w:r>
        <w:rPr>
          <w:rFonts w:ascii="Arial" w:hAnsi="Arial"/>
          <w:color w:val="000000"/>
          <w:sz w:val="16"/>
        </w:rPr>
        <w:t>million for the three months ended June 30, 2026 and 2025, respectively, and $11.5</w:t>
      </w:r>
      <w:r>
        <w:rPr>
          <w:rFonts w:ascii="Times New Roman" w:hAnsi="Times New Roman"/>
          <w:color w:val="000000"/>
          <w:sz w:val="20"/>
        </w:rPr>
        <w:t xml:space="preserve"> </w:t>
      </w:r>
      <w:r>
        <w:rPr>
          <w:rFonts w:ascii="Arial" w:hAnsi="Arial"/>
          <w:color w:val="000000"/>
          <w:sz w:val="16"/>
        </w:rPr>
        <w:t>million and $2.4</w:t>
      </w:r>
      <w:r>
        <w:rPr>
          <w:rFonts w:ascii="Times New Roman" w:hAnsi="Times New Roman"/>
          <w:color w:val="000000"/>
          <w:sz w:val="20"/>
        </w:rPr>
        <w:t xml:space="preserve"> </w:t>
      </w:r>
      <w:r>
        <w:rPr>
          <w:rFonts w:ascii="Arial" w:hAnsi="Arial"/>
          <w:color w:val="000000"/>
          <w:sz w:val="16"/>
        </w:rPr>
        <w:t>million for the six months ended June 30, 2026 and 2025, respectively.</w:t>
      </w:r>
    </w:p>
    <w:p>
      <w:pPr>
        <w:pStyle w:val="TextBody"/>
        <w:bidi w:val="0"/>
        <w:jc w:val="left"/>
        <w:rPr>
          <w:rFonts w:ascii="Times New Roman" w:hAnsi="Times New Roman"/>
          <w:sz w:val="20"/>
        </w:rPr>
      </w:pPr>
      <w:r>
        <w:rPr>
          <w:rFonts w:ascii="Arial" w:hAnsi="Arial"/>
          <w:color w:val="000000"/>
          <w:sz w:val="16"/>
        </w:rPr>
        <w:t>(2) Includes related party sales and marketing expenses of $3.8</w:t>
      </w:r>
      <w:r>
        <w:rPr>
          <w:rFonts w:ascii="Times New Roman" w:hAnsi="Times New Roman"/>
          <w:color w:val="000000"/>
          <w:sz w:val="20"/>
        </w:rPr>
        <w:t xml:space="preserve"> </w:t>
      </w:r>
      <w:r>
        <w:rPr>
          <w:rFonts w:ascii="Arial" w:hAnsi="Arial"/>
          <w:color w:val="000000"/>
          <w:sz w:val="16"/>
        </w:rPr>
        <w:t>million and $0.9</w:t>
      </w:r>
      <w:r>
        <w:rPr>
          <w:rFonts w:ascii="Times New Roman" w:hAnsi="Times New Roman"/>
          <w:color w:val="000000"/>
          <w:sz w:val="20"/>
        </w:rPr>
        <w:t xml:space="preserve"> </w:t>
      </w:r>
      <w:r>
        <w:rPr>
          <w:rFonts w:ascii="Arial" w:hAnsi="Arial"/>
          <w:color w:val="000000"/>
          <w:sz w:val="16"/>
        </w:rPr>
        <w:t>million for the three months ended June 30, 2026 and 2025, respectively, and $6.7</w:t>
      </w:r>
      <w:r>
        <w:rPr>
          <w:rFonts w:ascii="Times New Roman" w:hAnsi="Times New Roman"/>
          <w:color w:val="000000"/>
          <w:sz w:val="20"/>
        </w:rPr>
        <w:t xml:space="preserve"> </w:t>
      </w:r>
      <w:r>
        <w:rPr>
          <w:rFonts w:ascii="Arial" w:hAnsi="Arial"/>
          <w:color w:val="000000"/>
          <w:sz w:val="16"/>
        </w:rPr>
        <w:t>million and $1.5</w:t>
      </w:r>
      <w:r>
        <w:rPr>
          <w:rFonts w:ascii="Times New Roman" w:hAnsi="Times New Roman"/>
          <w:color w:val="000000"/>
          <w:sz w:val="20"/>
        </w:rPr>
        <w:t xml:space="preserve"> </w:t>
      </w:r>
      <w:r>
        <w:rPr>
          <w:rFonts w:ascii="Arial" w:hAnsi="Arial"/>
          <w:color w:val="000000"/>
          <w:sz w:val="16"/>
        </w:rPr>
        <w:t>million for the six months ended June 30, 2026 and 2025, respectively.</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8" w:name="condensed_consolidated_statements_compre"/>
      <w:bookmarkEnd w:id="8"/>
      <w:r>
        <w:rPr>
          <w:rFonts w:ascii="Arial" w:hAnsi="Arial"/>
          <w:b/>
          <w:color w:val="000000"/>
          <w:sz w:val="18"/>
        </w:rPr>
        <w:t>CONSOLIDATED STATEMENTS</w:t>
      </w:r>
      <w:r>
        <w:rPr>
          <w:rFonts w:ascii="Times New Roman" w:hAnsi="Times New Roman"/>
          <w:color w:val="000000"/>
          <w:sz w:val="20"/>
        </w:rPr>
        <w:t xml:space="preserve"> </w:t>
      </w:r>
      <w:r>
        <w:rPr>
          <w:rFonts w:ascii="Arial" w:hAnsi="Arial"/>
          <w:b/>
          <w:color w:val="000000"/>
          <w:sz w:val="18"/>
        </w:rPr>
        <w:t>OF COMPREHENSIVE LOSS (Unaudited)</w:t>
      </w:r>
    </w:p>
    <w:p>
      <w:pPr>
        <w:pStyle w:val="TextBody"/>
        <w:bidi w:val="0"/>
        <w:jc w:val="center"/>
        <w:rPr>
          <w:rFonts w:ascii="Arial" w:hAnsi="Arial"/>
          <w:color w:val="000000"/>
          <w:sz w:val="18"/>
        </w:rPr>
      </w:pPr>
      <w:r>
        <w:rPr>
          <w:rFonts w:ascii="Arial" w:hAnsi="Arial"/>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16"/>
        <w:gridCol w:w="146"/>
        <w:gridCol w:w="229"/>
        <w:gridCol w:w="801"/>
        <w:gridCol w:w="180"/>
        <w:gridCol w:w="158"/>
        <w:gridCol w:w="229"/>
        <w:gridCol w:w="801"/>
        <w:gridCol w:w="166"/>
        <w:gridCol w:w="146"/>
        <w:gridCol w:w="214"/>
        <w:gridCol w:w="747"/>
        <w:gridCol w:w="168"/>
        <w:gridCol w:w="147"/>
        <w:gridCol w:w="214"/>
        <w:gridCol w:w="747"/>
        <w:gridCol w:w="396"/>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(31,683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foreign currency translation adjustments during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unrealized loss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(31,731</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(61,937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(35,763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9" w:name="condensed_consolidated_equity_statement"/>
      <w:bookmarkEnd w:id="9"/>
      <w:r>
        <w:rPr>
          <w:rFonts w:ascii="Arial" w:hAnsi="Arial"/>
          <w:b/>
          <w:color w:val="000000"/>
          <w:sz w:val="18"/>
        </w:rPr>
        <w:t>CONSOLIDATED STATEMENTS</w:t>
      </w:r>
      <w:r>
        <w:rPr>
          <w:rFonts w:ascii="Times New Roman" w:hAnsi="Times New Roman"/>
          <w:color w:val="000000"/>
          <w:sz w:val="20"/>
        </w:rPr>
        <w:t xml:space="preserve"> </w:t>
      </w:r>
      <w:r>
        <w:rPr>
          <w:rFonts w:ascii="Arial" w:hAnsi="Arial"/>
          <w:b/>
          <w:color w:val="000000"/>
          <w:sz w:val="18"/>
        </w:rPr>
        <w:t>OF STOCKHOLDERS’ EQUITY (Unaudited)</w:t>
      </w:r>
    </w:p>
    <w:p>
      <w:pPr>
        <w:pStyle w:val="TextBody"/>
        <w:bidi w:val="0"/>
        <w:jc w:val="center"/>
        <w:rPr>
          <w:rFonts w:ascii="Arial" w:hAnsi="Arial"/>
          <w:color w:val="000000"/>
          <w:sz w:val="18"/>
        </w:rPr>
      </w:pPr>
      <w:r>
        <w:rPr>
          <w:rFonts w:ascii="Arial" w:hAnsi="Arial"/>
          <w:color w:val="000000"/>
          <w:sz w:val="18"/>
        </w:rPr>
        <w:t>For the Three Months Ended June 30, 2026 and 2025</w:t>
      </w:r>
    </w:p>
    <w:p>
      <w:pPr>
        <w:pStyle w:val="TextBody"/>
        <w:bidi w:val="0"/>
        <w:jc w:val="center"/>
        <w:rPr>
          <w:rFonts w:ascii="Arial" w:hAnsi="Arial"/>
          <w:color w:val="000000"/>
          <w:sz w:val="18"/>
        </w:rPr>
      </w:pPr>
      <w:r>
        <w:rPr>
          <w:rFonts w:ascii="Arial" w:hAnsi="Arial"/>
          <w:color w:val="000000"/>
          <w:sz w:val="18"/>
        </w:rPr>
        <w:t>(In thousands, except share data)</w:t>
      </w:r>
    </w:p>
    <w:p>
      <w:pPr>
        <w:pStyle w:val="TextBody"/>
        <w:bidi w:val="0"/>
        <w:jc w:val="center"/>
        <w:rPr/>
      </w:pPr>
      <w:r>
        <w:rPr/>
        <w:t> </w:t>
      </w:r>
    </w:p>
    <w:tbl>
      <w:tblPr>
        <w:tblW w:w="10750" w:type="dxa"/>
        <w:jc w:val="left"/>
        <w:tblInd w:w="0" w:type="dxa"/>
        <w:tblLayout w:type="fixed"/>
        <w:tblCellMar>
          <w:top w:w="28" w:type="dxa"/>
          <w:left w:w="28" w:type="dxa"/>
          <w:bottom w:w="28" w:type="dxa"/>
          <w:right w:w="28" w:type="dxa"/>
        </w:tblCellMar>
      </w:tblPr>
      <w:tblGrid>
        <w:gridCol w:w="1946"/>
        <w:gridCol w:w="146"/>
        <w:gridCol w:w="1141"/>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61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104,691,704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(661,292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254,765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sales of common stock under ATM facility,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Unrealized loss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106,367,428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928,244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235,161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88,319,290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207,345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Unrealized loss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88,649,766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776,596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190,829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r>
        <w:rPr>
          <w:rFonts w:ascii="Arial" w:hAnsi="Arial"/>
          <w:b/>
          <w:color w:val="000000"/>
          <w:sz w:val="18"/>
        </w:rPr>
        <w:t>CONSOLIDATED STATEMENTS OF STOCKHOLDERS’ EQUITY (Unaudited)</w:t>
      </w:r>
    </w:p>
    <w:p>
      <w:pPr>
        <w:pStyle w:val="TextBody"/>
        <w:bidi w:val="0"/>
        <w:jc w:val="center"/>
        <w:rPr>
          <w:rFonts w:ascii="Arial" w:hAnsi="Arial"/>
          <w:color w:val="000000"/>
          <w:sz w:val="18"/>
        </w:rPr>
      </w:pPr>
      <w:r>
        <w:rPr>
          <w:rFonts w:ascii="Arial" w:hAnsi="Arial"/>
          <w:color w:val="000000"/>
          <w:sz w:val="18"/>
        </w:rPr>
        <w:t>For the Six Months Ended June 30, 2026 and 2025</w:t>
      </w:r>
    </w:p>
    <w:p>
      <w:pPr>
        <w:pStyle w:val="TextBody"/>
        <w:bidi w:val="0"/>
        <w:jc w:val="center"/>
        <w:rPr>
          <w:rFonts w:ascii="Arial" w:hAnsi="Arial"/>
          <w:color w:val="000000"/>
          <w:sz w:val="18"/>
        </w:rPr>
      </w:pPr>
      <w:r>
        <w:rPr>
          <w:rFonts w:ascii="Arial" w:hAnsi="Arial"/>
          <w:color w:val="000000"/>
          <w:sz w:val="18"/>
        </w:rPr>
        <w:t>(In thousands, except share data)</w:t>
      </w:r>
    </w:p>
    <w:p>
      <w:pPr>
        <w:pStyle w:val="TextBody"/>
        <w:bidi w:val="0"/>
        <w:jc w:val="left"/>
        <w:rPr/>
      </w:pPr>
      <w:r>
        <w:rPr/>
        <w:t> </w:t>
      </w:r>
    </w:p>
    <w:p>
      <w:pPr>
        <w:pStyle w:val="TextBody"/>
        <w:bidi w:val="0"/>
        <w:jc w:val="center"/>
        <w:rPr/>
      </w:pPr>
      <w:r>
        <w:rPr/>
        <w:t> </w:t>
      </w:r>
    </w:p>
    <w:tbl>
      <w:tblPr>
        <w:tblW w:w="10750" w:type="dxa"/>
        <w:jc w:val="left"/>
        <w:tblInd w:w="0" w:type="dxa"/>
        <w:tblLayout w:type="fixed"/>
        <w:tblCellMar>
          <w:top w:w="28" w:type="dxa"/>
          <w:left w:w="28" w:type="dxa"/>
          <w:bottom w:w="28" w:type="dxa"/>
          <w:right w:w="28" w:type="dxa"/>
        </w:tblCellMar>
      </w:tblPr>
      <w:tblGrid>
        <w:gridCol w:w="1946"/>
        <w:gridCol w:w="146"/>
        <w:gridCol w:w="1141"/>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61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102,475,891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892,331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(631,260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261,185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sales of common stock under ATM facility,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2,827,155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838,475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Unrealized loss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106,367,428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928,244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235,161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85,171,146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202,957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sales of common stock under ATM facility,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3,064,152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Unrealized loss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88,649,766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776,596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190,829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10" w:name="condensed_consolidated_statements_cash_f"/>
      <w:bookmarkEnd w:id="10"/>
      <w:r>
        <w:rPr>
          <w:rFonts w:ascii="Arial" w:hAnsi="Arial"/>
          <w:b/>
          <w:color w:val="000000"/>
          <w:sz w:val="18"/>
        </w:rPr>
        <w:t>CONSOLIDATED STATEMENTS OF CASH FLOWS (Unaudited)</w:t>
      </w:r>
    </w:p>
    <w:p>
      <w:pPr>
        <w:pStyle w:val="TextBody"/>
        <w:bidi w:val="0"/>
        <w:jc w:val="center"/>
        <w:rPr>
          <w:rFonts w:ascii="Arial" w:hAnsi="Arial"/>
          <w:color w:val="000000"/>
          <w:sz w:val="18"/>
        </w:rPr>
      </w:pPr>
      <w:r>
        <w:rPr>
          <w:rFonts w:ascii="Arial" w:hAnsi="Arial"/>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92"/>
        <w:gridCol w:w="146"/>
        <w:gridCol w:w="211"/>
        <w:gridCol w:w="781"/>
        <w:gridCol w:w="166"/>
        <w:gridCol w:w="146"/>
        <w:gridCol w:w="211"/>
        <w:gridCol w:w="841"/>
        <w:gridCol w:w="811"/>
      </w:tblGrid>
      <w:tr>
        <w:trPr/>
        <w:tc>
          <w:tcPr>
            <w:tcW w:w="6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5,118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Amortization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Accounts receivable </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Inventories and other deferred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Accounts payable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Accrued and other current liabilities </w:t>
            </w: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Contract liabilities</w:t>
            </w:r>
            <w:r>
              <w:rPr>
                <w:rFonts w:ascii="Times New Roman" w:hAnsi="Times New Roman"/>
                <w:color w:val="000000"/>
                <w:sz w:val="18"/>
              </w:rPr>
              <w:t> </w:t>
            </w: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(108,297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maturities of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84,185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Proceeds from sales of property and equipment</w:t>
            </w:r>
            <w:r>
              <w:rPr>
                <w:rFonts w:ascii="Times New Roman" w:hAnsi="Times New Roman"/>
                <w:color w:val="000000"/>
                <w:sz w:val="18"/>
              </w:rPr>
              <w:t> </w:t>
            </w:r>
            <w:r>
              <w:rPr>
                <w:rFonts w:ascii="Arial" w:hAnsi="Arial"/>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(26,913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17,782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of costs related to Tempus and Merck Investment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Repayments of loans and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for finance lease buyout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common stock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19,760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(38,041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93,205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55,164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cash, cash equivalents and restricted cash to the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53,374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in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55,164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Acquisition of property and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lease assets were reclassified to property and equipment upon lease buyout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Arial" w:hAnsi="Arial"/>
          <w:color w:val="000000"/>
          <w:sz w:val="16"/>
        </w:rPr>
        <w:t>(1) Includes a change in related party accounts receivable</w:t>
      </w:r>
      <w:r>
        <w:rPr>
          <w:rFonts w:ascii="Times New Roman" w:hAnsi="Times New Roman"/>
          <w:color w:val="000000"/>
          <w:sz w:val="20"/>
        </w:rPr>
        <w:t xml:space="preserve"> </w:t>
      </w:r>
      <w:r>
        <w:rPr>
          <w:rFonts w:ascii="Arial" w:hAnsi="Arial"/>
          <w:color w:val="000000"/>
          <w:sz w:val="16"/>
        </w:rPr>
        <w:t>of $5.0</w:t>
      </w:r>
      <w:r>
        <w:rPr>
          <w:rFonts w:ascii="Times New Roman" w:hAnsi="Times New Roman"/>
          <w:color w:val="000000"/>
          <w:sz w:val="20"/>
        </w:rPr>
        <w:t xml:space="preserve"> </w:t>
      </w:r>
      <w:r>
        <w:rPr>
          <w:rFonts w:ascii="Arial" w:hAnsi="Arial"/>
          <w:color w:val="000000"/>
          <w:sz w:val="16"/>
        </w:rPr>
        <w:t>million and $0.6</w:t>
      </w:r>
      <w:r>
        <w:rPr>
          <w:rFonts w:ascii="Times New Roman" w:hAnsi="Times New Roman"/>
          <w:color w:val="000000"/>
          <w:sz w:val="20"/>
        </w:rPr>
        <w:t xml:space="preserve"> </w:t>
      </w:r>
      <w:r>
        <w:rPr>
          <w:rFonts w:ascii="Arial" w:hAnsi="Arial"/>
          <w:color w:val="000000"/>
          <w:sz w:val="16"/>
        </w:rPr>
        <w:t>million for the six months ended June 30, 2026</w:t>
      </w:r>
      <w:r>
        <w:rPr>
          <w:rFonts w:ascii="Times New Roman" w:hAnsi="Times New Roman"/>
          <w:color w:val="000000"/>
          <w:sz w:val="20"/>
        </w:rPr>
        <w:t xml:space="preserve"> </w:t>
      </w:r>
      <w:r>
        <w:rPr>
          <w:rFonts w:ascii="Arial" w:hAnsi="Arial"/>
          <w:color w:val="000000"/>
          <w:sz w:val="16"/>
        </w:rPr>
        <w:t>and 2025, respectively.</w:t>
      </w:r>
    </w:p>
    <w:p>
      <w:pPr>
        <w:pStyle w:val="TextBody"/>
        <w:bidi w:val="0"/>
        <w:jc w:val="left"/>
        <w:rPr>
          <w:rFonts w:ascii="Times New Roman" w:hAnsi="Times New Roman"/>
          <w:sz w:val="20"/>
        </w:rPr>
      </w:pPr>
      <w:r>
        <w:rPr>
          <w:rFonts w:ascii="Arial" w:hAnsi="Arial"/>
          <w:color w:val="000000"/>
          <w:sz w:val="16"/>
        </w:rPr>
        <w:t>(2) Includes a change in related party liabilities of $0.3</w:t>
      </w:r>
      <w:r>
        <w:rPr>
          <w:rFonts w:ascii="Times New Roman" w:hAnsi="Times New Roman"/>
          <w:color w:val="000000"/>
          <w:sz w:val="20"/>
        </w:rPr>
        <w:t xml:space="preserve"> </w:t>
      </w:r>
      <w:r>
        <w:rPr>
          <w:rFonts w:ascii="Arial" w:hAnsi="Arial"/>
          <w:color w:val="000000"/>
          <w:sz w:val="16"/>
        </w:rPr>
        <w:t>million and $1.9</w:t>
      </w:r>
      <w:r>
        <w:rPr>
          <w:rFonts w:ascii="Times New Roman" w:hAnsi="Times New Roman"/>
          <w:color w:val="000000"/>
          <w:sz w:val="20"/>
        </w:rPr>
        <w:t xml:space="preserve"> </w:t>
      </w:r>
      <w:r>
        <w:rPr>
          <w:rFonts w:ascii="Arial" w:hAnsi="Arial"/>
          <w:color w:val="000000"/>
          <w:sz w:val="16"/>
        </w:rPr>
        <w:t>million</w:t>
      </w:r>
      <w:r>
        <w:rPr>
          <w:rFonts w:ascii="Times New Roman" w:hAnsi="Times New Roman"/>
          <w:color w:val="FF0000"/>
          <w:sz w:val="20"/>
        </w:rPr>
        <w:t xml:space="preserve"> </w:t>
      </w:r>
      <w:r>
        <w:rPr>
          <w:rFonts w:ascii="Arial" w:hAnsi="Arial"/>
          <w:color w:val="000000"/>
          <w:sz w:val="16"/>
        </w:rPr>
        <w:t>for the six months ended June 30, 2026</w:t>
      </w:r>
      <w:r>
        <w:rPr>
          <w:rFonts w:ascii="Times New Roman" w:hAnsi="Times New Roman"/>
          <w:color w:val="000000"/>
          <w:sz w:val="20"/>
        </w:rPr>
        <w:t xml:space="preserve"> </w:t>
      </w:r>
      <w:r>
        <w:rPr>
          <w:rFonts w:ascii="Arial" w:hAnsi="Arial"/>
          <w:color w:val="000000"/>
          <w:sz w:val="16"/>
        </w:rPr>
        <w:t>and 2025, respectively.</w:t>
      </w:r>
    </w:p>
    <w:p>
      <w:pPr>
        <w:pStyle w:val="TextBody"/>
        <w:bidi w:val="0"/>
        <w:jc w:val="left"/>
        <w:rPr>
          <w:rFonts w:ascii="Times New Roman" w:hAnsi="Times New Roman"/>
          <w:sz w:val="20"/>
        </w:rPr>
      </w:pPr>
      <w:r>
        <w:rPr>
          <w:rFonts w:ascii="Arial" w:hAnsi="Arial"/>
          <w:color w:val="000000"/>
          <w:sz w:val="16"/>
        </w:rPr>
        <w:t>(3) Includes a change in related party contract liabilities of $1.7</w:t>
      </w:r>
      <w:r>
        <w:rPr>
          <w:rFonts w:ascii="Times New Roman" w:hAnsi="Times New Roman"/>
          <w:color w:val="000000"/>
          <w:sz w:val="20"/>
        </w:rPr>
        <w:t xml:space="preserve"> </w:t>
      </w:r>
      <w:r>
        <w:rPr>
          <w:rFonts w:ascii="Arial" w:hAnsi="Arial"/>
          <w:color w:val="000000"/>
          <w:sz w:val="16"/>
        </w:rPr>
        <w:t>million and nil</w:t>
      </w:r>
      <w:r>
        <w:rPr>
          <w:rFonts w:ascii="Times New Roman" w:hAnsi="Times New Roman"/>
          <w:color w:val="000000"/>
          <w:sz w:val="20"/>
        </w:rPr>
        <w:t xml:space="preserve"> </w:t>
      </w:r>
      <w:r>
        <w:rPr>
          <w:rFonts w:ascii="Arial" w:hAnsi="Arial"/>
          <w:color w:val="000000"/>
          <w:sz w:val="16"/>
        </w:rPr>
        <w:t>for the six months ended June 30, 2026 and 2025, respectively.</w:t>
        <w:br/>
        <w:t>(4) Includes proceeds from a related party of $0.1</w:t>
      </w:r>
      <w:r>
        <w:rPr>
          <w:rFonts w:ascii="Times New Roman" w:hAnsi="Times New Roman"/>
          <w:color w:val="000000"/>
          <w:sz w:val="20"/>
        </w:rPr>
        <w:t xml:space="preserve"> </w:t>
      </w:r>
      <w:r>
        <w:rPr>
          <w:rFonts w:ascii="Arial" w:hAnsi="Arial"/>
          <w:color w:val="000000"/>
          <w:sz w:val="16"/>
        </w:rPr>
        <w:t>million and nil</w:t>
      </w:r>
      <w:r>
        <w:rPr>
          <w:rFonts w:ascii="Times New Roman" w:hAnsi="Times New Roman"/>
          <w:color w:val="000000"/>
          <w:sz w:val="20"/>
        </w:rPr>
        <w:t xml:space="preserve"> </w:t>
      </w:r>
      <w:r>
        <w:rPr>
          <w:rFonts w:ascii="Arial" w:hAnsi="Arial"/>
          <w:color w:val="000000"/>
          <w:sz w:val="16"/>
        </w:rPr>
        <w:t>for the six months ended June 30, 2026 and 2025, respectively.</w:t>
      </w:r>
    </w:p>
    <w:p>
      <w:pPr>
        <w:pStyle w:val="TextBody"/>
        <w:bidi w:val="0"/>
        <w:spacing w:before="120" w:after="283"/>
        <w:jc w:val="left"/>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tbl>
      <w:tblPr>
        <w:tblW w:w="6885" w:type="dxa"/>
        <w:jc w:val="left"/>
        <w:tblInd w:w="0" w:type="dxa"/>
        <w:tblLayout w:type="fixed"/>
        <w:tblCellMar>
          <w:top w:w="28" w:type="dxa"/>
          <w:left w:w="28" w:type="dxa"/>
          <w:bottom w:w="28" w:type="dxa"/>
          <w:right w:w="28" w:type="dxa"/>
        </w:tblCellMar>
      </w:tblPr>
      <w:tblGrid>
        <w:gridCol w:w="1051"/>
        <w:gridCol w:w="5153"/>
        <w:gridCol w:w="681"/>
      </w:tblGrid>
      <w:tr>
        <w:trPr/>
        <w:tc>
          <w:tcPr>
            <w:tcW w:w="1051" w:type="dxa"/>
            <w:tcBorders/>
            <w:vAlign w:val="center"/>
          </w:tcPr>
          <w:p>
            <w:pPr>
              <w:pStyle w:val="TableContents"/>
              <w:bidi w:val="0"/>
              <w:spacing w:before="0" w:after="283"/>
              <w:jc w:val="left"/>
              <w:rPr>
                <w:sz w:val="4"/>
                <w:szCs w:val="4"/>
              </w:rPr>
            </w:pPr>
            <w:r>
              <w:rPr>
                <w:sz w:val="4"/>
                <w:szCs w:val="4"/>
              </w:rPr>
            </w:r>
          </w:p>
        </w:tc>
        <w:tc>
          <w:tcPr>
            <w:tcW w:w="515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PERSONALIS, INC.</w:t>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bookmarkStart w:id="11" w:name="index_to_notes"/>
            <w:bookmarkEnd w:id="11"/>
            <w:r>
              <w:rPr>
                <w:rFonts w:ascii="Arial" w:hAnsi="Arial"/>
                <w:b/>
                <w:color w:val="000000"/>
                <w:sz w:val="18"/>
              </w:rPr>
              <w:t>INDEX FOR NOTES TO CONSOLIDATED FINANCIAL STATEMENTS (Unaudited)</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Page</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1_company_and_nature_of_business">
              <w:r>
                <w:rPr>
                  <w:rStyle w:val="InternetLink"/>
                  <w:rFonts w:ascii="Arial" w:hAnsi="Arial"/>
                  <w:color w:val="0000FF"/>
                  <w:sz w:val="18"/>
                  <w:u w:val="single"/>
                </w:rPr>
                <w:t>Company and Nature of Business</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2.</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2_summary_significant_acctg_policie">
              <w:r>
                <w:rPr>
                  <w:rStyle w:val="InternetLink"/>
                  <w:rFonts w:ascii="Arial" w:hAnsi="Arial"/>
                  <w:color w:val="0000FF"/>
                  <w:sz w:val="18"/>
                  <w:u w:val="single"/>
                </w:rPr>
                <w:t>Summary of Significant Accounting Policies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3.</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3_revenue">
              <w:r>
                <w:rPr>
                  <w:rStyle w:val="InternetLink"/>
                  <w:rFonts w:ascii="Arial" w:hAnsi="Arial"/>
                  <w:color w:val="0000FF"/>
                  <w:sz w:val="18"/>
                  <w:u w:val="single"/>
                </w:rPr>
                <w:t>Revenue</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4.</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4_balance_sheet_details">
              <w:r>
                <w:rPr>
                  <w:rStyle w:val="InternetLink"/>
                  <w:rFonts w:ascii="Arial" w:hAnsi="Arial"/>
                  <w:color w:val="0000FF"/>
                  <w:sz w:val="18"/>
                  <w:u w:val="single"/>
                </w:rPr>
                <w:t>Balance Sheet Details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5.</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5_fair_value_measurements">
              <w:r>
                <w:rPr>
                  <w:rStyle w:val="InternetLink"/>
                  <w:rFonts w:ascii="Arial" w:hAnsi="Arial"/>
                  <w:color w:val="0000FF"/>
                  <w:sz w:val="18"/>
                  <w:u w:val="single"/>
                </w:rPr>
                <w:t>Fair Value Measurements</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6.</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6_loans">
              <w:r>
                <w:rPr>
                  <w:rStyle w:val="InternetLink"/>
                  <w:rFonts w:ascii="Arial" w:hAnsi="Arial"/>
                  <w:color w:val="0000FF"/>
                  <w:sz w:val="18"/>
                  <w:u w:val="single"/>
                </w:rPr>
                <w:t>Loans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7.</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7_leases">
              <w:r>
                <w:rPr>
                  <w:rStyle w:val="InternetLink"/>
                  <w:rFonts w:ascii="Arial" w:hAnsi="Arial"/>
                  <w:color w:val="0000FF"/>
                  <w:sz w:val="18"/>
                  <w:u w:val="single"/>
                </w:rPr>
                <w:t>Leases</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8.</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8_tempus_agreement">
              <w:r>
                <w:rPr>
                  <w:rStyle w:val="InternetLink"/>
                  <w:rFonts w:ascii="Arial" w:hAnsi="Arial"/>
                  <w:color w:val="0000FF"/>
                  <w:sz w:val="18"/>
                  <w:u w:val="single"/>
                </w:rPr>
                <w:t>Related Party Transactions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9.</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9_stock_based_compensation">
              <w:r>
                <w:rPr>
                  <w:rStyle w:val="InternetLink"/>
                  <w:rFonts w:ascii="Arial" w:hAnsi="Arial"/>
                  <w:color w:val="0000FF"/>
                  <w:sz w:val="18"/>
                  <w:u w:val="single"/>
                </w:rPr>
                <w:t>Stock-Based Compensation</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10.</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0_segment">
              <w:r>
                <w:rPr>
                  <w:rStyle w:val="InternetLink"/>
                  <w:rFonts w:ascii="Arial" w:hAnsi="Arial"/>
                  <w:color w:val="0000FF"/>
                  <w:sz w:val="18"/>
                  <w:u w:val="single"/>
                </w:rPr>
                <w:t>Segment and Geographic Information</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11.</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11_commitments_and_contingencies">
              <w:r>
                <w:rPr>
                  <w:rStyle w:val="InternetLink"/>
                  <w:rFonts w:ascii="Arial" w:hAnsi="Arial"/>
                  <w:color w:val="0000FF"/>
                  <w:sz w:val="18"/>
                  <w:u w:val="single"/>
                </w:rPr>
                <w:t>Commitments and Contingencies</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12.</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2_basic_and_diluted_net_loss_per">
              <w:r>
                <w:rPr>
                  <w:rStyle w:val="InternetLink"/>
                  <w:rFonts w:ascii="Arial" w:hAnsi="Arial"/>
                  <w:color w:val="0000FF"/>
                  <w:sz w:val="18"/>
                  <w:u w:val="single"/>
                </w:rPr>
                <w:t>Basic and Diluted Net Loss Per Common Share</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26</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13.</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3_subsequent_event">
              <w:r>
                <w:rPr>
                  <w:rStyle w:val="InternetLink"/>
                  <w:rFonts w:ascii="Arial" w:hAnsi="Arial"/>
                  <w:color w:val="0000FF"/>
                  <w:sz w:val="18"/>
                  <w:u w:val="single"/>
                </w:rPr>
                <w:t>Subsequent Events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26</w:t>
            </w:r>
          </w:p>
        </w:tc>
      </w:tr>
    </w:tbl>
    <w:p>
      <w:pPr>
        <w:pStyle w:val="TextBody"/>
        <w:bidi w:val="0"/>
        <w:jc w:val="center"/>
        <w:rPr/>
      </w:pPr>
      <w:r>
        <w:rPr/>
        <w:t> </w:t>
      </w:r>
    </w:p>
    <w:p>
      <w:pPr>
        <w:pStyle w:val="TextBody"/>
        <w:bidi w:val="0"/>
        <w:spacing w:before="240" w:after="283"/>
        <w:jc w:val="center"/>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12" w:name="noates_to_financials"/>
      <w:bookmarkEnd w:id="12"/>
      <w:r>
        <w:rPr>
          <w:rFonts w:ascii="Arial" w:hAnsi="Arial"/>
          <w:b/>
          <w:color w:val="000000"/>
          <w:sz w:val="18"/>
        </w:rPr>
        <w:t>NOTES TO CONSOLIDATED FINANCIAL STATEMENTS (Unaudited)</w:t>
      </w:r>
    </w:p>
    <w:p>
      <w:pPr>
        <w:pStyle w:val="TextBody"/>
        <w:bidi w:val="0"/>
        <w:spacing w:before="240" w:after="283"/>
        <w:jc w:val="both"/>
        <w:rPr>
          <w:rFonts w:ascii="Times New Roman" w:hAnsi="Times New Roman"/>
          <w:sz w:val="20"/>
        </w:rPr>
      </w:pPr>
      <w:bookmarkStart w:id="13" w:name="note_1_company_and_nature_of_business"/>
      <w:bookmarkEnd w:id="13"/>
      <w:r>
        <w:rPr>
          <w:rFonts w:ascii="Arial" w:hAnsi="Arial"/>
          <w:b/>
          <w:color w:val="000000"/>
          <w:sz w:val="18"/>
        </w:rPr>
        <w:t>Note 1. Company and</w:t>
      </w:r>
      <w:r>
        <w:rPr>
          <w:rFonts w:ascii="Times New Roman" w:hAnsi="Times New Roman"/>
          <w:color w:val="000000"/>
          <w:sz w:val="20"/>
        </w:rPr>
        <w:t xml:space="preserve"> </w:t>
      </w:r>
      <w:r>
        <w:rPr>
          <w:rFonts w:ascii="Arial" w:hAnsi="Arial"/>
          <w:b/>
          <w:color w:val="000000"/>
          <w:sz w:val="18"/>
        </w:rPr>
        <w:t>Nature of Business</w:t>
      </w:r>
    </w:p>
    <w:p>
      <w:pPr>
        <w:pStyle w:val="TextBody"/>
        <w:bidi w:val="0"/>
        <w:spacing w:before="200" w:after="283"/>
        <w:jc w:val="both"/>
        <w:rPr>
          <w:rFonts w:ascii="Arial" w:hAnsi="Arial"/>
          <w:color w:val="000000"/>
          <w:sz w:val="18"/>
        </w:rPr>
      </w:pPr>
      <w:r>
        <w:rPr>
          <w:rFonts w:ascii="Arial" w:hAnsi="Arial"/>
          <w:color w:val="000000"/>
          <w:sz w:val="18"/>
        </w:rPr>
        <w:t>Personalis, Inc. (the "Company" or "Personalis") develops, markets, and sells advanced cancer genomic testing services. The testing services are used by physicians to detect residual or recurrent cancer in patients, monitor cancer response to therapy, and uncover insights for therapy selection. The testing services are also used by pharmaceutical companies for translational research, biomarker discovery, the development of personalized cancer therapies, and clinical trials. The Company also provides whole exome sequencing services for other diagnostic companies and whole genome sequencing services for population sequencing initiatives. The markets for the Company’s testing services are in the United States, Europe and Asia-Pacific.</w:t>
      </w:r>
    </w:p>
    <w:p>
      <w:pPr>
        <w:pStyle w:val="TextBody"/>
        <w:bidi w:val="0"/>
        <w:spacing w:before="200" w:after="283"/>
        <w:jc w:val="both"/>
        <w:rPr>
          <w:rFonts w:ascii="Times New Roman" w:hAnsi="Times New Roman"/>
          <w:sz w:val="20"/>
        </w:rPr>
      </w:pPr>
      <w:r>
        <w:rPr>
          <w:rFonts w:ascii="Arial" w:hAnsi="Arial"/>
          <w:color w:val="000000"/>
          <w:sz w:val="18"/>
        </w:rPr>
        <w:t>The Company was incorporated in Delaware in February 2011 and began operations in September 2011. The Company formed a wholly owned subsidiary, Personalis (UK) Ltd., in August 2013. The Company operates and manages its business as one</w:t>
      </w:r>
      <w:r>
        <w:rPr>
          <w:rFonts w:ascii="Times New Roman" w:hAnsi="Times New Roman"/>
          <w:color w:val="000000"/>
          <w:sz w:val="20"/>
        </w:rPr>
        <w:t xml:space="preserve"> </w:t>
      </w:r>
      <w:r>
        <w:rPr>
          <w:rFonts w:ascii="Arial" w:hAnsi="Arial"/>
          <w:color w:val="000000"/>
          <w:sz w:val="18"/>
        </w:rPr>
        <w:t>reportable operating segment, which is to provide advanced cancer genomic testing services for precision oncology applications, personalized testing, and other tests.</w:t>
      </w:r>
    </w:p>
    <w:p>
      <w:pPr>
        <w:pStyle w:val="TextBody"/>
        <w:bidi w:val="0"/>
        <w:spacing w:before="200" w:after="283"/>
        <w:jc w:val="both"/>
        <w:rPr>
          <w:rFonts w:ascii="Arial" w:hAnsi="Arial"/>
          <w:color w:val="000000"/>
          <w:sz w:val="18"/>
        </w:rPr>
      </w:pPr>
      <w:r>
        <w:rPr>
          <w:rFonts w:ascii="Arial" w:hAnsi="Arial"/>
          <w:color w:val="000000"/>
          <w:sz w:val="18"/>
        </w:rPr>
        <w:t>The Company has incurred losses to date and expects to incur additional losses for the foreseeable future. The Company continues to invest the majority of its resources in the development and growth of its business, including investments in research and development and sales and marketing efforts. The Company’s activities have been financed to date primarily through the sale of its equity securities and cash from operations.</w:t>
      </w:r>
    </w:p>
    <w:p>
      <w:pPr>
        <w:pStyle w:val="TextBody"/>
        <w:bidi w:val="0"/>
        <w:spacing w:before="200" w:after="283"/>
        <w:jc w:val="both"/>
        <w:rPr>
          <w:rFonts w:ascii="Arial" w:hAnsi="Arial"/>
          <w:b/>
          <w:i/>
          <w:color w:val="000000"/>
          <w:sz w:val="18"/>
        </w:rPr>
      </w:pPr>
      <w:r>
        <w:rPr>
          <w:rFonts w:ascii="Arial" w:hAnsi="Arial"/>
          <w:b/>
          <w:i/>
          <w:color w:val="000000"/>
          <w:sz w:val="18"/>
        </w:rPr>
        <w:t>Agreement and Plan of Merger</w:t>
      </w:r>
    </w:p>
    <w:p>
      <w:pPr>
        <w:pStyle w:val="TextBody"/>
        <w:bidi w:val="0"/>
        <w:spacing w:before="200" w:after="283"/>
        <w:jc w:val="both"/>
        <w:rPr>
          <w:rFonts w:ascii="Times New Roman" w:hAnsi="Times New Roman"/>
          <w:sz w:val="20"/>
        </w:rPr>
      </w:pPr>
      <w:r>
        <w:rPr>
          <w:rFonts w:ascii="Arial" w:hAnsi="Arial"/>
          <w:color w:val="000000"/>
          <w:sz w:val="18"/>
        </w:rPr>
        <w:t>On July 20, 2026, the Company, Tempus AI, Inc. ("Tempus" or "Parent"), Aviary Development, Inc. (a wholly owned subsidiary of Tempus), and Toucan Development, LLC (a wholly owned subsidiary of Tempus) entered into a Merger Agreement. See Note 13 for further details.</w:t>
      </w:r>
      <w:r>
        <w:rPr>
          <w:rFonts w:ascii="Times New Roman" w:hAnsi="Times New Roman"/>
          <w:color w:val="000000"/>
          <w:sz w:val="20"/>
        </w:rPr>
        <w:t xml:space="preserve"> </w:t>
      </w:r>
    </w:p>
    <w:p>
      <w:pPr>
        <w:pStyle w:val="TextBody"/>
        <w:bidi w:val="0"/>
        <w:spacing w:before="200" w:after="283"/>
        <w:jc w:val="both"/>
        <w:rPr/>
      </w:pPr>
      <w:r>
        <w:rPr/>
        <w:t> </w:t>
      </w:r>
    </w:p>
    <w:p>
      <w:pPr>
        <w:pStyle w:val="TextBody"/>
        <w:bidi w:val="0"/>
        <w:spacing w:before="200" w:after="283"/>
        <w:jc w:val="both"/>
        <w:rPr>
          <w:rFonts w:ascii="Times New Roman" w:hAnsi="Times New Roman"/>
          <w:sz w:val="20"/>
        </w:rPr>
      </w:pPr>
      <w:bookmarkStart w:id="14" w:name="note_2_summary_significant_acctg_policie"/>
      <w:bookmarkEnd w:id="14"/>
      <w:r>
        <w:rPr>
          <w:rFonts w:ascii="Arial" w:hAnsi="Arial"/>
          <w:b/>
          <w:color w:val="000000"/>
          <w:sz w:val="18"/>
        </w:rPr>
        <w:t>Note 2. Summary of Significant</w:t>
      </w:r>
      <w:r>
        <w:rPr>
          <w:rFonts w:ascii="Times New Roman" w:hAnsi="Times New Roman"/>
          <w:color w:val="000000"/>
          <w:sz w:val="20"/>
        </w:rPr>
        <w:t xml:space="preserve"> </w:t>
      </w:r>
      <w:r>
        <w:rPr>
          <w:rFonts w:ascii="Arial" w:hAnsi="Arial"/>
          <w:b/>
          <w:color w:val="000000"/>
          <w:sz w:val="18"/>
        </w:rPr>
        <w:t>Accounting Policies</w:t>
      </w:r>
    </w:p>
    <w:p>
      <w:pPr>
        <w:pStyle w:val="TextBody"/>
        <w:bidi w:val="0"/>
        <w:spacing w:before="200" w:after="283"/>
        <w:jc w:val="both"/>
        <w:rPr>
          <w:rFonts w:ascii="Arial" w:hAnsi="Arial"/>
          <w:b/>
          <w:i/>
          <w:color w:val="000000"/>
          <w:sz w:val="18"/>
        </w:rPr>
      </w:pPr>
      <w:r>
        <w:rPr>
          <w:rFonts w:ascii="Arial" w:hAnsi="Arial"/>
          <w:b/>
          <w:i/>
          <w:color w:val="000000"/>
          <w:sz w:val="18"/>
        </w:rPr>
        <w:t>Basis of Presentation</w:t>
      </w:r>
    </w:p>
    <w:p>
      <w:pPr>
        <w:pStyle w:val="TextBody"/>
        <w:bidi w:val="0"/>
        <w:spacing w:before="200" w:after="283"/>
        <w:jc w:val="both"/>
        <w:rPr>
          <w:rFonts w:ascii="Arial" w:hAnsi="Arial"/>
          <w:color w:val="000000"/>
          <w:sz w:val="18"/>
        </w:rPr>
      </w:pPr>
      <w:r>
        <w:rPr>
          <w:rFonts w:ascii="Arial" w:hAnsi="Arial"/>
          <w:color w:val="000000"/>
          <w:sz w:val="18"/>
        </w:rPr>
        <w:t>The unaudited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note disclosures normally included in the financial statements prepared in accordance with U.S. GAAP have been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2025.</w:t>
      </w:r>
    </w:p>
    <w:p>
      <w:pPr>
        <w:pStyle w:val="TextBody"/>
        <w:bidi w:val="0"/>
        <w:spacing w:before="200" w:after="283"/>
        <w:jc w:val="both"/>
        <w:rPr>
          <w:rFonts w:ascii="Arial" w:hAnsi="Arial"/>
          <w:color w:val="000000"/>
          <w:sz w:val="18"/>
        </w:rPr>
      </w:pPr>
      <w:r>
        <w:rPr>
          <w:rFonts w:ascii="Arial" w:hAnsi="Arial"/>
          <w:color w:val="000000"/>
          <w:sz w:val="18"/>
        </w:rPr>
        <w:t>The consolidated financial statements include the accounts of Personalis, Inc. and its wholly owned subsidiary, Personalis (UK) Ltd. All intercompany balances and transactions have been eliminated in consolidation.</w:t>
      </w:r>
    </w:p>
    <w:p>
      <w:pPr>
        <w:pStyle w:val="TextBody"/>
        <w:bidi w:val="0"/>
        <w:spacing w:before="200" w:after="283"/>
        <w:jc w:val="both"/>
        <w:rPr>
          <w:rFonts w:ascii="Arial" w:hAnsi="Arial"/>
          <w:color w:val="000000"/>
          <w:sz w:val="18"/>
        </w:rPr>
      </w:pPr>
      <w:r>
        <w:rPr>
          <w:rFonts w:ascii="Arial" w:hAnsi="Arial"/>
          <w:color w:val="000000"/>
          <w:sz w:val="18"/>
        </w:rPr>
        <w:t>The consolidated financial statements reflect all normal recurring adjustments that are necessary to present fairly the results for the interim periods presented. Interim results are not necessarily indicative of the results for the full year ending December 31, 2026.</w:t>
      </w:r>
    </w:p>
    <w:p>
      <w:pPr>
        <w:pStyle w:val="TextBody"/>
        <w:bidi w:val="0"/>
        <w:spacing w:before="200" w:after="283"/>
        <w:jc w:val="both"/>
        <w:rPr>
          <w:rFonts w:ascii="Arial" w:hAnsi="Arial"/>
          <w:b/>
          <w:i/>
          <w:color w:val="000000"/>
          <w:sz w:val="18"/>
        </w:rPr>
      </w:pPr>
      <w:r>
        <w:rPr>
          <w:rFonts w:ascii="Arial" w:hAnsi="Arial"/>
          <w:b/>
          <w:i/>
          <w:color w:val="000000"/>
          <w:sz w:val="18"/>
        </w:rPr>
        <w:t>Use of Estimates</w:t>
      </w:r>
    </w:p>
    <w:p>
      <w:pPr>
        <w:pStyle w:val="TextBody"/>
        <w:bidi w:val="0"/>
        <w:spacing w:before="200" w:after="283"/>
        <w:jc w:val="both"/>
        <w:rPr>
          <w:rFonts w:ascii="Arial" w:hAnsi="Arial"/>
          <w:color w:val="000000"/>
          <w:sz w:val="18"/>
        </w:rPr>
      </w:pPr>
      <w:r>
        <w:rPr>
          <w:rFonts w:ascii="Arial" w:hAnsi="Arial"/>
          <w:color w:val="000000"/>
          <w:sz w:val="18"/>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provisions for income taxes, and fair value of lease right-of-use assets. Actual results could differ from these estimates, and such differences could be material to the Company’s consolidated financial position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Concentration of Credit Risk and Other Risks and Uncertainties</w:t>
      </w:r>
    </w:p>
    <w:p>
      <w:pPr>
        <w:pStyle w:val="TextBody"/>
        <w:bidi w:val="0"/>
        <w:spacing w:before="200" w:after="283"/>
        <w:jc w:val="both"/>
        <w:rPr>
          <w:rFonts w:ascii="Arial" w:hAnsi="Arial"/>
          <w:color w:val="000000"/>
          <w:sz w:val="18"/>
        </w:rPr>
      </w:pPr>
      <w:r>
        <w:rPr>
          <w:rFonts w:ascii="Arial" w:hAnsi="Arial"/>
          <w:color w:val="000000"/>
          <w:sz w:val="18"/>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pStyle w:val="TextBody"/>
        <w:bidi w:val="0"/>
        <w:spacing w:before="200" w:after="283"/>
        <w:jc w:val="both"/>
        <w:rPr>
          <w:rFonts w:ascii="Times New Roman" w:hAnsi="Times New Roman"/>
          <w:sz w:val="20"/>
        </w:rPr>
      </w:pPr>
      <w:r>
        <w:rPr>
          <w:rFonts w:ascii="Arial" w:hAnsi="Arial"/>
          <w:color w:val="000000"/>
          <w:sz w:val="18"/>
        </w:rPr>
        <w:t>The Company also invests in investment-grade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concentration and credit risk; competitive after-tax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pStyle w:val="TextBody"/>
        <w:bidi w:val="0"/>
        <w:spacing w:before="200" w:after="283"/>
        <w:jc w:val="both"/>
        <w:rPr>
          <w:rFonts w:ascii="Arial" w:hAnsi="Arial"/>
          <w:color w:val="000000"/>
          <w:sz w:val="18"/>
        </w:rPr>
      </w:pPr>
      <w:r>
        <w:rPr>
          <w:rFonts w:ascii="Arial" w:hAnsi="Arial"/>
          <w:color w:val="000000"/>
          <w:sz w:val="18"/>
        </w:rPr>
        <w:t>The Company purchases various reagents and sequencing materials from sole-source suppliers. Any extended interruption in the supply of these materials could result in the Company’s inability to secure sufficient materials to conduct business and meet customer demand.</w:t>
      </w:r>
    </w:p>
    <w:p>
      <w:pPr>
        <w:pStyle w:val="TextBody"/>
        <w:bidi w:val="0"/>
        <w:spacing w:before="200" w:after="200"/>
        <w:jc w:val="both"/>
        <w:rPr>
          <w:rFonts w:ascii="Arial" w:hAnsi="Arial"/>
          <w:color w:val="000000"/>
          <w:sz w:val="18"/>
        </w:rPr>
      </w:pPr>
      <w:r>
        <w:rPr>
          <w:rFonts w:ascii="Arial" w:hAnsi="Arial"/>
          <w:color w:val="000000"/>
          <w:sz w:val="18"/>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tbl>
      <w:tblPr>
        <w:tblW w:w="10205" w:type="dxa"/>
        <w:jc w:val="left"/>
        <w:tblInd w:w="0" w:type="dxa"/>
        <w:tblLayout w:type="fixed"/>
        <w:tblCellMar>
          <w:top w:w="28" w:type="dxa"/>
          <w:left w:w="28" w:type="dxa"/>
          <w:bottom w:w="28" w:type="dxa"/>
          <w:right w:w="28" w:type="dxa"/>
        </w:tblCellMar>
      </w:tblPr>
      <w:tblGrid>
        <w:gridCol w:w="2665"/>
        <w:gridCol w:w="146"/>
        <w:gridCol w:w="983"/>
        <w:gridCol w:w="299"/>
        <w:gridCol w:w="983"/>
        <w:gridCol w:w="146"/>
        <w:gridCol w:w="905"/>
        <w:gridCol w:w="275"/>
        <w:gridCol w:w="905"/>
        <w:gridCol w:w="146"/>
        <w:gridCol w:w="1076"/>
        <w:gridCol w:w="146"/>
        <w:gridCol w:w="1530"/>
      </w:tblGrid>
      <w:tr>
        <w:trPr/>
        <w:tc>
          <w:tcPr>
            <w:tcW w:w="2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Accounts Receivable</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8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Merck &amp; Co., Inc.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 MVP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26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ModernaTX,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Natera,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26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US Department of Veterans Affairs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AstraZeneca UK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 Less than 10% of revenue or accounts receivable.</w:t>
      </w:r>
    </w:p>
    <w:p>
      <w:pPr>
        <w:pStyle w:val="TextBody"/>
        <w:bidi w:val="0"/>
        <w:jc w:val="left"/>
        <w:rPr>
          <w:rFonts w:ascii="Arial" w:hAnsi="Arial"/>
          <w:color w:val="000000"/>
          <w:sz w:val="16"/>
        </w:rPr>
      </w:pPr>
      <w:r>
        <w:rPr>
          <w:rFonts w:ascii="Arial" w:hAnsi="Arial"/>
          <w:color w:val="000000"/>
          <w:sz w:val="16"/>
        </w:rPr>
        <w:t>(1) Consists of related party revenue and related party accounts receivable, respectively.</w:t>
      </w:r>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Significant Accounting Policies</w:t>
      </w:r>
    </w:p>
    <w:p>
      <w:pPr>
        <w:pStyle w:val="TextBody"/>
        <w:bidi w:val="0"/>
        <w:spacing w:before="200" w:after="283"/>
        <w:jc w:val="both"/>
        <w:rPr>
          <w:rFonts w:ascii="Arial" w:hAnsi="Arial"/>
          <w:color w:val="000000"/>
          <w:sz w:val="18"/>
        </w:rPr>
      </w:pPr>
      <w:r>
        <w:rPr>
          <w:rFonts w:ascii="Arial" w:hAnsi="Arial"/>
          <w:color w:val="000000"/>
          <w:sz w:val="18"/>
        </w:rPr>
        <w:t>As of June 30, 2026, the Company’s significant accounting policies are consistent with those discussed in Note 2 - “Summary of Significant Accounting Policies” in its consolidated financial statements included in the Company’s Annual Report on Form 10-K for the year ended December 31, 2025.</w:t>
      </w:r>
    </w:p>
    <w:p>
      <w:pPr>
        <w:pStyle w:val="TextBody"/>
        <w:bidi w:val="0"/>
        <w:spacing w:before="200" w:after="283"/>
        <w:jc w:val="both"/>
        <w:rPr>
          <w:rFonts w:ascii="Arial" w:hAnsi="Arial"/>
          <w:b/>
          <w:i/>
          <w:color w:val="000000"/>
          <w:sz w:val="18"/>
        </w:rPr>
      </w:pPr>
      <w:r>
        <w:rPr>
          <w:rFonts w:ascii="Arial" w:hAnsi="Arial"/>
          <w:b/>
          <w:i/>
          <w:color w:val="000000"/>
          <w:sz w:val="18"/>
        </w:rPr>
        <w:t>Recent Accounting Pronouncements</w:t>
      </w:r>
    </w:p>
    <w:p>
      <w:pPr>
        <w:pStyle w:val="TextBody"/>
        <w:bidi w:val="0"/>
        <w:spacing w:before="200" w:after="283"/>
        <w:jc w:val="both"/>
        <w:rPr>
          <w:rFonts w:ascii="Arial" w:hAnsi="Arial"/>
          <w:i/>
          <w:color w:val="000000"/>
          <w:sz w:val="18"/>
        </w:rPr>
      </w:pPr>
      <w:r>
        <w:rPr>
          <w:rFonts w:ascii="Arial" w:hAnsi="Arial"/>
          <w:i/>
          <w:color w:val="000000"/>
          <w:sz w:val="18"/>
        </w:rPr>
        <w:t>New Accounting Pronouncements Not Yet Adopted</w:t>
      </w:r>
    </w:p>
    <w:p>
      <w:pPr>
        <w:pStyle w:val="TextBody"/>
        <w:bidi w:val="0"/>
        <w:spacing w:before="200" w:after="283"/>
        <w:jc w:val="both"/>
        <w:rPr>
          <w:rFonts w:ascii="Times New Roman" w:hAnsi="Times New Roman"/>
          <w:sz w:val="20"/>
        </w:rPr>
      </w:pPr>
      <w:r>
        <w:rPr>
          <w:rFonts w:ascii="Arial" w:hAnsi="Arial"/>
          <w:color w:val="000000"/>
          <w:sz w:val="18"/>
        </w:rPr>
        <w:t xml:space="preserve">In November 2024, the FASB issued ASU No. 2024-03, </w:t>
      </w:r>
      <w:r>
        <w:rPr>
          <w:rFonts w:ascii="Arial" w:hAnsi="Arial"/>
          <w:i/>
          <w:color w:val="000000"/>
          <w:sz w:val="18"/>
        </w:rPr>
        <w:t>Income Statement–Reporting Comprehensive Income–Expense Disaggregation Disclosures (Subtopic 220-40): Disaggregation of Income Statement Expenses ("ASU 2024-03")</w:t>
      </w:r>
      <w:r>
        <w:rPr>
          <w:rFonts w:ascii="Arial" w:hAnsi="Arial"/>
          <w:color w:val="000000"/>
          <w:sz w:val="18"/>
        </w:rPr>
        <w:t xml:space="preserve">, which requires </w:t>
      </w:r>
      <w:r>
        <w:rPr>
          <w:rFonts w:ascii="Arial" w:hAnsi="Arial"/>
          <w:color w:val="080808"/>
          <w:sz w:val="18"/>
        </w:rPr>
        <w:t xml:space="preserve">the disclosure of additional information related to certain costs and expenses, including amounts of inventory purchases, employee compensation, and depreciation and amortization included in each income statement line item </w:t>
      </w:r>
      <w:r>
        <w:rPr>
          <w:rFonts w:ascii="Arial" w:hAnsi="Arial"/>
          <w:color w:val="000000"/>
          <w:sz w:val="18"/>
        </w:rPr>
        <w:t>on an interim and annual basis. ASU 2024-03 also requires disclosure of the total amount of selling expenses and the Company's definition of selling expenses. ASU 2024-03 is effective for annual reporting periods beginning after December 15, 2026, and interim reporting periods beginning after December 15, 2027, with early adoption permitted. Although the new standard requires comparative disclosures for all periods presented, entities will be permitted to begin applying the guidance prospectively. Therefore, comparative disclosures are not required for reporting periods beginning before the effective date. Entities can elect to apply the new standard retrospectively to any or all prior periods presented in the financial statements. The Company is currently evaluating the impact that adoption of ASU 2024-03 will have on its consolidated financial statement disclosures.</w:t>
      </w:r>
    </w:p>
    <w:p>
      <w:pPr>
        <w:pStyle w:val="TextBody"/>
        <w:bidi w:val="0"/>
        <w:spacing w:before="200" w:after="283"/>
        <w:jc w:val="both"/>
        <w:rPr>
          <w:rFonts w:ascii="Arial" w:hAnsi="Arial"/>
          <w:b/>
          <w:color w:val="000000"/>
          <w:sz w:val="18"/>
        </w:rPr>
      </w:pPr>
      <w:bookmarkStart w:id="15" w:name="note_3_revenue"/>
      <w:bookmarkEnd w:id="15"/>
      <w:r>
        <w:rPr>
          <w:rFonts w:ascii="Arial" w:hAnsi="Arial"/>
          <w:b/>
          <w:color w:val="000000"/>
          <w:sz w:val="18"/>
        </w:rPr>
        <w:t>Note 3. Revenue</w:t>
      </w:r>
    </w:p>
    <w:p>
      <w:pPr>
        <w:pStyle w:val="TextBody"/>
        <w:bidi w:val="0"/>
        <w:spacing w:before="200" w:after="200"/>
        <w:jc w:val="both"/>
        <w:rPr>
          <w:rFonts w:ascii="Arial" w:hAnsi="Arial"/>
          <w:color w:val="000000"/>
          <w:sz w:val="18"/>
        </w:rPr>
      </w:pPr>
      <w:r>
        <w:rPr>
          <w:rFonts w:ascii="Arial" w:hAnsi="Arial"/>
          <w:color w:val="000000"/>
          <w:sz w:val="18"/>
        </w:rPr>
        <w:t>The Company disaggregates revenue by the following five customer types:</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18"/>
        </w:rPr>
        <w:t>Pharma testing services</w:t>
      </w:r>
      <w:r>
        <w:rPr>
          <w:color w:val="000000"/>
        </w:rPr>
        <w:t xml:space="preserve"> </w:t>
      </w:r>
      <w:r>
        <w:rPr>
          <w:rFonts w:ascii="Arial" w:hAnsi="Arial"/>
          <w:color w:val="000000"/>
          <w:sz w:val="18"/>
        </w:rPr>
        <w:t>includes sales of testing services and data analytics for clinical trials and research to pharmaceutical companies in support of their oncology drug development programs. Contracts typically contemplate a single project and involve a range of tests and analytics to fulfill the requirements of each particular project.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Enterprise sales</w:t>
      </w:r>
      <w:r>
        <w:rPr>
          <w:color w:val="000000"/>
        </w:rPr>
        <w:t xml:space="preserve"> </w:t>
      </w:r>
      <w:r>
        <w:rPr>
          <w:rFonts w:ascii="Arial" w:hAnsi="Arial"/>
          <w:color w:val="000000"/>
          <w:sz w:val="18"/>
        </w:rPr>
        <w:t>includes sales of tumor profiling and diagnostic tests directly to another business as an input to their products. The Company is typically contracted to deliver specified tests and analytics in high volume over time. Revenue from the Company's previous commercial relationship with Natera to provide advanced tumor analysis for use in Natera's molecular residual disease ("MRD") test made up substantially all of the revenue in this category.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Population sequencing</w:t>
      </w:r>
      <w:r>
        <w:rPr>
          <w:color w:val="000000"/>
        </w:rPr>
        <w:t xml:space="preserve"> </w:t>
      </w:r>
      <w:r>
        <w:rPr>
          <w:rFonts w:ascii="Arial" w:hAnsi="Arial"/>
          <w:color w:val="000000"/>
          <w:sz w:val="18"/>
        </w:rPr>
        <w:t>includes sales of genomic sequencing services and data analytics to support large-scale genetic research programs. The Company is typically contracted to perform whole genome sequencing and provide data that can be used for analysis across a large volume of samples. All of the revenue within this category is from the Company's partnership with the VA MVP.</w:t>
      </w:r>
    </w:p>
    <w:p>
      <w:pPr>
        <w:pStyle w:val="TextBody"/>
        <w:bidi w:val="0"/>
        <w:spacing w:before="240" w:after="283"/>
        <w:jc w:val="center"/>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Clinical diagnostic</w:t>
      </w:r>
      <w:r>
        <w:rPr>
          <w:rFonts w:ascii="Arial" w:hAnsi="Arial"/>
          <w:color w:val="000000"/>
          <w:sz w:val="18"/>
        </w:rPr>
        <w:t xml:space="preserve"> includes sales of ultrasensitive, tumor-informed diagnostics tests, ordered by healthcare providers for cancer patients, that can detect cancer recurrence earlier and aid in treatment decision-making. Revenue is derived from Medicare and private insurance reimbursements.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Other</w:t>
      </w:r>
      <w:r>
        <w:rPr>
          <w:rFonts w:ascii="Arial" w:hAnsi="Arial"/>
          <w:color w:val="000000"/>
          <w:sz w:val="18"/>
        </w:rPr>
        <w:t xml:space="preserve"> includes sales of genomic tests and analytics to universities and non-profits.</w:t>
      </w:r>
    </w:p>
    <w:p>
      <w:pPr>
        <w:pStyle w:val="TextBody"/>
        <w:bidi w:val="0"/>
        <w:spacing w:before="200" w:after="200"/>
        <w:jc w:val="both"/>
        <w:rPr>
          <w:rFonts w:ascii="Arial" w:hAnsi="Arial"/>
          <w:color w:val="000000"/>
          <w:sz w:val="18"/>
        </w:rPr>
      </w:pPr>
      <w:r>
        <w:rPr>
          <w:rFonts w:ascii="Arial" w:hAnsi="Arial"/>
          <w:color w:val="000000"/>
          <w:sz w:val="18"/>
        </w:rPr>
        <w:t>The following table presents the Company's revenue disaggregated by customer type (in thousands):</w:t>
      </w:r>
    </w:p>
    <w:tbl>
      <w:tblPr>
        <w:tblW w:w="7801" w:type="dxa"/>
        <w:jc w:val="left"/>
        <w:tblInd w:w="0" w:type="dxa"/>
        <w:tblLayout w:type="fixed"/>
        <w:tblCellMar>
          <w:top w:w="28" w:type="dxa"/>
          <w:left w:w="28" w:type="dxa"/>
          <w:bottom w:w="28" w:type="dxa"/>
          <w:right w:w="28" w:type="dxa"/>
        </w:tblCellMar>
      </w:tblPr>
      <w:tblGrid>
        <w:gridCol w:w="2266"/>
        <w:gridCol w:w="146"/>
        <w:gridCol w:w="251"/>
        <w:gridCol w:w="805"/>
        <w:gridCol w:w="173"/>
        <w:gridCol w:w="173"/>
        <w:gridCol w:w="251"/>
        <w:gridCol w:w="805"/>
        <w:gridCol w:w="146"/>
        <w:gridCol w:w="146"/>
        <w:gridCol w:w="229"/>
        <w:gridCol w:w="736"/>
        <w:gridCol w:w="159"/>
        <w:gridCol w:w="159"/>
        <w:gridCol w:w="229"/>
        <w:gridCol w:w="73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Pharma testing services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16,789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27,513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Clinical diagnostic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37,829</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6"/>
        </w:rPr>
        <w:t>(1) Includes related party revenue of $8.4</w:t>
      </w:r>
      <w:r>
        <w:rPr>
          <w:rFonts w:ascii="Times New Roman" w:hAnsi="Times New Roman"/>
          <w:color w:val="000000"/>
          <w:sz w:val="20"/>
        </w:rPr>
        <w:t xml:space="preserve"> </w:t>
      </w:r>
      <w:r>
        <w:rPr>
          <w:rFonts w:ascii="Arial" w:hAnsi="Arial"/>
          <w:color w:val="000000"/>
          <w:sz w:val="16"/>
        </w:rPr>
        <w:t>million and $1.9</w:t>
      </w:r>
      <w:r>
        <w:rPr>
          <w:rFonts w:ascii="Times New Roman" w:hAnsi="Times New Roman"/>
          <w:color w:val="000000"/>
          <w:sz w:val="20"/>
        </w:rPr>
        <w:t xml:space="preserve"> </w:t>
      </w:r>
      <w:r>
        <w:rPr>
          <w:rFonts w:ascii="Arial" w:hAnsi="Arial"/>
          <w:color w:val="000000"/>
          <w:sz w:val="16"/>
        </w:rPr>
        <w:t>million</w:t>
      </w:r>
      <w:r>
        <w:rPr>
          <w:rFonts w:ascii="Times New Roman" w:hAnsi="Times New Roman"/>
          <w:color w:val="000000"/>
          <w:sz w:val="20"/>
        </w:rPr>
        <w:t xml:space="preserve"> </w:t>
      </w:r>
      <w:r>
        <w:rPr>
          <w:rFonts w:ascii="Arial" w:hAnsi="Arial"/>
          <w:color w:val="000000"/>
          <w:sz w:val="16"/>
        </w:rPr>
        <w:t>for the three months ended June 30, 2026 and 2025, respectively, and $11.5</w:t>
      </w:r>
      <w:r>
        <w:rPr>
          <w:rFonts w:ascii="Times New Roman" w:hAnsi="Times New Roman"/>
          <w:color w:val="000000"/>
          <w:sz w:val="20"/>
        </w:rPr>
        <w:t xml:space="preserve"> </w:t>
      </w:r>
      <w:r>
        <w:rPr>
          <w:rFonts w:ascii="Arial" w:hAnsi="Arial"/>
          <w:color w:val="000000"/>
          <w:sz w:val="16"/>
        </w:rPr>
        <w:t>million and $2.4</w:t>
      </w:r>
      <w:r>
        <w:rPr>
          <w:rFonts w:ascii="Times New Roman" w:hAnsi="Times New Roman"/>
          <w:color w:val="000000"/>
          <w:sz w:val="20"/>
        </w:rPr>
        <w:t xml:space="preserve"> </w:t>
      </w:r>
      <w:r>
        <w:rPr>
          <w:rFonts w:ascii="Arial" w:hAnsi="Arial"/>
          <w:color w:val="000000"/>
          <w:sz w:val="16"/>
        </w:rPr>
        <w:t>million for the six months ended June 30, 2026 and 2025, respectively.</w:t>
      </w:r>
    </w:p>
    <w:p>
      <w:pPr>
        <w:pStyle w:val="TextBody"/>
        <w:bidi w:val="0"/>
        <w:spacing w:before="200" w:after="283"/>
        <w:jc w:val="both"/>
        <w:rPr>
          <w:rFonts w:ascii="Arial" w:hAnsi="Arial"/>
          <w:b/>
          <w:i/>
          <w:color w:val="000000"/>
          <w:sz w:val="18"/>
        </w:rPr>
      </w:pPr>
      <w:r>
        <w:rPr>
          <w:rFonts w:ascii="Arial" w:hAnsi="Arial"/>
          <w:b/>
          <w:i/>
          <w:color w:val="000000"/>
          <w:sz w:val="18"/>
        </w:rPr>
        <w:t>Contract Assets and Liabilities</w:t>
      </w:r>
    </w:p>
    <w:p>
      <w:pPr>
        <w:pStyle w:val="TextBody"/>
        <w:bidi w:val="0"/>
        <w:spacing w:before="200" w:after="200"/>
        <w:jc w:val="both"/>
        <w:rPr>
          <w:rFonts w:ascii="Arial" w:hAnsi="Arial"/>
          <w:color w:val="000000"/>
          <w:sz w:val="18"/>
        </w:rPr>
      </w:pPr>
      <w:r>
        <w:rPr>
          <w:rFonts w:ascii="Arial" w:hAnsi="Arial"/>
          <w:color w:val="000000"/>
          <w:sz w:val="18"/>
        </w:rPr>
        <w:t>The opening and closing balances of receivables and contract liabilities from contracts with customers are shown below (in thousands). Contract assets were immaterial for all periods presented.</w:t>
      </w:r>
    </w:p>
    <w:tbl>
      <w:tblPr>
        <w:tblW w:w="6405" w:type="dxa"/>
        <w:jc w:val="left"/>
        <w:tblInd w:w="0" w:type="dxa"/>
        <w:tblLayout w:type="fixed"/>
        <w:tblCellMar>
          <w:top w:w="28" w:type="dxa"/>
          <w:left w:w="28" w:type="dxa"/>
          <w:bottom w:w="28" w:type="dxa"/>
          <w:right w:w="28" w:type="dxa"/>
        </w:tblCellMar>
      </w:tblPr>
      <w:tblGrid>
        <w:gridCol w:w="2631"/>
        <w:gridCol w:w="146"/>
        <w:gridCol w:w="278"/>
        <w:gridCol w:w="892"/>
        <w:gridCol w:w="146"/>
        <w:gridCol w:w="146"/>
        <w:gridCol w:w="374"/>
        <w:gridCol w:w="1201"/>
        <w:gridCol w:w="5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Opening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Closing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b/>
          <w:i/>
          <w:color w:val="000000"/>
          <w:sz w:val="18"/>
        </w:rPr>
      </w:pPr>
      <w:r>
        <w:rPr>
          <w:rFonts w:ascii="Arial" w:hAnsi="Arial"/>
          <w:b/>
          <w:i/>
          <w:color w:val="000000"/>
          <w:sz w:val="18"/>
        </w:rPr>
        <w:t>Remaining Performance Obligations</w:t>
      </w:r>
    </w:p>
    <w:p>
      <w:pPr>
        <w:pStyle w:val="TextBody"/>
        <w:bidi w:val="0"/>
        <w:spacing w:before="200" w:after="283"/>
        <w:jc w:val="both"/>
        <w:rPr>
          <w:rFonts w:ascii="Times New Roman" w:hAnsi="Times New Roman"/>
          <w:sz w:val="20"/>
        </w:rPr>
      </w:pPr>
      <w:r>
        <w:rPr>
          <w:rFonts w:ascii="Arial" w:hAnsi="Arial"/>
          <w:color w:val="000000"/>
          <w:sz w:val="18"/>
        </w:rPr>
        <w:t>Amounts collected in advance of services being provided are deferred as contract liabilities in the consolidated balance sheets. The associated revenue is recognized, and the contract liability is reduced, as the services are subsequently performed. Remaining performance obligations are comprised mainly of contract liabilities, and to a lesser extent, non-cancellable contracts for which the Company has not invoiced and has an obligation to perform, and for which revenue has not yet been recognized in the consolidated financial statements. As of June 30, 2026, amounts related to unfulfilled services under contracts with an original expected duration of more than one year</w:t>
      </w:r>
      <w:r>
        <w:rPr>
          <w:rFonts w:ascii="Times New Roman" w:hAnsi="Times New Roman"/>
          <w:color w:val="000000"/>
          <w:sz w:val="20"/>
        </w:rPr>
        <w:t xml:space="preserve"> </w:t>
      </w:r>
      <w:r>
        <w:rPr>
          <w:rFonts w:ascii="Arial" w:hAnsi="Arial"/>
          <w:color w:val="000000"/>
          <w:sz w:val="18"/>
        </w:rPr>
        <w:t>were immaterial. Revenue recognized that was included in the contract liability balance at the beginning of each reporting period was $0.2</w:t>
      </w:r>
      <w:r>
        <w:rPr>
          <w:rFonts w:ascii="Times New Roman" w:hAnsi="Times New Roman"/>
          <w:color w:val="000000"/>
          <w:sz w:val="20"/>
        </w:rPr>
        <w:t xml:space="preserve"> </w:t>
      </w:r>
      <w:r>
        <w:rPr>
          <w:rFonts w:ascii="Arial" w:hAnsi="Arial"/>
          <w:color w:val="000000"/>
          <w:sz w:val="18"/>
        </w:rPr>
        <w:t>million and $0.5</w:t>
      </w:r>
      <w:r>
        <w:rPr>
          <w:rFonts w:ascii="Times New Roman" w:hAnsi="Times New Roman"/>
          <w:color w:val="000000"/>
          <w:sz w:val="20"/>
        </w:rPr>
        <w:t xml:space="preserve"> </w:t>
      </w:r>
      <w:r>
        <w:rPr>
          <w:rFonts w:ascii="Arial" w:hAnsi="Arial"/>
          <w:color w:val="000000"/>
          <w:sz w:val="18"/>
        </w:rPr>
        <w:t>million for the three months ended June 30, 2026 and 2025, and was $0.2</w:t>
      </w:r>
      <w:r>
        <w:rPr>
          <w:rFonts w:ascii="Times New Roman" w:hAnsi="Times New Roman"/>
          <w:color w:val="000000"/>
          <w:sz w:val="20"/>
        </w:rPr>
        <w:t xml:space="preserve"> </w:t>
      </w:r>
      <w:r>
        <w:rPr>
          <w:rFonts w:ascii="Arial" w:hAnsi="Arial"/>
          <w:color w:val="000000"/>
          <w:sz w:val="18"/>
        </w:rPr>
        <w:t>million and $1.7</w:t>
      </w:r>
      <w:r>
        <w:rPr>
          <w:rFonts w:ascii="Times New Roman" w:hAnsi="Times New Roman"/>
          <w:color w:val="000000"/>
          <w:sz w:val="20"/>
        </w:rPr>
        <w:t xml:space="preserve"> </w:t>
      </w:r>
      <w:r>
        <w:rPr>
          <w:rFonts w:ascii="Arial" w:hAnsi="Arial"/>
          <w:color w:val="000000"/>
          <w:sz w:val="18"/>
        </w:rPr>
        <w:t>million for the six months ended June 30, 2026 and 2025, respectively.</w:t>
      </w:r>
    </w:p>
    <w:p>
      <w:pPr>
        <w:pStyle w:val="TextBody"/>
        <w:bidi w:val="0"/>
        <w:spacing w:before="200" w:after="283"/>
        <w:jc w:val="both"/>
        <w:rPr>
          <w:rFonts w:ascii="Times New Roman" w:hAnsi="Times New Roman"/>
          <w:sz w:val="20"/>
        </w:rPr>
      </w:pPr>
      <w:bookmarkStart w:id="16" w:name="note_4_balance_sheet_details"/>
      <w:bookmarkEnd w:id="16"/>
      <w:r>
        <w:rPr>
          <w:rFonts w:ascii="Arial" w:hAnsi="Arial"/>
          <w:b/>
          <w:color w:val="000000"/>
          <w:sz w:val="18"/>
        </w:rPr>
        <w:t>Note 4. Balance</w:t>
      </w:r>
      <w:r>
        <w:rPr>
          <w:rFonts w:ascii="Times New Roman" w:hAnsi="Times New Roman"/>
          <w:color w:val="000000"/>
          <w:sz w:val="20"/>
        </w:rPr>
        <w:t xml:space="preserve"> </w:t>
      </w:r>
      <w:r>
        <w:rPr>
          <w:rFonts w:ascii="Arial" w:hAnsi="Arial"/>
          <w:b/>
          <w:color w:val="000000"/>
          <w:sz w:val="18"/>
        </w:rPr>
        <w:t>Sheet Details</w:t>
      </w:r>
    </w:p>
    <w:p>
      <w:pPr>
        <w:pStyle w:val="TextBody"/>
        <w:bidi w:val="0"/>
        <w:spacing w:before="200" w:after="200"/>
        <w:jc w:val="both"/>
        <w:rPr>
          <w:rFonts w:ascii="Arial" w:hAnsi="Arial"/>
          <w:color w:val="000000"/>
          <w:sz w:val="18"/>
        </w:rPr>
      </w:pPr>
      <w:r>
        <w:rPr>
          <w:rFonts w:ascii="Arial" w:hAnsi="Arial"/>
          <w:color w:val="000000"/>
          <w:sz w:val="18"/>
        </w:rPr>
        <w:t>Inventory and other deferred costs consist of the following (in thousands):</w:t>
      </w:r>
    </w:p>
    <w:tbl>
      <w:tblPr>
        <w:tblW w:w="7120" w:type="dxa"/>
        <w:jc w:val="left"/>
        <w:tblInd w:w="0" w:type="dxa"/>
        <w:tblLayout w:type="fixed"/>
        <w:tblCellMar>
          <w:top w:w="28" w:type="dxa"/>
          <w:left w:w="28" w:type="dxa"/>
          <w:bottom w:w="28" w:type="dxa"/>
          <w:right w:w="28" w:type="dxa"/>
        </w:tblCellMar>
      </w:tblPr>
      <w:tblGrid>
        <w:gridCol w:w="3546"/>
        <w:gridCol w:w="146"/>
        <w:gridCol w:w="315"/>
        <w:gridCol w:w="855"/>
        <w:gridCol w:w="146"/>
        <w:gridCol w:w="146"/>
        <w:gridCol w:w="425"/>
        <w:gridCol w:w="1150"/>
        <w:gridCol w:w="3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inventory and other deferred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Property and equipment, net consists of the following (in thousands):</w:t>
      </w:r>
    </w:p>
    <w:tbl>
      <w:tblPr>
        <w:tblW w:w="7940" w:type="dxa"/>
        <w:jc w:val="left"/>
        <w:tblInd w:w="0" w:type="dxa"/>
        <w:tblLayout w:type="fixed"/>
        <w:tblCellMar>
          <w:top w:w="28" w:type="dxa"/>
          <w:left w:w="28" w:type="dxa"/>
          <w:bottom w:w="28" w:type="dxa"/>
          <w:right w:w="28" w:type="dxa"/>
        </w:tblCellMar>
      </w:tblPr>
      <w:tblGrid>
        <w:gridCol w:w="4126"/>
        <w:gridCol w:w="146"/>
        <w:gridCol w:w="249"/>
        <w:gridCol w:w="921"/>
        <w:gridCol w:w="166"/>
        <w:gridCol w:w="146"/>
        <w:gridCol w:w="351"/>
        <w:gridCol w:w="1224"/>
        <w:gridCol w:w="6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29,647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Depreciation and amortization expense for the three months ended June 30, 2026 and 2025 was $2.4</w:t>
      </w:r>
      <w:r>
        <w:rPr>
          <w:rFonts w:ascii="Times New Roman" w:hAnsi="Times New Roman"/>
          <w:color w:val="000000"/>
          <w:sz w:val="20"/>
        </w:rPr>
        <w:t xml:space="preserve"> </w:t>
      </w:r>
      <w:r>
        <w:rPr>
          <w:rFonts w:ascii="Arial" w:hAnsi="Arial"/>
          <w:color w:val="000000"/>
          <w:sz w:val="18"/>
        </w:rPr>
        <w:t>million and $2.5</w:t>
      </w:r>
      <w:r>
        <w:rPr>
          <w:rFonts w:ascii="Times New Roman" w:hAnsi="Times New Roman"/>
          <w:color w:val="000000"/>
          <w:sz w:val="20"/>
        </w:rPr>
        <w:t xml:space="preserve"> </w:t>
      </w:r>
      <w:r>
        <w:rPr>
          <w:rFonts w:ascii="Arial" w:hAnsi="Arial"/>
          <w:color w:val="000000"/>
          <w:sz w:val="18"/>
        </w:rPr>
        <w:t>million, and was $4.7</w:t>
      </w:r>
      <w:r>
        <w:rPr>
          <w:rFonts w:ascii="Times New Roman" w:hAnsi="Times New Roman"/>
          <w:color w:val="000000"/>
          <w:sz w:val="20"/>
        </w:rPr>
        <w:t xml:space="preserve"> </w:t>
      </w:r>
      <w:r>
        <w:rPr>
          <w:rFonts w:ascii="Arial" w:hAnsi="Arial"/>
          <w:color w:val="000000"/>
          <w:sz w:val="18"/>
        </w:rPr>
        <w:t>million and $5.1</w:t>
      </w:r>
      <w:r>
        <w:rPr>
          <w:rFonts w:ascii="Times New Roman" w:hAnsi="Times New Roman"/>
          <w:color w:val="000000"/>
          <w:sz w:val="20"/>
        </w:rPr>
        <w:t xml:space="preserve"> </w:t>
      </w:r>
      <w:r>
        <w:rPr>
          <w:rFonts w:ascii="Arial" w:hAnsi="Arial"/>
          <w:color w:val="000000"/>
          <w:sz w:val="18"/>
        </w:rPr>
        <w:t>million for the six months ended June 30, 2026 and 2025, respectively.</w:t>
      </w:r>
    </w:p>
    <w:p>
      <w:pPr>
        <w:pStyle w:val="TextBody"/>
        <w:bidi w:val="0"/>
        <w:spacing w:before="200" w:after="200"/>
        <w:jc w:val="both"/>
        <w:rPr>
          <w:rFonts w:ascii="Arial" w:hAnsi="Arial"/>
          <w:color w:val="000000"/>
          <w:sz w:val="18"/>
        </w:rPr>
      </w:pPr>
      <w:r>
        <w:rPr>
          <w:rFonts w:ascii="Arial" w:hAnsi="Arial"/>
          <w:color w:val="000000"/>
          <w:sz w:val="18"/>
        </w:rPr>
        <w:t>Accrued and other current liabilities consist of the following (in thousands):</w:t>
      </w:r>
    </w:p>
    <w:tbl>
      <w:tblPr>
        <w:tblW w:w="8405" w:type="dxa"/>
        <w:jc w:val="left"/>
        <w:tblInd w:w="0" w:type="dxa"/>
        <w:tblLayout w:type="fixed"/>
        <w:tblCellMar>
          <w:top w:w="28" w:type="dxa"/>
          <w:left w:w="28" w:type="dxa"/>
          <w:bottom w:w="28" w:type="dxa"/>
          <w:right w:w="28" w:type="dxa"/>
        </w:tblCellMar>
      </w:tblPr>
      <w:tblGrid>
        <w:gridCol w:w="4831"/>
        <w:gridCol w:w="146"/>
        <w:gridCol w:w="278"/>
        <w:gridCol w:w="892"/>
        <w:gridCol w:w="146"/>
        <w:gridCol w:w="146"/>
        <w:gridCol w:w="374"/>
        <w:gridCol w:w="1201"/>
        <w:gridCol w:w="3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Loans—current portion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 Development Fees received from Tempus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Employee ESPP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18"/>
        </w:rPr>
      </w:pPr>
      <w:bookmarkStart w:id="17" w:name="note_5_fair_value_measurements"/>
      <w:bookmarkEnd w:id="17"/>
      <w:r>
        <w:rPr>
          <w:rFonts w:ascii="Arial" w:hAnsi="Arial"/>
          <w:b/>
          <w:color w:val="000000"/>
          <w:sz w:val="18"/>
        </w:rPr>
        <w:t>Note 5. Fair Value Measurements</w:t>
      </w:r>
    </w:p>
    <w:p>
      <w:pPr>
        <w:pStyle w:val="TextBody"/>
        <w:bidi w:val="0"/>
        <w:spacing w:before="200" w:after="200"/>
        <w:jc w:val="both"/>
        <w:rPr>
          <w:rFonts w:ascii="Arial" w:hAnsi="Arial"/>
          <w:color w:val="000000"/>
          <w:sz w:val="18"/>
        </w:rPr>
      </w:pPr>
      <w:r>
        <w:rPr>
          <w:rFonts w:ascii="Arial" w:hAnsi="Arial"/>
          <w:color w:val="000000"/>
          <w:sz w:val="18"/>
        </w:rPr>
        <w:t>The following tables show the Company’s financial assets measured at fair value on a recurring basis and the level of inputs used in such measurements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2847"/>
        <w:gridCol w:w="146"/>
        <w:gridCol w:w="245"/>
        <w:gridCol w:w="909"/>
        <w:gridCol w:w="146"/>
        <w:gridCol w:w="146"/>
        <w:gridCol w:w="482"/>
        <w:gridCol w:w="792"/>
        <w:gridCol w:w="146"/>
        <w:gridCol w:w="146"/>
        <w:gridCol w:w="409"/>
        <w:gridCol w:w="934"/>
        <w:gridCol w:w="166"/>
        <w:gridCol w:w="146"/>
        <w:gridCol w:w="211"/>
        <w:gridCol w:w="781"/>
        <w:gridCol w:w="146"/>
        <w:gridCol w:w="146"/>
        <w:gridCol w:w="1261"/>
      </w:tblGrid>
      <w:tr>
        <w:trPr/>
        <w:tc>
          <w:tcPr>
            <w:tcW w:w="2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Level</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118,809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212,787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Level</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amortized costs and fair value of marketable debt securities (excluding cash and money market funds), by contractual maturity, at June 30, 2026 are as follows (in thousands):</w:t>
      </w:r>
    </w:p>
    <w:tbl>
      <w:tblPr>
        <w:tblW w:w="4442" w:type="dxa"/>
        <w:jc w:val="left"/>
        <w:tblInd w:w="0" w:type="dxa"/>
        <w:tblLayout w:type="fixed"/>
        <w:tblCellMar>
          <w:top w:w="28" w:type="dxa"/>
          <w:left w:w="28" w:type="dxa"/>
          <w:bottom w:w="28" w:type="dxa"/>
          <w:right w:w="28" w:type="dxa"/>
        </w:tblCellMar>
      </w:tblPr>
      <w:tblGrid>
        <w:gridCol w:w="1471"/>
        <w:gridCol w:w="146"/>
        <w:gridCol w:w="287"/>
        <w:gridCol w:w="1063"/>
        <w:gridCol w:w="146"/>
        <w:gridCol w:w="146"/>
        <w:gridCol w:w="211"/>
        <w:gridCol w:w="78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184,443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 to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184,443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Unrealized losses have not been recognized as losses in the consolidated statements of operations as the Company neither intends to sell, nor anticipates that it is more likely than not that the Company will be required to sell the securities before recovery of their amortized cost basis. The declines in fair value are due primarily to changes in market interest rates, rather than credit losses.</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pPr>
      <w:r>
        <w:rPr/>
        <w:t> </w:t>
      </w:r>
    </w:p>
    <w:p>
      <w:pPr>
        <w:pStyle w:val="TextBody"/>
        <w:bidi w:val="0"/>
        <w:jc w:val="both"/>
        <w:rPr>
          <w:rFonts w:ascii="Times New Roman" w:hAnsi="Times New Roman"/>
          <w:sz w:val="20"/>
        </w:rPr>
      </w:pPr>
      <w:r>
        <w:rPr>
          <w:rFonts w:ascii="Arial" w:hAnsi="Arial"/>
          <w:b/>
          <w:color w:val="000000"/>
          <w:sz w:val="18"/>
        </w:rPr>
        <w:t xml:space="preserve">Note 6. </w:t>
      </w:r>
      <w:bookmarkStart w:id="18" w:name="note_6_loans"/>
      <w:bookmarkEnd w:id="18"/>
      <w:r>
        <w:rPr>
          <w:rFonts w:ascii="Arial" w:hAnsi="Arial"/>
          <w:b/>
          <w:color w:val="000000"/>
          <w:sz w:val="18"/>
        </w:rPr>
        <w:t>Loans</w:t>
      </w:r>
    </w:p>
    <w:p>
      <w:pPr>
        <w:pStyle w:val="TextBody"/>
        <w:bidi w:val="0"/>
        <w:spacing w:before="200" w:after="200"/>
        <w:jc w:val="both"/>
        <w:rPr>
          <w:rFonts w:ascii="Arial" w:hAnsi="Arial"/>
          <w:color w:val="000000"/>
          <w:sz w:val="18"/>
        </w:rPr>
      </w:pPr>
      <w:r>
        <w:rPr>
          <w:rFonts w:ascii="Arial" w:hAnsi="Arial"/>
          <w:color w:val="000000"/>
          <w:sz w:val="18"/>
        </w:rPr>
        <w:t>Amounts outstanding under loans are as follows (in thousands):</w:t>
      </w:r>
    </w:p>
    <w:tbl>
      <w:tblPr>
        <w:tblW w:w="9555" w:type="dxa"/>
        <w:jc w:val="left"/>
        <w:tblInd w:w="0" w:type="dxa"/>
        <w:tblLayout w:type="fixed"/>
        <w:tblCellMar>
          <w:top w:w="28" w:type="dxa"/>
          <w:left w:w="28" w:type="dxa"/>
          <w:bottom w:w="28" w:type="dxa"/>
          <w:right w:w="28" w:type="dxa"/>
        </w:tblCellMar>
      </w:tblPr>
      <w:tblGrid>
        <w:gridCol w:w="5961"/>
        <w:gridCol w:w="146"/>
        <w:gridCol w:w="357"/>
        <w:gridCol w:w="813"/>
        <w:gridCol w:w="166"/>
        <w:gridCol w:w="146"/>
        <w:gridCol w:w="393"/>
        <w:gridCol w:w="1182"/>
        <w:gridCol w:w="391"/>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unamortized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current portion (included in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portion (included in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Equipment and Software Loans</w:t>
      </w:r>
    </w:p>
    <w:p>
      <w:pPr>
        <w:pStyle w:val="TextBody"/>
        <w:bidi w:val="0"/>
        <w:spacing w:before="200" w:after="283"/>
        <w:jc w:val="both"/>
        <w:rPr>
          <w:rFonts w:ascii="Times New Roman" w:hAnsi="Times New Roman"/>
          <w:sz w:val="20"/>
        </w:rPr>
      </w:pPr>
      <w:r>
        <w:rPr>
          <w:rFonts w:ascii="Arial" w:hAnsi="Arial"/>
          <w:color w:val="000000"/>
          <w:sz w:val="18"/>
        </w:rPr>
        <w:t>In July 2022, the Company entered into a secured payment agreement with a financing entity to finance the purchase of internal use software licenses and related ongoing support from a vendor. In January 2025, $0.4</w:t>
      </w:r>
      <w:r>
        <w:rPr>
          <w:rFonts w:ascii="Times New Roman" w:hAnsi="Times New Roman"/>
          <w:color w:val="000000"/>
          <w:sz w:val="20"/>
        </w:rPr>
        <w:t xml:space="preserve"> </w:t>
      </w:r>
      <w:r>
        <w:rPr>
          <w:rFonts w:ascii="Arial" w:hAnsi="Arial"/>
          <w:color w:val="000000"/>
          <w:sz w:val="18"/>
        </w:rPr>
        <w:t>million was outstanding and waived entirely as part of a settlement agreement with the vendor related to a service claim on the ongoing support component of the agreement. The $0.4</w:t>
      </w:r>
      <w:r>
        <w:rPr>
          <w:rFonts w:ascii="Times New Roman" w:hAnsi="Times New Roman"/>
          <w:color w:val="000000"/>
          <w:sz w:val="20"/>
        </w:rPr>
        <w:t xml:space="preserve"> </w:t>
      </w:r>
      <w:r>
        <w:rPr>
          <w:rFonts w:ascii="Arial" w:hAnsi="Arial"/>
          <w:color w:val="000000"/>
          <w:sz w:val="18"/>
        </w:rPr>
        <w:t>million settlement was recognized as a gain and presented as an offset to maintenance costs upon the settlement, included as part of selling, general and administrative in the consolidated statements of operations.</w:t>
      </w:r>
    </w:p>
    <w:p>
      <w:pPr>
        <w:pStyle w:val="TextBody"/>
        <w:bidi w:val="0"/>
        <w:spacing w:before="200" w:after="283"/>
        <w:jc w:val="both"/>
        <w:rPr>
          <w:rFonts w:ascii="Times New Roman" w:hAnsi="Times New Roman"/>
          <w:sz w:val="20"/>
        </w:rPr>
      </w:pPr>
      <w:r>
        <w:rPr>
          <w:rFonts w:ascii="Arial" w:hAnsi="Arial"/>
          <w:color w:val="000000"/>
          <w:sz w:val="18"/>
        </w:rPr>
        <w:t>In January 2025, the Company entered into another secured payment agreement to finance the purchase of $2.8</w:t>
      </w:r>
      <w:r>
        <w:rPr>
          <w:rFonts w:ascii="Times New Roman" w:hAnsi="Times New Roman"/>
          <w:color w:val="000000"/>
          <w:sz w:val="20"/>
        </w:rPr>
        <w:t xml:space="preserve"> </w:t>
      </w:r>
      <w:r>
        <w:rPr>
          <w:rFonts w:ascii="Arial" w:hAnsi="Arial"/>
          <w:color w:val="000000"/>
          <w:sz w:val="18"/>
        </w:rPr>
        <w:t>million of internal use software licenses and related ongoing support (the "January 2025 Agreement"). The Company agreed to repay the financed amount in three</w:t>
      </w:r>
      <w:r>
        <w:rPr>
          <w:rFonts w:ascii="Times New Roman" w:hAnsi="Times New Roman"/>
          <w:color w:val="000000"/>
          <w:sz w:val="20"/>
        </w:rPr>
        <w:t xml:space="preserve"> </w:t>
      </w:r>
      <w:r>
        <w:rPr>
          <w:rFonts w:ascii="Arial" w:hAnsi="Arial"/>
          <w:color w:val="000000"/>
          <w:sz w:val="18"/>
        </w:rPr>
        <w:t>payments of $0.7</w:t>
      </w:r>
      <w:r>
        <w:rPr>
          <w:rFonts w:ascii="Times New Roman" w:hAnsi="Times New Roman"/>
          <w:color w:val="000000"/>
          <w:sz w:val="20"/>
        </w:rPr>
        <w:t xml:space="preserve"> </w:t>
      </w:r>
      <w:r>
        <w:rPr>
          <w:rFonts w:ascii="Arial" w:hAnsi="Arial"/>
          <w:color w:val="000000"/>
          <w:sz w:val="18"/>
        </w:rPr>
        <w:t>million in February of 2025, $1.2</w:t>
      </w:r>
      <w:r>
        <w:rPr>
          <w:rFonts w:ascii="Times New Roman" w:hAnsi="Times New Roman"/>
          <w:color w:val="000000"/>
          <w:sz w:val="20"/>
        </w:rPr>
        <w:t xml:space="preserve"> </w:t>
      </w:r>
      <w:r>
        <w:rPr>
          <w:rFonts w:ascii="Arial" w:hAnsi="Arial"/>
          <w:color w:val="000000"/>
          <w:sz w:val="18"/>
        </w:rPr>
        <w:t>million in February 2026, and $0.9</w:t>
      </w:r>
      <w:r>
        <w:rPr>
          <w:rFonts w:ascii="Times New Roman" w:hAnsi="Times New Roman"/>
          <w:color w:val="000000"/>
          <w:sz w:val="20"/>
        </w:rPr>
        <w:t xml:space="preserve"> </w:t>
      </w:r>
      <w:r>
        <w:rPr>
          <w:rFonts w:ascii="Arial" w:hAnsi="Arial"/>
          <w:color w:val="000000"/>
          <w:sz w:val="18"/>
        </w:rPr>
        <w:t>million in February 2027. The financing entity and vendor are not related. The payment agreement is noninterest bearing and the Company concluded that the stated zero interest rate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8.9% and was used to establish the present value of the payment agreement.</w:t>
      </w:r>
    </w:p>
    <w:p>
      <w:pPr>
        <w:pStyle w:val="TextBody"/>
        <w:bidi w:val="0"/>
        <w:spacing w:before="200" w:after="283"/>
        <w:jc w:val="both"/>
        <w:rPr>
          <w:rFonts w:ascii="Times New Roman" w:hAnsi="Times New Roman"/>
          <w:sz w:val="20"/>
        </w:rPr>
      </w:pPr>
      <w:r>
        <w:rPr>
          <w:rFonts w:ascii="Arial" w:hAnsi="Arial"/>
          <w:color w:val="000000"/>
          <w:sz w:val="18"/>
        </w:rPr>
        <w:t>The total initial present value of the January 2025 Agreement was $2.6</w:t>
      </w:r>
      <w:r>
        <w:rPr>
          <w:rFonts w:ascii="Times New Roman" w:hAnsi="Times New Roman"/>
          <w:color w:val="000000"/>
          <w:sz w:val="20"/>
        </w:rPr>
        <w:t xml:space="preserve"> </w:t>
      </w:r>
      <w:r>
        <w:rPr>
          <w:rFonts w:ascii="Arial" w:hAnsi="Arial"/>
          <w:color w:val="000000"/>
          <w:sz w:val="18"/>
        </w:rPr>
        <w:t>million. The discount of $0.2</w:t>
      </w:r>
      <w:r>
        <w:rPr>
          <w:rFonts w:ascii="Times New Roman" w:hAnsi="Times New Roman"/>
          <w:color w:val="000000"/>
          <w:sz w:val="20"/>
        </w:rPr>
        <w:t xml:space="preserve"> </w:t>
      </w:r>
      <w:r>
        <w:rPr>
          <w:rFonts w:ascii="Arial" w:hAnsi="Arial"/>
          <w:color w:val="000000"/>
          <w:sz w:val="18"/>
        </w:rPr>
        <w:t>million is being recognized as interest expense in the consolidated statements of operations over the life of the payment agreement. The first repayment of $0.7</w:t>
      </w:r>
      <w:r>
        <w:rPr>
          <w:rFonts w:ascii="Times New Roman" w:hAnsi="Times New Roman"/>
          <w:color w:val="000000"/>
          <w:sz w:val="20"/>
        </w:rPr>
        <w:t xml:space="preserve"> </w:t>
      </w:r>
      <w:r>
        <w:rPr>
          <w:rFonts w:ascii="Arial" w:hAnsi="Arial"/>
          <w:color w:val="000000"/>
          <w:sz w:val="18"/>
        </w:rPr>
        <w:t>million was billed in March 2025 and paid in April 2025. The second repayment of $1.2</w:t>
      </w:r>
      <w:r>
        <w:rPr>
          <w:rFonts w:ascii="Times New Roman" w:hAnsi="Times New Roman"/>
          <w:color w:val="000000"/>
          <w:sz w:val="20"/>
        </w:rPr>
        <w:t xml:space="preserve"> </w:t>
      </w:r>
      <w:r>
        <w:rPr>
          <w:rFonts w:ascii="Arial" w:hAnsi="Arial"/>
          <w:color w:val="000000"/>
          <w:sz w:val="18"/>
        </w:rPr>
        <w:t>million was billed and paid in January 2026. Interest expense for the three and six months ended June 30, 2026 and 2025</w:t>
      </w:r>
      <w:r>
        <w:rPr>
          <w:rFonts w:ascii="Times New Roman" w:hAnsi="Times New Roman"/>
          <w:color w:val="000000"/>
          <w:sz w:val="20"/>
        </w:rPr>
        <w:t xml:space="preserve"> </w:t>
      </w:r>
      <w:r>
        <w:rPr>
          <w:rFonts w:ascii="Arial" w:hAnsi="Arial"/>
          <w:color w:val="000000"/>
          <w:sz w:val="18"/>
        </w:rPr>
        <w:t>were immaterial.</w:t>
      </w:r>
    </w:p>
    <w:p>
      <w:pPr>
        <w:pStyle w:val="TextBody"/>
        <w:bidi w:val="0"/>
        <w:spacing w:before="200" w:after="283"/>
        <w:jc w:val="both"/>
        <w:rPr/>
      </w:pPr>
      <w:r>
        <w:rPr/>
        <w:t> </w:t>
      </w:r>
    </w:p>
    <w:p>
      <w:pPr>
        <w:pStyle w:val="TextBody"/>
        <w:bidi w:val="0"/>
        <w:spacing w:before="200" w:after="283"/>
        <w:jc w:val="both"/>
        <w:rPr>
          <w:rFonts w:ascii="Arial" w:hAnsi="Arial"/>
          <w:b/>
          <w:color w:val="000000"/>
          <w:sz w:val="18"/>
        </w:rPr>
      </w:pPr>
      <w:bookmarkStart w:id="19" w:name="note_7_leases"/>
      <w:bookmarkEnd w:id="19"/>
      <w:r>
        <w:rPr>
          <w:rFonts w:ascii="Arial" w:hAnsi="Arial"/>
          <w:b/>
          <w:color w:val="000000"/>
          <w:sz w:val="18"/>
        </w:rPr>
        <w:t>Note 7. Leases</w:t>
      </w:r>
    </w:p>
    <w:p>
      <w:pPr>
        <w:pStyle w:val="TextBody"/>
        <w:bidi w:val="0"/>
        <w:spacing w:before="200" w:after="283"/>
        <w:jc w:val="both"/>
        <w:rPr>
          <w:rFonts w:ascii="Times New Roman" w:hAnsi="Times New Roman"/>
          <w:sz w:val="20"/>
        </w:rPr>
      </w:pPr>
      <w:r>
        <w:rPr>
          <w:rFonts w:ascii="Arial" w:hAnsi="Arial"/>
          <w:color w:val="000000"/>
          <w:sz w:val="18"/>
        </w:rPr>
        <w:t>In 2021, the Company entered into a noncancelable operating lease for approximately 100,000</w:t>
      </w:r>
      <w:r>
        <w:rPr>
          <w:rFonts w:ascii="Times New Roman" w:hAnsi="Times New Roman"/>
          <w:color w:val="000000"/>
          <w:sz w:val="20"/>
        </w:rPr>
        <w:t xml:space="preserve"> </w:t>
      </w:r>
      <w:r>
        <w:rPr>
          <w:rFonts w:ascii="Arial" w:hAnsi="Arial"/>
          <w:color w:val="000000"/>
          <w:sz w:val="18"/>
        </w:rPr>
        <w:t>square feet in Fremont, California used for laboratory operations and its corporate headquarters. The lease term is 13.5</w:t>
      </w:r>
      <w:r>
        <w:rPr>
          <w:rFonts w:ascii="Times New Roman" w:hAnsi="Times New Roman"/>
          <w:color w:val="000000"/>
          <w:sz w:val="20"/>
        </w:rPr>
        <w:t xml:space="preserve"> </w:t>
      </w:r>
      <w:r>
        <w:rPr>
          <w:rFonts w:ascii="Arial" w:hAnsi="Arial"/>
          <w:color w:val="000000"/>
          <w:sz w:val="18"/>
        </w:rPr>
        <w:t>years and commenced in October 2022. The Company gained early access to the premises for the purpose of constructing and installing tenant improvements, for which the landlord contributed $15.1</w:t>
      </w:r>
      <w:r>
        <w:rPr>
          <w:rFonts w:ascii="Times New Roman" w:hAnsi="Times New Roman"/>
          <w:color w:val="000000"/>
          <w:sz w:val="20"/>
        </w:rPr>
        <w:t xml:space="preserve"> </w:t>
      </w:r>
      <w:r>
        <w:rPr>
          <w:rFonts w:ascii="Arial" w:hAnsi="Arial"/>
          <w:color w:val="000000"/>
          <w:sz w:val="18"/>
        </w:rPr>
        <w:t>million. Such contributions were accounted for as lease incentives and are recognized as reductions to lease expense over the lease term. The lease expires at the end of March 2036</w:t>
      </w:r>
      <w:r>
        <w:rPr>
          <w:rFonts w:ascii="Times New Roman" w:hAnsi="Times New Roman"/>
          <w:color w:val="000000"/>
          <w:sz w:val="20"/>
        </w:rPr>
        <w:t xml:space="preserve"> </w:t>
      </w:r>
      <w:r>
        <w:rPr>
          <w:rFonts w:ascii="Arial" w:hAnsi="Arial"/>
          <w:color w:val="000000"/>
          <w:sz w:val="18"/>
        </w:rPr>
        <w:t>and includes two options to extend the term for a period of five-years per option at market rates. The Company determined the extension options are not reasonably certain to be exercised. The lease includes escalating rent payments.</w:t>
      </w:r>
    </w:p>
    <w:p>
      <w:pPr>
        <w:pStyle w:val="TextBody"/>
        <w:bidi w:val="0"/>
        <w:spacing w:before="200" w:after="283"/>
        <w:jc w:val="both"/>
        <w:rPr>
          <w:rFonts w:ascii="Times New Roman" w:hAnsi="Times New Roman"/>
          <w:sz w:val="20"/>
        </w:rPr>
      </w:pPr>
      <w:r>
        <w:rPr>
          <w:rFonts w:ascii="Arial" w:hAnsi="Arial"/>
          <w:color w:val="000000"/>
          <w:sz w:val="18"/>
        </w:rPr>
        <w:t>The Company has a noncancelable operating lease expiring in November 2027</w:t>
      </w:r>
      <w:r>
        <w:rPr>
          <w:rFonts w:ascii="Times New Roman" w:hAnsi="Times New Roman"/>
          <w:color w:val="000000"/>
          <w:sz w:val="20"/>
        </w:rPr>
        <w:t xml:space="preserve"> </w:t>
      </w:r>
      <w:r>
        <w:rPr>
          <w:rFonts w:ascii="Arial" w:hAnsi="Arial"/>
          <w:color w:val="000000"/>
          <w:sz w:val="18"/>
        </w:rPr>
        <w:t>for 31,280</w:t>
      </w:r>
      <w:r>
        <w:rPr>
          <w:rFonts w:ascii="Times New Roman" w:hAnsi="Times New Roman"/>
          <w:color w:val="000000"/>
          <w:sz w:val="20"/>
        </w:rPr>
        <w:t xml:space="preserve"> </w:t>
      </w:r>
      <w:r>
        <w:rPr>
          <w:rFonts w:ascii="Arial" w:hAnsi="Arial"/>
          <w:color w:val="000000"/>
          <w:sz w:val="18"/>
        </w:rPr>
        <w:t>square feet in Menlo Park, California previously used for laboratory operations and its former corporate headquarters. The lease includes escalating rent payments. The Company moved all laboratory operations to the Fremont facility during the third quarter of 2023, resulting in a lease impairment charge at that time. The Company is actively marketing the vacated Menlo Park space for sublease.</w:t>
      </w:r>
    </w:p>
    <w:p>
      <w:pPr>
        <w:pStyle w:val="TextBody"/>
        <w:bidi w:val="0"/>
        <w:spacing w:before="200" w:after="200"/>
        <w:jc w:val="both"/>
        <w:rPr>
          <w:rFonts w:ascii="Times New Roman" w:hAnsi="Times New Roman"/>
          <w:sz w:val="20"/>
        </w:rPr>
      </w:pPr>
      <w:r>
        <w:rPr>
          <w:rFonts w:ascii="Arial" w:hAnsi="Arial"/>
          <w:color w:val="000000"/>
          <w:sz w:val="18"/>
        </w:rPr>
        <w:t>As of June 30, 2026, operating leases had a weighted-average remaining lease term of 9.1</w:t>
      </w:r>
      <w:r>
        <w:rPr>
          <w:rFonts w:ascii="Times New Roman" w:hAnsi="Times New Roman"/>
          <w:color w:val="000000"/>
          <w:sz w:val="20"/>
        </w:rPr>
        <w:t xml:space="preserve"> </w:t>
      </w:r>
      <w:r>
        <w:rPr>
          <w:rFonts w:ascii="Arial" w:hAnsi="Arial"/>
          <w:color w:val="000000"/>
          <w:sz w:val="18"/>
        </w:rPr>
        <w:t>years and a weighted-average discount rate of 10.6%. Discount rates are based</w:t>
      </w:r>
      <w:r>
        <w:rPr>
          <w:rFonts w:ascii="Times New Roman" w:hAnsi="Times New Roman"/>
          <w:color w:val="000000"/>
          <w:sz w:val="20"/>
        </w:rPr>
        <w:t xml:space="preserve"> </w:t>
      </w:r>
      <w:r>
        <w:rPr>
          <w:rFonts w:ascii="Arial" w:hAnsi="Arial"/>
          <w:color w:val="000000"/>
          <w:sz w:val="18"/>
        </w:rPr>
        <w:t>on estimates of the Company's incremental borrowing rate, as the discount rates implicit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in the leases cannot be readily determined. Future lease payments under operating leases as of June 30, 2026 were as follows (in thousands):</w:t>
      </w:r>
    </w:p>
    <w:tbl>
      <w:tblPr>
        <w:tblW w:w="9575" w:type="dxa"/>
        <w:jc w:val="left"/>
        <w:tblInd w:w="0" w:type="dxa"/>
        <w:tblLayout w:type="fixed"/>
        <w:tblCellMar>
          <w:top w:w="28" w:type="dxa"/>
          <w:left w:w="28" w:type="dxa"/>
          <w:bottom w:w="28" w:type="dxa"/>
          <w:right w:w="28" w:type="dxa"/>
        </w:tblCellMar>
      </w:tblPr>
      <w:tblGrid>
        <w:gridCol w:w="8091"/>
        <w:gridCol w:w="146"/>
        <w:gridCol w:w="211"/>
        <w:gridCol w:w="736"/>
        <w:gridCol w:w="391"/>
      </w:tblGrid>
      <w:tr>
        <w:trPr/>
        <w:tc>
          <w:tcPr>
            <w:tcW w:w="8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current portion of operating lease liability (included in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sz w:val="20"/>
        </w:rPr>
      </w:pPr>
      <w:r>
        <w:rPr>
          <w:rFonts w:ascii="Arial" w:hAnsi="Arial"/>
          <w:color w:val="000000"/>
          <w:sz w:val="18"/>
        </w:rPr>
        <w:t>Cash paid for operating lease liabilities, included in cash flows from operating activities in the consolidated statements of cash flows, for the six months ended June 30, 2026 and 2025, was $3.6</w:t>
      </w:r>
      <w:r>
        <w:rPr>
          <w:rFonts w:ascii="Times New Roman" w:hAnsi="Times New Roman"/>
          <w:color w:val="000000"/>
          <w:sz w:val="20"/>
        </w:rPr>
        <w:t xml:space="preserve"> </w:t>
      </w:r>
      <w:r>
        <w:rPr>
          <w:rFonts w:ascii="Arial" w:hAnsi="Arial"/>
          <w:color w:val="000000"/>
          <w:sz w:val="18"/>
        </w:rPr>
        <w:t>million and $4.2</w:t>
      </w:r>
      <w:r>
        <w:rPr>
          <w:rFonts w:ascii="Times New Roman" w:hAnsi="Times New Roman"/>
          <w:color w:val="000000"/>
          <w:sz w:val="20"/>
        </w:rPr>
        <w:t xml:space="preserve"> </w:t>
      </w:r>
      <w:r>
        <w:rPr>
          <w:rFonts w:ascii="Arial" w:hAnsi="Arial"/>
          <w:color w:val="000000"/>
          <w:sz w:val="18"/>
        </w:rPr>
        <w:t>million, respectively.</w:t>
      </w:r>
      <w:r>
        <w:rPr>
          <w:rFonts w:ascii="Times New Roman" w:hAnsi="Times New Roman"/>
          <w:color w:val="000000"/>
          <w:sz w:val="20"/>
        </w:rPr>
        <w:t xml:space="preserve"> </w:t>
      </w:r>
    </w:p>
    <w:p>
      <w:pPr>
        <w:pStyle w:val="TextBody"/>
        <w:bidi w:val="0"/>
        <w:spacing w:before="0" w:after="200"/>
        <w:jc w:val="both"/>
        <w:rPr>
          <w:rFonts w:ascii="Arial" w:hAnsi="Arial"/>
          <w:color w:val="000000"/>
          <w:sz w:val="18"/>
        </w:rPr>
      </w:pPr>
      <w:r>
        <w:rPr>
          <w:rFonts w:ascii="Arial" w:hAnsi="Arial"/>
          <w:color w:val="000000"/>
          <w:sz w:val="18"/>
        </w:rPr>
        <w:t>Components of lease costs were as follows (in thousands):</w:t>
      </w:r>
    </w:p>
    <w:tbl>
      <w:tblPr>
        <w:tblW w:w="7781" w:type="dxa"/>
        <w:jc w:val="left"/>
        <w:tblInd w:w="0" w:type="dxa"/>
        <w:tblLayout w:type="fixed"/>
        <w:tblCellMar>
          <w:top w:w="28" w:type="dxa"/>
          <w:left w:w="28" w:type="dxa"/>
          <w:bottom w:w="28" w:type="dxa"/>
          <w:right w:w="28" w:type="dxa"/>
        </w:tblCellMar>
      </w:tblPr>
      <w:tblGrid>
        <w:gridCol w:w="2046"/>
        <w:gridCol w:w="146"/>
        <w:gridCol w:w="279"/>
        <w:gridCol w:w="757"/>
        <w:gridCol w:w="193"/>
        <w:gridCol w:w="193"/>
        <w:gridCol w:w="279"/>
        <w:gridCol w:w="757"/>
        <w:gridCol w:w="146"/>
        <w:gridCol w:w="146"/>
        <w:gridCol w:w="255"/>
        <w:gridCol w:w="692"/>
        <w:gridCol w:w="177"/>
        <w:gridCol w:w="177"/>
        <w:gridCol w:w="255"/>
        <w:gridCol w:w="692"/>
        <w:gridCol w:w="5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3,731</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Arial" w:hAnsi="Arial"/>
          <w:color w:val="000000"/>
          <w:sz w:val="18"/>
        </w:rPr>
        <w:t>As of June 30, 2026, finance lease assets and liabilities were immaterial. As of December 31, 2025, finance lease assets</w:t>
      </w:r>
      <w:r>
        <w:rPr>
          <w:rFonts w:ascii="Times New Roman" w:hAnsi="Times New Roman"/>
          <w:color w:val="000000"/>
          <w:sz w:val="20"/>
        </w:rPr>
        <w:t xml:space="preserve"> </w:t>
      </w:r>
      <w:r>
        <w:rPr>
          <w:rFonts w:ascii="Arial" w:hAnsi="Arial"/>
          <w:color w:val="000000"/>
          <w:sz w:val="18"/>
        </w:rPr>
        <w:t>and liabilities were $3.1</w:t>
      </w:r>
      <w:r>
        <w:rPr>
          <w:rFonts w:ascii="Times New Roman" w:hAnsi="Times New Roman"/>
          <w:color w:val="000000"/>
          <w:sz w:val="20"/>
        </w:rPr>
        <w:t xml:space="preserve"> </w:t>
      </w:r>
      <w:r>
        <w:rPr>
          <w:rFonts w:ascii="Arial" w:hAnsi="Arial"/>
          <w:color w:val="000000"/>
          <w:sz w:val="18"/>
        </w:rPr>
        <w:t>million and $3.2</w:t>
      </w:r>
      <w:r>
        <w:rPr>
          <w:rFonts w:ascii="Times New Roman" w:hAnsi="Times New Roman"/>
          <w:color w:val="000000"/>
          <w:sz w:val="20"/>
        </w:rPr>
        <w:t xml:space="preserve"> </w:t>
      </w:r>
      <w:r>
        <w:rPr>
          <w:rFonts w:ascii="Arial" w:hAnsi="Arial"/>
          <w:color w:val="000000"/>
          <w:sz w:val="18"/>
        </w:rPr>
        <w:t>million, respectively. Finance lease cost was immaterial for the three and six months ended June 30, 2026 and nil for the three and six months ended June 30, 2025, respectively.</w:t>
      </w:r>
      <w:r>
        <w:rPr>
          <w:rFonts w:ascii="Times New Roman" w:hAnsi="Times New Roman"/>
          <w:color w:val="000000"/>
          <w:sz w:val="20"/>
        </w:rPr>
        <w:t xml:space="preserve"> </w:t>
      </w:r>
    </w:p>
    <w:p>
      <w:pPr>
        <w:pStyle w:val="TextBody"/>
        <w:bidi w:val="0"/>
        <w:spacing w:before="200" w:after="200"/>
        <w:jc w:val="both"/>
        <w:rPr>
          <w:rFonts w:ascii="Arial" w:hAnsi="Arial"/>
          <w:color w:val="000000"/>
          <w:sz w:val="18"/>
        </w:rPr>
      </w:pPr>
      <w:r>
        <w:rPr>
          <w:rFonts w:ascii="Arial" w:hAnsi="Arial"/>
          <w:color w:val="000000"/>
          <w:sz w:val="18"/>
        </w:rPr>
        <w:t>Finance lease liabilities with payments due within one year are classified as short-term liabilities and reported within the "Accrued and other current liabilities" line in the consolidated balance sheets. Finance lease liabilities with payments due beyond one year are classified as long-term liabilities and reported with the "Other long-term liabilities" line in the consolidated balance sheets.</w:t>
      </w:r>
    </w:p>
    <w:p>
      <w:pPr>
        <w:pStyle w:val="TextBody"/>
        <w:bidi w:val="0"/>
        <w:jc w:val="both"/>
        <w:rPr>
          <w:rFonts w:ascii="Arial" w:hAnsi="Arial"/>
          <w:b/>
          <w:color w:val="000000"/>
          <w:sz w:val="18"/>
        </w:rPr>
      </w:pPr>
      <w:bookmarkStart w:id="20" w:name="note_8_tempus_agreement"/>
      <w:bookmarkEnd w:id="20"/>
      <w:r>
        <w:rPr>
          <w:rFonts w:ascii="Arial" w:hAnsi="Arial"/>
          <w:b/>
          <w:color w:val="000000"/>
          <w:sz w:val="18"/>
        </w:rPr>
        <w:t>Note 8. Related Party Transactions</w:t>
      </w:r>
    </w:p>
    <w:p>
      <w:pPr>
        <w:pStyle w:val="TextBody"/>
        <w:bidi w:val="0"/>
        <w:spacing w:before="200" w:after="283"/>
        <w:jc w:val="both"/>
        <w:rPr>
          <w:rFonts w:ascii="Times New Roman" w:hAnsi="Times New Roman"/>
          <w:sz w:val="20"/>
        </w:rPr>
      </w:pPr>
      <w:r>
        <w:rPr>
          <w:rFonts w:ascii="Arial" w:hAnsi="Arial"/>
          <w:color w:val="000000"/>
          <w:sz w:val="18"/>
        </w:rPr>
        <w:t>The Company determined that Tempus and Merck Sharp &amp; Dohme LLC (“Merck”) are</w:t>
      </w:r>
      <w:r>
        <w:rPr>
          <w:rFonts w:ascii="Times New Roman" w:hAnsi="Times New Roman"/>
          <w:color w:val="000000"/>
          <w:sz w:val="20"/>
        </w:rPr>
        <w:t xml:space="preserve"> </w:t>
      </w:r>
      <w:r>
        <w:rPr>
          <w:rFonts w:ascii="Arial" w:hAnsi="Arial"/>
          <w:color w:val="000000"/>
          <w:sz w:val="18"/>
        </w:rPr>
        <w:t>related parties because they own more than 10% of the Company's common stock.</w:t>
      </w:r>
    </w:p>
    <w:p>
      <w:pPr>
        <w:pStyle w:val="TextBody"/>
        <w:bidi w:val="0"/>
        <w:spacing w:before="200" w:after="283"/>
        <w:jc w:val="both"/>
        <w:rPr>
          <w:rFonts w:ascii="Arial" w:hAnsi="Arial"/>
          <w:color w:val="000000"/>
          <w:sz w:val="18"/>
          <w:u w:val="single"/>
        </w:rPr>
      </w:pPr>
      <w:r>
        <w:rPr>
          <w:rFonts w:ascii="Arial" w:hAnsi="Arial"/>
          <w:color w:val="000000"/>
          <w:sz w:val="18"/>
          <w:u w:val="single"/>
        </w:rPr>
        <w:t>Tempus</w:t>
      </w:r>
    </w:p>
    <w:p>
      <w:pPr>
        <w:pStyle w:val="TextBody"/>
        <w:bidi w:val="0"/>
        <w:spacing w:before="200" w:after="283"/>
        <w:jc w:val="both"/>
        <w:rPr>
          <w:rFonts w:ascii="Times New Roman" w:hAnsi="Times New Roman"/>
          <w:sz w:val="20"/>
        </w:rPr>
      </w:pPr>
      <w:r>
        <w:rPr>
          <w:rFonts w:ascii="Arial" w:hAnsi="Arial"/>
          <w:color w:val="000000"/>
          <w:sz w:val="18"/>
        </w:rPr>
        <w:t>Tempus acquired its ownership stake in August 2024 by exercising two warrants issued to Tempus in November 2023 in consideration of Tempus' obligations to Personalis under the Tempus Agreement (as defined below), for an aggregate of 9,218,800</w:t>
      </w:r>
      <w:r>
        <w:rPr>
          <w:rFonts w:ascii="Times New Roman" w:hAnsi="Times New Roman"/>
          <w:color w:val="000000"/>
          <w:sz w:val="20"/>
        </w:rPr>
        <w:t xml:space="preserve"> </w:t>
      </w:r>
      <w:r>
        <w:rPr>
          <w:rFonts w:ascii="Arial" w:hAnsi="Arial"/>
          <w:color w:val="000000"/>
          <w:sz w:val="18"/>
        </w:rPr>
        <w:t>shares of Personalis' common stock at an average exercise price of $2.00</w:t>
      </w:r>
      <w:r>
        <w:rPr>
          <w:rFonts w:ascii="Times New Roman" w:hAnsi="Times New Roman"/>
          <w:color w:val="000000"/>
          <w:sz w:val="20"/>
        </w:rPr>
        <w:t xml:space="preserve"> </w:t>
      </w:r>
      <w:r>
        <w:rPr>
          <w:rFonts w:ascii="Arial" w:hAnsi="Arial"/>
          <w:color w:val="000000"/>
          <w:sz w:val="18"/>
        </w:rPr>
        <w:t>per share, and purchasing an additional 3,500,000</w:t>
      </w:r>
      <w:r>
        <w:rPr>
          <w:rFonts w:ascii="Times New Roman" w:hAnsi="Times New Roman"/>
          <w:color w:val="000000"/>
          <w:sz w:val="20"/>
        </w:rPr>
        <w:t xml:space="preserve"> </w:t>
      </w:r>
      <w:r>
        <w:rPr>
          <w:rFonts w:ascii="Arial" w:hAnsi="Arial"/>
          <w:color w:val="000000"/>
          <w:sz w:val="18"/>
        </w:rPr>
        <w:t>shares of Personalis' common stock at a price per share of $5.07</w:t>
      </w:r>
      <w:r>
        <w:rPr>
          <w:rFonts w:ascii="Times New Roman" w:hAnsi="Times New Roman"/>
          <w:color w:val="000000"/>
          <w:sz w:val="20"/>
        </w:rPr>
        <w:t xml:space="preserve"> </w:t>
      </w:r>
      <w:r>
        <w:rPr>
          <w:rFonts w:ascii="Arial" w:hAnsi="Arial"/>
          <w:color w:val="000000"/>
          <w:sz w:val="18"/>
        </w:rPr>
        <w:t>under an investment agreement entered into with Tempus in August 2024.</w:t>
      </w:r>
    </w:p>
    <w:p>
      <w:pPr>
        <w:pStyle w:val="TextBody"/>
        <w:bidi w:val="0"/>
        <w:spacing w:before="200" w:after="283"/>
        <w:jc w:val="both"/>
        <w:rPr>
          <w:rFonts w:ascii="Times New Roman" w:hAnsi="Times New Roman"/>
          <w:sz w:val="20"/>
        </w:rPr>
      </w:pPr>
      <w:r>
        <w:rPr>
          <w:rFonts w:ascii="Arial" w:hAnsi="Arial"/>
          <w:color w:val="000000"/>
          <w:sz w:val="18"/>
        </w:rPr>
        <w:t>On July 20, 2026, the Company, Tempus, Aviary Development, Inc. (a wholly owned subsidiary of Tempus), and Toucan Development, LLC (a wholly owned subsidiary of Tempus) entered into a Merger Agreement. See Note 13 for further details.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Overview of Tempus Agreement</w:t>
      </w:r>
    </w:p>
    <w:p>
      <w:pPr>
        <w:pStyle w:val="TextBody"/>
        <w:bidi w:val="0"/>
        <w:spacing w:before="200" w:after="283"/>
        <w:jc w:val="both"/>
        <w:rPr>
          <w:rFonts w:ascii="Times New Roman" w:hAnsi="Times New Roman"/>
          <w:sz w:val="20"/>
        </w:rPr>
      </w:pPr>
      <w:r>
        <w:rPr>
          <w:rFonts w:ascii="Arial" w:hAnsi="Arial"/>
          <w:color w:val="000000"/>
          <w:sz w:val="18"/>
        </w:rPr>
        <w:t>In November 2023, the Company entered into a Commercialization and Reference Laboratory Agreement (as amended by Amendment No. 1, dated August 16, 2024, Amendment No. 2, dated September 20, 2024, Amendment No. 3, dated December 13, 2024, Amendment No. 4, dated July 8, 2025 and Amendment No. 5 dated September 11, 2025, collectively, the “Tempus Agreement”) with Tempus pursuant to which Tempus markets the Company's NeXT Personal</w:t>
      </w:r>
      <w:r>
        <w:rPr>
          <w:rFonts w:ascii="sans-serif" w:hAnsi="sans-serif"/>
          <w:color w:val="000000"/>
          <w:sz w:val="22"/>
        </w:rPr>
        <w:t>®</w:t>
      </w:r>
      <w:r>
        <w:rPr>
          <w:rFonts w:ascii="Times New Roman" w:hAnsi="Times New Roman"/>
          <w:color w:val="000000"/>
          <w:sz w:val="20"/>
        </w:rPr>
        <w:t xml:space="preserve"> </w:t>
      </w:r>
      <w:r>
        <w:rPr>
          <w:rFonts w:ascii="Arial" w:hAnsi="Arial"/>
          <w:color w:val="000000"/>
          <w:sz w:val="18"/>
        </w:rPr>
        <w:t>Dx test in the United States. The Company performs tests ordered by patients through Tempus and the Company bills the patients or payors. The Company compensates Tempus for orders obtained and results delivered on a per-test basis. The term of the Tempus Agreement is six years, which may be extended for successive one-year terms. Either party may terminate the Tempus Agreement for convenience upon 30 months' prior written notice.</w:t>
      </w:r>
    </w:p>
    <w:p>
      <w:pPr>
        <w:pStyle w:val="TextBody"/>
        <w:bidi w:val="0"/>
        <w:spacing w:before="240" w:after="283"/>
        <w:jc w:val="center"/>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Under the Tempus Agreement, the Company conducted development activities to analytically validate NeXT Personal Dx in three indications: breast cancer, lung cancer and immuno-oncology monitoring. In consideration of the Company performing such development activities, in addition to the activation and first milestone fees, Tempus agreed to pay the Company a second milestone fee of $6.0</w:t>
      </w:r>
      <w:r>
        <w:rPr>
          <w:rFonts w:ascii="Times New Roman" w:hAnsi="Times New Roman"/>
          <w:color w:val="000000"/>
          <w:sz w:val="20"/>
        </w:rPr>
        <w:t xml:space="preserve"> </w:t>
      </w:r>
      <w:r>
        <w:rPr>
          <w:rFonts w:ascii="Arial" w:hAnsi="Arial"/>
          <w:color w:val="000000"/>
          <w:sz w:val="18"/>
        </w:rPr>
        <w:t>million (the "Market Development Fee"), payable in six equal quarterly installments.</w:t>
      </w:r>
    </w:p>
    <w:p>
      <w:pPr>
        <w:pStyle w:val="TextBody"/>
        <w:bidi w:val="0"/>
        <w:spacing w:before="200" w:after="283"/>
        <w:jc w:val="both"/>
        <w:rPr>
          <w:rFonts w:ascii="Arial" w:hAnsi="Arial"/>
          <w:color w:val="000000"/>
          <w:sz w:val="18"/>
        </w:rPr>
      </w:pPr>
      <w:r>
        <w:rPr>
          <w:rFonts w:ascii="Arial" w:hAnsi="Arial"/>
          <w:color w:val="000000"/>
          <w:sz w:val="18"/>
        </w:rPr>
        <w:t>Separately, the parties are performing co-promotion activities, and the Company is compensating Tempus for promotional and commercialization services through the end of 2026.</w:t>
      </w:r>
    </w:p>
    <w:p>
      <w:pPr>
        <w:pStyle w:val="TextBody"/>
        <w:bidi w:val="0"/>
        <w:spacing w:before="200" w:after="283"/>
        <w:jc w:val="both"/>
        <w:rPr>
          <w:rFonts w:ascii="Times New Roman" w:hAnsi="Times New Roman"/>
          <w:sz w:val="20"/>
        </w:rPr>
      </w:pPr>
      <w:r>
        <w:rPr>
          <w:rFonts w:ascii="Arial" w:hAnsi="Arial"/>
          <w:color w:val="000000"/>
          <w:sz w:val="18"/>
        </w:rPr>
        <w:t>The Tempus Agreement also granted Tempus access to initial and longitudinal genomic data derived from performance of the tests and Tempus will have the right to use such data. If Tempus licenses such data to a third party and Tempus recognizes revenue from such license, Tempus will pay the Company a percentage of its gross revenues attributable to such license that is in the range of 10% to 20%. Such revenue share shall be payable during the term of the agreement and for 10 years thereafter. There was no revenue share recognized during the three and six months ended June 30, 2026 and 2025, respectively.</w:t>
      </w:r>
      <w:r>
        <w:rPr>
          <w:rFonts w:ascii="Times New Roman" w:hAnsi="Times New Roman"/>
          <w:color w:val="000000"/>
          <w:sz w:val="20"/>
        </w:rPr>
        <w:t xml:space="preserve"> </w:t>
      </w:r>
    </w:p>
    <w:p>
      <w:pPr>
        <w:pStyle w:val="TextBody"/>
        <w:bidi w:val="0"/>
        <w:spacing w:before="200" w:after="283"/>
        <w:jc w:val="both"/>
        <w:rPr>
          <w:rFonts w:ascii="Arial" w:hAnsi="Arial"/>
          <w:i/>
          <w:color w:val="000000"/>
          <w:sz w:val="18"/>
        </w:rPr>
      </w:pPr>
      <w:r>
        <w:rPr>
          <w:rFonts w:ascii="Arial" w:hAnsi="Arial"/>
          <w:i/>
          <w:color w:val="000000"/>
          <w:sz w:val="18"/>
        </w:rPr>
        <w:t>Impact of Tempus Agreement on the Consolidated Financial Statements</w:t>
      </w:r>
    </w:p>
    <w:p>
      <w:pPr>
        <w:pStyle w:val="TextBody"/>
        <w:bidi w:val="0"/>
        <w:spacing w:before="200" w:after="160"/>
        <w:jc w:val="both"/>
        <w:rPr>
          <w:rFonts w:ascii="Times New Roman" w:hAnsi="Times New Roman"/>
          <w:sz w:val="20"/>
        </w:rPr>
      </w:pPr>
      <w:r>
        <w:rPr>
          <w:rFonts w:ascii="Arial" w:hAnsi="Arial"/>
          <w:color w:val="000000"/>
          <w:sz w:val="18"/>
        </w:rPr>
        <w:t>The Company recognized revenue of $0.1</w:t>
      </w:r>
      <w:r>
        <w:rPr>
          <w:rFonts w:ascii="Times New Roman" w:hAnsi="Times New Roman"/>
          <w:color w:val="000000"/>
          <w:sz w:val="20"/>
        </w:rPr>
        <w:t xml:space="preserve"> </w:t>
      </w:r>
      <w:r>
        <w:rPr>
          <w:rFonts w:ascii="Arial" w:hAnsi="Arial"/>
          <w:color w:val="000000"/>
          <w:sz w:val="18"/>
        </w:rPr>
        <w:t>million and an immaterial amount, respectively, for the three months ended June 30, 2026 and 2025 and $0.3</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and $0.5</w:t>
      </w:r>
      <w:r>
        <w:rPr>
          <w:rFonts w:ascii="Times New Roman" w:hAnsi="Times New Roman"/>
          <w:color w:val="000000"/>
          <w:sz w:val="20"/>
        </w:rPr>
        <w:t xml:space="preserve"> </w:t>
      </w:r>
      <w:r>
        <w:rPr>
          <w:rFonts w:ascii="Arial" w:hAnsi="Arial"/>
          <w:color w:val="000000"/>
          <w:sz w:val="18"/>
        </w:rPr>
        <w:t>million, respectively, for the six months ended June 30, 2026 and 2025, related to the Tempus Agreement and recorded it in its consolidated statements of operations. As of June 30, 2026 and December 31, 2025, $0.1</w:t>
      </w:r>
      <w:r>
        <w:rPr>
          <w:rFonts w:ascii="Times New Roman" w:hAnsi="Times New Roman"/>
          <w:color w:val="000000"/>
          <w:sz w:val="20"/>
        </w:rPr>
        <w:t xml:space="preserve"> </w:t>
      </w:r>
      <w:r>
        <w:rPr>
          <w:rFonts w:ascii="Arial" w:hAnsi="Arial"/>
          <w:color w:val="000000"/>
          <w:sz w:val="18"/>
        </w:rPr>
        <w:t>million and $0.4</w:t>
      </w:r>
      <w:r>
        <w:rPr>
          <w:rFonts w:ascii="Times New Roman" w:hAnsi="Times New Roman"/>
          <w:color w:val="000000"/>
          <w:sz w:val="20"/>
        </w:rPr>
        <w:t xml:space="preserve"> </w:t>
      </w:r>
      <w:r>
        <w:rPr>
          <w:rFonts w:ascii="Arial" w:hAnsi="Arial"/>
          <w:color w:val="000000"/>
          <w:sz w:val="18"/>
        </w:rPr>
        <w:t>million, respectively, was outstanding as a receivable from Tempus and is included in accounts receivable in the consolidated balance sheets.</w:t>
      </w:r>
    </w:p>
    <w:p>
      <w:pPr>
        <w:pStyle w:val="TextBody"/>
        <w:bidi w:val="0"/>
        <w:spacing w:before="40" w:after="283"/>
        <w:jc w:val="both"/>
        <w:rPr>
          <w:rFonts w:ascii="Times New Roman" w:hAnsi="Times New Roman"/>
          <w:sz w:val="20"/>
        </w:rPr>
      </w:pPr>
      <w:r>
        <w:rPr>
          <w:rFonts w:ascii="Arial" w:hAnsi="Arial"/>
          <w:color w:val="000000"/>
          <w:sz w:val="18"/>
        </w:rPr>
        <w:t>The Market Development Fee for the second milestone is recorded as a liability when received and offset against promotional fees as they are paid by the Company to Tempus. As of September 30, 2025, all of the $6.0</w:t>
      </w:r>
      <w:r>
        <w:rPr>
          <w:rFonts w:ascii="Times New Roman" w:hAnsi="Times New Roman"/>
          <w:color w:val="000000"/>
          <w:sz w:val="20"/>
        </w:rPr>
        <w:t xml:space="preserve"> </w:t>
      </w:r>
      <w:r>
        <w:rPr>
          <w:rFonts w:ascii="Arial" w:hAnsi="Arial"/>
          <w:color w:val="000000"/>
          <w:sz w:val="18"/>
        </w:rPr>
        <w:t>million Market Development Fee for the second milestone has been received.</w:t>
      </w:r>
    </w:p>
    <w:p>
      <w:pPr>
        <w:pStyle w:val="TextBody"/>
        <w:bidi w:val="0"/>
        <w:spacing w:before="200" w:after="200"/>
        <w:jc w:val="both"/>
        <w:rPr>
          <w:rFonts w:ascii="Arial" w:hAnsi="Arial"/>
          <w:color w:val="000000"/>
          <w:sz w:val="18"/>
        </w:rPr>
      </w:pPr>
      <w:r>
        <w:rPr>
          <w:rFonts w:ascii="Arial" w:hAnsi="Arial"/>
          <w:color w:val="000000"/>
          <w:sz w:val="18"/>
        </w:rPr>
        <w:t>Amounts of transactions with Tempus during each income statement period presented, along with amounts due from or to Tempus as of each balance sheet date, are as follows (in thousands):</w:t>
      </w:r>
    </w:p>
    <w:tbl>
      <w:tblPr>
        <w:tblW w:w="10205" w:type="dxa"/>
        <w:jc w:val="left"/>
        <w:tblInd w:w="0" w:type="dxa"/>
        <w:tblLayout w:type="fixed"/>
        <w:tblCellMar>
          <w:top w:w="28" w:type="dxa"/>
          <w:left w:w="28" w:type="dxa"/>
          <w:bottom w:w="28" w:type="dxa"/>
          <w:right w:w="28" w:type="dxa"/>
        </w:tblCellMar>
      </w:tblPr>
      <w:tblGrid>
        <w:gridCol w:w="4418"/>
        <w:gridCol w:w="146"/>
        <w:gridCol w:w="323"/>
        <w:gridCol w:w="875"/>
        <w:gridCol w:w="146"/>
        <w:gridCol w:w="146"/>
        <w:gridCol w:w="384"/>
        <w:gridCol w:w="771"/>
        <w:gridCol w:w="146"/>
        <w:gridCol w:w="146"/>
        <w:gridCol w:w="299"/>
        <w:gridCol w:w="809"/>
        <w:gridCol w:w="146"/>
        <w:gridCol w:w="146"/>
        <w:gridCol w:w="299"/>
        <w:gridCol w:w="809"/>
        <w:gridCol w:w="196"/>
      </w:tblGrid>
      <w:tr>
        <w:trPr/>
        <w:tc>
          <w:tcPr>
            <w:tcW w:w="4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Statement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Orders and results delivery fees and net promotional fees—Selling,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55" w:type="dxa"/>
        <w:jc w:val="left"/>
        <w:tblInd w:w="0" w:type="dxa"/>
        <w:tblLayout w:type="fixed"/>
        <w:tblCellMar>
          <w:top w:w="28" w:type="dxa"/>
          <w:left w:w="28" w:type="dxa"/>
          <w:bottom w:w="28" w:type="dxa"/>
          <w:right w:w="28" w:type="dxa"/>
        </w:tblCellMar>
      </w:tblPr>
      <w:tblGrid>
        <w:gridCol w:w="5681"/>
        <w:gridCol w:w="146"/>
        <w:gridCol w:w="315"/>
        <w:gridCol w:w="855"/>
        <w:gridCol w:w="146"/>
        <w:gridCol w:w="146"/>
        <w:gridCol w:w="425"/>
        <w:gridCol w:w="1150"/>
        <w:gridCol w:w="591"/>
      </w:tblGrid>
      <w:tr>
        <w:trPr/>
        <w:tc>
          <w:tcPr>
            <w:tcW w:w="5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 and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and accrued liabilities to Tempus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Unamortized Market Development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accounts payable and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color w:val="000000"/>
          <w:sz w:val="18"/>
          <w:u w:val="single"/>
        </w:rPr>
      </w:pPr>
      <w:r>
        <w:rPr>
          <w:rFonts w:ascii="Arial" w:hAnsi="Arial"/>
          <w:color w:val="000000"/>
          <w:sz w:val="18"/>
          <w:u w:val="single"/>
        </w:rPr>
        <w:t>Merck</w:t>
      </w:r>
    </w:p>
    <w:p>
      <w:pPr>
        <w:pStyle w:val="TextBody"/>
        <w:bidi w:val="0"/>
        <w:spacing w:before="200" w:after="283"/>
        <w:jc w:val="left"/>
        <w:rPr>
          <w:rFonts w:ascii="Arial" w:hAnsi="Arial"/>
          <w:i/>
          <w:color w:val="000000"/>
          <w:sz w:val="18"/>
        </w:rPr>
      </w:pPr>
      <w:r>
        <w:rPr>
          <w:rFonts w:ascii="Arial" w:hAnsi="Arial"/>
          <w:i/>
          <w:color w:val="000000"/>
          <w:sz w:val="18"/>
        </w:rPr>
        <w:t>Investment Agreement with Merck</w:t>
      </w:r>
    </w:p>
    <w:p>
      <w:pPr>
        <w:pStyle w:val="TextBody"/>
        <w:bidi w:val="0"/>
        <w:spacing w:before="200" w:after="160"/>
        <w:jc w:val="both"/>
        <w:rPr>
          <w:rFonts w:ascii="Times New Roman" w:hAnsi="Times New Roman"/>
          <w:sz w:val="20"/>
        </w:rPr>
      </w:pPr>
      <w:r>
        <w:rPr>
          <w:rFonts w:ascii="Arial" w:hAnsi="Arial"/>
          <w:color w:val="000000"/>
          <w:sz w:val="18"/>
        </w:rPr>
        <w:t>On December 19, 2024, the Company entered into an investment agreement (the "Merck Investment Agreement") with Merck under which the Company issued and sold 14,044,943</w:t>
      </w:r>
      <w:r>
        <w:rPr>
          <w:rFonts w:ascii="Times New Roman" w:hAnsi="Times New Roman"/>
          <w:color w:val="000000"/>
          <w:sz w:val="20"/>
        </w:rPr>
        <w:t xml:space="preserve"> </w:t>
      </w:r>
      <w:r>
        <w:rPr>
          <w:rFonts w:ascii="Arial" w:hAnsi="Arial"/>
          <w:color w:val="000000"/>
          <w:sz w:val="18"/>
        </w:rPr>
        <w:t>shares of common stock at a price per share of $3.56, representing the last reported closing price of the common stock. The Company received $50.0</w:t>
      </w:r>
      <w:r>
        <w:rPr>
          <w:rFonts w:ascii="Times New Roman" w:hAnsi="Times New Roman"/>
          <w:color w:val="000000"/>
          <w:sz w:val="20"/>
        </w:rPr>
        <w:t xml:space="preserve"> </w:t>
      </w:r>
      <w:r>
        <w:rPr>
          <w:rFonts w:ascii="Arial" w:hAnsi="Arial"/>
          <w:color w:val="000000"/>
          <w:sz w:val="18"/>
        </w:rPr>
        <w:t>million of cash from the sale of the shares and incurred $0.3</w:t>
      </w:r>
      <w:r>
        <w:rPr>
          <w:rFonts w:ascii="Times New Roman" w:hAnsi="Times New Roman"/>
          <w:color w:val="000000"/>
          <w:sz w:val="20"/>
        </w:rPr>
        <w:t xml:space="preserve"> </w:t>
      </w:r>
      <w:r>
        <w:rPr>
          <w:rFonts w:ascii="Arial" w:hAnsi="Arial"/>
          <w:color w:val="000000"/>
          <w:sz w:val="18"/>
        </w:rPr>
        <w:t>million of issuance costs directly related to the sale. Pursuant to the terms of the Merck Investment Agreement, the Company agreed to reserve $10.0</w:t>
      </w:r>
      <w:r>
        <w:rPr>
          <w:rFonts w:ascii="Times New Roman" w:hAnsi="Times New Roman"/>
          <w:color w:val="000000"/>
          <w:sz w:val="20"/>
        </w:rPr>
        <w:t xml:space="preserve"> </w:t>
      </w:r>
      <w:r>
        <w:rPr>
          <w:rFonts w:ascii="Arial" w:hAnsi="Arial"/>
          <w:color w:val="000000"/>
          <w:sz w:val="18"/>
        </w:rPr>
        <w:t>million of the proceeds to open an ISO-certified laboratory in a region outside of the United States, with such region mutually agreed upon by the Company and Merck. This cash was not legally restricted under the Merck Investment Agreement and therefore included in cash and cash equivalents as of June 30, 2026 and December 31, 2025. Concurrently with the execution of the Merger Agreement, Merck entered into a Voting Agreement with the Company. See Note 13 for details.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Before Merck became a related party in December 2024, the Company entered into a Master Service Agreement (the “Master Agreement”), in June 2017, as amended from time to time, with Merck for the performance of DNA and RNA sequencing analysis and data interpretation services, as well as synthesis and/or analysis of chemical compounds, genetic material and related samples for preclinical research purposes. In February 2024, the Company entered into an amendment whereby Merck engaged the Company to provide clinical laboratory services in connection with Merck's clinical studies.</w:t>
      </w:r>
    </w:p>
    <w:p>
      <w:pPr>
        <w:pStyle w:val="TextBody"/>
        <w:bidi w:val="0"/>
        <w:spacing w:before="200" w:after="283"/>
        <w:jc w:val="both"/>
        <w:rPr>
          <w:rFonts w:ascii="Times New Roman" w:hAnsi="Times New Roman"/>
          <w:sz w:val="20"/>
        </w:rPr>
      </w:pPr>
      <w:r>
        <w:rPr>
          <w:rFonts w:ascii="Arial" w:hAnsi="Arial"/>
          <w:color w:val="000000"/>
          <w:sz w:val="18"/>
        </w:rPr>
        <w:t>The Company invoiced $8.3</w:t>
      </w:r>
      <w:r>
        <w:rPr>
          <w:rFonts w:ascii="Times New Roman" w:hAnsi="Times New Roman"/>
          <w:color w:val="000000"/>
          <w:sz w:val="20"/>
        </w:rPr>
        <w:t xml:space="preserve"> </w:t>
      </w:r>
      <w:r>
        <w:rPr>
          <w:rFonts w:ascii="Arial" w:hAnsi="Arial"/>
          <w:color w:val="000000"/>
          <w:sz w:val="18"/>
        </w:rPr>
        <w:t>million and $1.9</w:t>
      </w:r>
      <w:r>
        <w:rPr>
          <w:rFonts w:ascii="Times New Roman" w:hAnsi="Times New Roman"/>
          <w:color w:val="000000"/>
          <w:sz w:val="20"/>
        </w:rPr>
        <w:t xml:space="preserve"> </w:t>
      </w:r>
      <w:r>
        <w:rPr>
          <w:rFonts w:ascii="Arial" w:hAnsi="Arial"/>
          <w:color w:val="000000"/>
          <w:sz w:val="18"/>
        </w:rPr>
        <w:t>million, respectively, for the three months ended June 30, 2026 and 2025, and $11.2</w:t>
      </w:r>
      <w:r>
        <w:rPr>
          <w:rFonts w:ascii="Times New Roman" w:hAnsi="Times New Roman"/>
          <w:color w:val="000000"/>
          <w:sz w:val="20"/>
        </w:rPr>
        <w:t xml:space="preserve"> </w:t>
      </w:r>
      <w:r>
        <w:rPr>
          <w:rFonts w:ascii="Arial" w:hAnsi="Arial"/>
          <w:color w:val="000000"/>
          <w:sz w:val="18"/>
        </w:rPr>
        <w:t>million and $2.4</w:t>
      </w:r>
      <w:r>
        <w:rPr>
          <w:rFonts w:ascii="Times New Roman" w:hAnsi="Times New Roman"/>
          <w:color w:val="000000"/>
          <w:sz w:val="20"/>
        </w:rPr>
        <w:t xml:space="preserve"> </w:t>
      </w:r>
      <w:r>
        <w:rPr>
          <w:rFonts w:ascii="Arial" w:hAnsi="Arial"/>
          <w:color w:val="000000"/>
          <w:sz w:val="18"/>
        </w:rPr>
        <w:t>million, respectively, for the six months ended June 30, 2026 and 2025,</w:t>
      </w:r>
      <w:r>
        <w:rPr>
          <w:rFonts w:ascii="Times New Roman" w:hAnsi="Times New Roman"/>
          <w:color w:val="000000"/>
          <w:sz w:val="20"/>
        </w:rPr>
        <w:t xml:space="preserve"> </w:t>
      </w:r>
      <w:r>
        <w:rPr>
          <w:rFonts w:ascii="Arial" w:hAnsi="Arial"/>
          <w:color w:val="000000"/>
          <w:sz w:val="18"/>
        </w:rPr>
        <w:t>pursuant to the terms of the Master Agreement and recorded as revenue in its consolidated statements of operations. As of June 30, 2026 and December 31, 2025, $7.4</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and $2.0</w:t>
      </w:r>
      <w:r>
        <w:rPr>
          <w:rFonts w:ascii="Times New Roman" w:hAnsi="Times New Roman"/>
          <w:color w:val="000000"/>
          <w:sz w:val="20"/>
        </w:rPr>
        <w:t xml:space="preserve"> </w:t>
      </w:r>
      <w:r>
        <w:rPr>
          <w:rFonts w:ascii="Arial" w:hAnsi="Arial"/>
          <w:color w:val="000000"/>
          <w:sz w:val="18"/>
        </w:rPr>
        <w:t>million, respectively, was outstanding as a receivable from Merck and included in accounts receivable in the consolidated balance sheets.</w:t>
      </w:r>
    </w:p>
    <w:p>
      <w:pPr>
        <w:pStyle w:val="TextBody"/>
        <w:bidi w:val="0"/>
        <w:spacing w:before="240" w:after="283"/>
        <w:jc w:val="center"/>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21" w:name="note_9_stock_based_compensation"/>
      <w:bookmarkEnd w:id="21"/>
      <w:r>
        <w:rPr>
          <w:rFonts w:ascii="Arial" w:hAnsi="Arial"/>
          <w:b/>
          <w:color w:val="000000"/>
          <w:sz w:val="18"/>
        </w:rPr>
        <w:t>Note 9. Stock-Based Compensation</w:t>
      </w:r>
    </w:p>
    <w:p>
      <w:pPr>
        <w:pStyle w:val="TextBody"/>
        <w:bidi w:val="0"/>
        <w:spacing w:before="200" w:after="200"/>
        <w:jc w:val="both"/>
        <w:rPr>
          <w:rFonts w:ascii="Arial" w:hAnsi="Arial"/>
          <w:color w:val="000000"/>
          <w:sz w:val="18"/>
        </w:rPr>
      </w:pPr>
      <w:r>
        <w:rPr>
          <w:rFonts w:ascii="Arial" w:hAnsi="Arial"/>
          <w:color w:val="000000"/>
          <w:sz w:val="18"/>
        </w:rPr>
        <w:t>Shares of common stock reserved for issuance under the Company’s equity incentive plans as of June 30, 2026 were as follows:</w:t>
      </w:r>
    </w:p>
    <w:tbl>
      <w:tblPr>
        <w:tblW w:w="5790" w:type="dxa"/>
        <w:jc w:val="left"/>
        <w:tblInd w:w="0" w:type="dxa"/>
        <w:tblLayout w:type="fixed"/>
        <w:tblCellMar>
          <w:top w:w="28" w:type="dxa"/>
          <w:left w:w="28" w:type="dxa"/>
          <w:bottom w:w="28" w:type="dxa"/>
          <w:right w:w="28" w:type="dxa"/>
        </w:tblCellMar>
      </w:tblPr>
      <w:tblGrid>
        <w:gridCol w:w="4071"/>
        <w:gridCol w:w="146"/>
        <w:gridCol w:w="146"/>
        <w:gridCol w:w="1036"/>
        <w:gridCol w:w="391"/>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Outstanding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16,432,314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Reserved for future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6,196,789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Reserved for future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420,936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common stock reserved for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23,050,039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i/>
          <w:color w:val="000000"/>
          <w:sz w:val="18"/>
        </w:rPr>
      </w:pPr>
      <w:r>
        <w:rPr>
          <w:rFonts w:ascii="Arial" w:hAnsi="Arial"/>
          <w:i/>
          <w:color w:val="000000"/>
          <w:sz w:val="18"/>
        </w:rPr>
        <w:t>Service-Based Stock Option Activity</w:t>
      </w:r>
    </w:p>
    <w:p>
      <w:pPr>
        <w:pStyle w:val="TextBody"/>
        <w:bidi w:val="0"/>
        <w:spacing w:before="200" w:after="200"/>
        <w:jc w:val="both"/>
        <w:rPr>
          <w:rFonts w:ascii="Arial" w:hAnsi="Arial"/>
          <w:color w:val="000000"/>
          <w:sz w:val="18"/>
        </w:rPr>
      </w:pPr>
      <w:r>
        <w:rPr>
          <w:rFonts w:ascii="Arial" w:hAnsi="Arial"/>
          <w:color w:val="000000"/>
          <w:sz w:val="18"/>
        </w:rPr>
        <w:t>A summary of the Company’s service-based stock option activity (excluding performance-based stock option activity, which is presented separately below)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4140"/>
        <w:gridCol w:w="146"/>
        <w:gridCol w:w="146"/>
        <w:gridCol w:w="1036"/>
        <w:gridCol w:w="166"/>
        <w:gridCol w:w="146"/>
        <w:gridCol w:w="367"/>
        <w:gridCol w:w="815"/>
        <w:gridCol w:w="146"/>
        <w:gridCol w:w="146"/>
        <w:gridCol w:w="303"/>
        <w:gridCol w:w="971"/>
        <w:gridCol w:w="146"/>
        <w:gridCol w:w="146"/>
        <w:gridCol w:w="211"/>
        <w:gridCol w:w="781"/>
        <w:gridCol w:w="393"/>
      </w:tblGrid>
      <w:tr>
        <w:trPr/>
        <w:tc>
          <w:tcPr>
            <w:tcW w:w="4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Service-Based Options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12,521,560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51,539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3,727,752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Options 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15,138,282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128,777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Options 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7,819,993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69,658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Options granted to new hires generally vest over a four-year period, with 25% vesting at the end of one year and the remaining vesting monthly thereafter. Options granted as merit awards generally vest monthly over a three- or four-year period.</w:t>
      </w:r>
    </w:p>
    <w:p>
      <w:pPr>
        <w:pStyle w:val="TextBody"/>
        <w:bidi w:val="0"/>
        <w:spacing w:before="200" w:after="283"/>
        <w:jc w:val="both"/>
        <w:rPr>
          <w:rFonts w:ascii="Times New Roman" w:hAnsi="Times New Roman"/>
          <w:sz w:val="20"/>
        </w:rPr>
      </w:pPr>
      <w:r>
        <w:rPr>
          <w:rFonts w:ascii="Arial" w:hAnsi="Arial"/>
          <w:color w:val="000000"/>
          <w:sz w:val="18"/>
        </w:rPr>
        <w:t>The aggregate intrinsic value of unexercised stock options is calculated as the difference between the closing price of the Company’s common stock of $13.40</w:t>
      </w:r>
      <w:r>
        <w:rPr>
          <w:rFonts w:ascii="Times New Roman" w:hAnsi="Times New Roman"/>
          <w:color w:val="000000"/>
          <w:sz w:val="20"/>
        </w:rPr>
        <w:t xml:space="preserve"> </w:t>
      </w:r>
      <w:r>
        <w:rPr>
          <w:rFonts w:ascii="Arial" w:hAnsi="Arial"/>
          <w:color w:val="000000"/>
          <w:sz w:val="18"/>
        </w:rPr>
        <w:t>on June 30, 2026 and the exercise prices of the underlying stock options. Out-of-the money stock options are excluded from aggregate intrinsic value.</w:t>
      </w:r>
    </w:p>
    <w:p>
      <w:pPr>
        <w:pStyle w:val="TextBody"/>
        <w:bidi w:val="0"/>
        <w:spacing w:before="200" w:after="283"/>
        <w:jc w:val="both"/>
        <w:rPr>
          <w:rFonts w:ascii="Times New Roman" w:hAnsi="Times New Roman"/>
          <w:sz w:val="20"/>
        </w:rPr>
      </w:pPr>
      <w:r>
        <w:rPr>
          <w:rFonts w:ascii="Arial" w:hAnsi="Arial"/>
          <w:color w:val="000000"/>
          <w:sz w:val="18"/>
        </w:rPr>
        <w:t>The weighted-average grant date fair value of options granted was $5.35</w:t>
      </w:r>
      <w:r>
        <w:rPr>
          <w:rFonts w:ascii="Times New Roman" w:hAnsi="Times New Roman"/>
          <w:color w:val="000000"/>
          <w:sz w:val="20"/>
        </w:rPr>
        <w:t xml:space="preserve"> </w:t>
      </w:r>
      <w:r>
        <w:rPr>
          <w:rFonts w:ascii="Arial" w:hAnsi="Arial"/>
          <w:color w:val="000000"/>
          <w:sz w:val="18"/>
        </w:rPr>
        <w:t>and $3.47</w:t>
      </w:r>
      <w:r>
        <w:rPr>
          <w:rFonts w:ascii="Times New Roman" w:hAnsi="Times New Roman"/>
          <w:color w:val="000000"/>
          <w:sz w:val="20"/>
        </w:rPr>
        <w:t xml:space="preserve"> </w:t>
      </w:r>
      <w:r>
        <w:rPr>
          <w:rFonts w:ascii="Arial" w:hAnsi="Arial"/>
          <w:color w:val="000000"/>
          <w:sz w:val="18"/>
        </w:rPr>
        <w:t>per share for the three months ended June 30, 2026 and 2025, respectively, and $5.30</w:t>
      </w:r>
      <w:r>
        <w:rPr>
          <w:rFonts w:ascii="Times New Roman" w:hAnsi="Times New Roman"/>
          <w:color w:val="000000"/>
          <w:sz w:val="20"/>
        </w:rPr>
        <w:t xml:space="preserve"> </w:t>
      </w:r>
      <w:r>
        <w:rPr>
          <w:rFonts w:ascii="Arial" w:hAnsi="Arial"/>
          <w:color w:val="000000"/>
          <w:sz w:val="18"/>
        </w:rPr>
        <w:t>and $2.74</w:t>
      </w:r>
      <w:r>
        <w:rPr>
          <w:rFonts w:ascii="Times New Roman" w:hAnsi="Times New Roman"/>
          <w:color w:val="000000"/>
          <w:sz w:val="20"/>
        </w:rPr>
        <w:t xml:space="preserve"> </w:t>
      </w:r>
      <w:r>
        <w:rPr>
          <w:rFonts w:ascii="Arial" w:hAnsi="Arial"/>
          <w:color w:val="000000"/>
          <w:sz w:val="18"/>
        </w:rPr>
        <w:t>per share for the six months ended June 30, 2026 and 2025, respectively. The total intrinsic value of options exercised was $5.1</w:t>
      </w:r>
      <w:r>
        <w:rPr>
          <w:rFonts w:ascii="Times New Roman" w:hAnsi="Times New Roman"/>
          <w:color w:val="000000"/>
          <w:sz w:val="20"/>
        </w:rPr>
        <w:t xml:space="preserve"> </w:t>
      </w:r>
      <w:r>
        <w:rPr>
          <w:rFonts w:ascii="Arial" w:hAnsi="Arial"/>
          <w:color w:val="000000"/>
          <w:sz w:val="18"/>
        </w:rPr>
        <w:t>million and immaterial</w:t>
      </w:r>
      <w:r>
        <w:rPr>
          <w:rFonts w:ascii="Times New Roman" w:hAnsi="Times New Roman"/>
          <w:color w:val="000000"/>
          <w:sz w:val="20"/>
        </w:rPr>
        <w:t xml:space="preserve"> </w:t>
      </w:r>
      <w:r>
        <w:rPr>
          <w:rFonts w:ascii="Arial" w:hAnsi="Arial"/>
          <w:color w:val="000000"/>
          <w:sz w:val="18"/>
        </w:rPr>
        <w:t>for the three months ended June 30, 2026 and 2025, respectively, and $5.6</w:t>
      </w:r>
      <w:r>
        <w:rPr>
          <w:rFonts w:ascii="Times New Roman" w:hAnsi="Times New Roman"/>
          <w:color w:val="000000"/>
          <w:sz w:val="20"/>
        </w:rPr>
        <w:t xml:space="preserve"> </w:t>
      </w:r>
      <w:r>
        <w:rPr>
          <w:rFonts w:ascii="Arial" w:hAnsi="Arial"/>
          <w:color w:val="000000"/>
          <w:sz w:val="18"/>
        </w:rPr>
        <w:t>million and $0.2</w:t>
      </w:r>
      <w:r>
        <w:rPr>
          <w:rFonts w:ascii="Times New Roman" w:hAnsi="Times New Roman"/>
          <w:color w:val="000000"/>
          <w:sz w:val="20"/>
        </w:rPr>
        <w:t xml:space="preserve"> </w:t>
      </w:r>
      <w:r>
        <w:rPr>
          <w:rFonts w:ascii="Arial" w:hAnsi="Arial"/>
          <w:color w:val="000000"/>
          <w:sz w:val="18"/>
        </w:rPr>
        <w:t>million for the six months ended June 30, 2026 and 2025, respectively. As of June 30, 2026, the unrecognized stock-based compensation cost of unvested options was $27.9</w:t>
      </w:r>
      <w:r>
        <w:rPr>
          <w:rFonts w:ascii="Times New Roman" w:hAnsi="Times New Roman"/>
          <w:color w:val="000000"/>
          <w:sz w:val="20"/>
        </w:rPr>
        <w:t xml:space="preserve"> </w:t>
      </w:r>
      <w:r>
        <w:rPr>
          <w:rFonts w:ascii="Arial" w:hAnsi="Arial"/>
          <w:color w:val="000000"/>
          <w:sz w:val="18"/>
        </w:rPr>
        <w:t>million, which is expected to be recognized over a weighted-average period of 2.3</w:t>
      </w:r>
      <w:r>
        <w:rPr>
          <w:rFonts w:ascii="Times New Roman" w:hAnsi="Times New Roman"/>
          <w:color w:val="000000"/>
          <w:sz w:val="20"/>
        </w:rPr>
        <w:t xml:space="preserve"> </w:t>
      </w:r>
      <w:r>
        <w:rPr>
          <w:rFonts w:ascii="Arial" w:hAnsi="Arial"/>
          <w:color w:val="000000"/>
          <w:sz w:val="18"/>
        </w:rPr>
        <w:t>years.</w:t>
      </w:r>
    </w:p>
    <w:p>
      <w:pPr>
        <w:pStyle w:val="TextBody"/>
        <w:bidi w:val="0"/>
        <w:spacing w:before="200" w:after="283"/>
        <w:jc w:val="both"/>
        <w:rPr>
          <w:rFonts w:ascii="Arial" w:hAnsi="Arial"/>
          <w:i/>
          <w:color w:val="000000"/>
          <w:sz w:val="18"/>
        </w:rPr>
      </w:pPr>
      <w:r>
        <w:rPr>
          <w:rFonts w:ascii="Arial" w:hAnsi="Arial"/>
          <w:i/>
          <w:color w:val="000000"/>
          <w:sz w:val="18"/>
        </w:rPr>
        <w:t>Valuation of Service-Based Stock Options</w:t>
      </w:r>
    </w:p>
    <w:p>
      <w:pPr>
        <w:pStyle w:val="TextBody"/>
        <w:bidi w:val="0"/>
        <w:spacing w:before="200" w:after="200"/>
        <w:jc w:val="both"/>
        <w:rPr>
          <w:rFonts w:ascii="Times New Roman" w:hAnsi="Times New Roman"/>
          <w:sz w:val="20"/>
        </w:rPr>
      </w:pPr>
      <w:r>
        <w:rPr>
          <w:rFonts w:ascii="Arial" w:hAnsi="Arial"/>
          <w:color w:val="000000"/>
          <w:sz w:val="18"/>
        </w:rPr>
        <w:t>The Company estimated the fair value of service-based stock options using the Black-Scholes option-pricing model. Fair value of stock options is recognized as compensation expense on a straight-line basis over the requisite service periods of the awards.</w:t>
      </w:r>
      <w:r>
        <w:rPr>
          <w:rFonts w:ascii="Times New Roman" w:hAnsi="Times New Roman"/>
          <w:color w:val="000000"/>
          <w:sz w:val="20"/>
        </w:rPr>
        <w:t xml:space="preserve"> </w:t>
      </w:r>
      <w:r>
        <w:rPr>
          <w:rFonts w:ascii="Arial" w:hAnsi="Arial"/>
          <w:color w:val="000000"/>
          <w:sz w:val="18"/>
        </w:rPr>
        <w:t>Fair value of stock options was estimated using the following range of assumptions:</w:t>
      </w:r>
    </w:p>
    <w:tbl>
      <w:tblPr>
        <w:tblW w:w="8134" w:type="dxa"/>
        <w:jc w:val="left"/>
        <w:tblInd w:w="0" w:type="dxa"/>
        <w:tblLayout w:type="fixed"/>
        <w:tblCellMar>
          <w:top w:w="28" w:type="dxa"/>
          <w:left w:w="28" w:type="dxa"/>
          <w:bottom w:w="28" w:type="dxa"/>
          <w:right w:w="28" w:type="dxa"/>
        </w:tblCellMar>
      </w:tblPr>
      <w:tblGrid>
        <w:gridCol w:w="2101"/>
        <w:gridCol w:w="146"/>
        <w:gridCol w:w="1351"/>
        <w:gridCol w:w="146"/>
        <w:gridCol w:w="1351"/>
        <w:gridCol w:w="146"/>
        <w:gridCol w:w="1351"/>
        <w:gridCol w:w="146"/>
        <w:gridCol w:w="139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5.50</w:t>
            </w:r>
            <w:r>
              <w:rPr>
                <w:rFonts w:ascii="Times New Roman" w:hAnsi="Times New Roman"/>
                <w:color w:val="000000"/>
                <w:sz w:val="20"/>
              </w:rPr>
              <w:t> </w:t>
            </w:r>
            <w:r>
              <w:rPr>
                <w:rFonts w:ascii="Arial" w:hAnsi="Arial"/>
                <w:color w:val="000000"/>
                <w:sz w:val="18"/>
              </w:rPr>
              <w:t>- 6.08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5.50</w:t>
            </w:r>
            <w:r>
              <w:rPr>
                <w:rFonts w:ascii="Times New Roman" w:hAnsi="Times New Roman"/>
                <w:color w:val="000000"/>
                <w:sz w:val="20"/>
              </w:rPr>
              <w:t> </w:t>
            </w:r>
            <w:r>
              <w:rPr>
                <w:rFonts w:ascii="Arial" w:hAnsi="Arial"/>
                <w:color w:val="000000"/>
                <w:sz w:val="18"/>
              </w:rPr>
              <w:t>- 6.08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5.50 - 6.08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90.51</w:t>
            </w:r>
            <w:r>
              <w:rPr>
                <w:rFonts w:ascii="Times New Roman" w:hAnsi="Times New Roman"/>
                <w:color w:val="000000"/>
                <w:sz w:val="20"/>
              </w:rPr>
              <w:t> </w:t>
            </w:r>
            <w:r>
              <w:rPr>
                <w:rFonts w:ascii="Arial" w:hAnsi="Arial"/>
                <w:color w:val="000000"/>
                <w:sz w:val="18"/>
              </w:rPr>
              <w:t>- 98.40%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83.80</w:t>
            </w:r>
            <w:r>
              <w:rPr>
                <w:rFonts w:ascii="Times New Roman" w:hAnsi="Times New Roman"/>
                <w:color w:val="000000"/>
                <w:sz w:val="20"/>
              </w:rPr>
              <w:t> </w:t>
            </w:r>
            <w:r>
              <w:rPr>
                <w:rFonts w:ascii="Arial" w:hAnsi="Arial"/>
                <w:color w:val="000000"/>
                <w:sz w:val="18"/>
              </w:rPr>
              <w:t>- 85.12%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90.51</w:t>
            </w:r>
            <w:r>
              <w:rPr>
                <w:rFonts w:ascii="Times New Roman" w:hAnsi="Times New Roman"/>
                <w:color w:val="000000"/>
                <w:sz w:val="20"/>
              </w:rPr>
              <w:t> </w:t>
            </w:r>
            <w:r>
              <w:rPr>
                <w:rFonts w:ascii="Arial" w:hAnsi="Arial"/>
                <w:color w:val="000000"/>
                <w:sz w:val="18"/>
              </w:rPr>
              <w:t>- 98.40%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83.72</w:t>
            </w:r>
            <w:r>
              <w:rPr>
                <w:rFonts w:ascii="Times New Roman" w:hAnsi="Times New Roman"/>
                <w:color w:val="000000"/>
                <w:sz w:val="20"/>
              </w:rPr>
              <w:t> </w:t>
            </w:r>
            <w:r>
              <w:rPr>
                <w:rFonts w:ascii="Arial" w:hAnsi="Arial"/>
                <w:color w:val="000000"/>
                <w:sz w:val="18"/>
              </w:rPr>
              <w:t>- 85.12%</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3.84</w:t>
            </w:r>
            <w:r>
              <w:rPr>
                <w:rFonts w:ascii="Times New Roman" w:hAnsi="Times New Roman"/>
                <w:color w:val="000000"/>
                <w:sz w:val="20"/>
              </w:rPr>
              <w:t> </w:t>
            </w:r>
            <w:r>
              <w:rPr>
                <w:rFonts w:ascii="Arial" w:hAnsi="Arial"/>
                <w:color w:val="000000"/>
                <w:sz w:val="18"/>
              </w:rPr>
              <w:t>- 4.35%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4.07</w:t>
            </w:r>
            <w:r>
              <w:rPr>
                <w:rFonts w:ascii="Times New Roman" w:hAnsi="Times New Roman"/>
                <w:color w:val="000000"/>
                <w:sz w:val="20"/>
              </w:rPr>
              <w:t> </w:t>
            </w:r>
            <w:r>
              <w:rPr>
                <w:rFonts w:ascii="Arial" w:hAnsi="Arial"/>
                <w:color w:val="000000"/>
                <w:sz w:val="18"/>
              </w:rPr>
              <w:t>- 4.16%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3.71</w:t>
            </w:r>
            <w:r>
              <w:rPr>
                <w:rFonts w:ascii="Times New Roman" w:hAnsi="Times New Roman"/>
                <w:color w:val="000000"/>
                <w:sz w:val="20"/>
              </w:rPr>
              <w:t> </w:t>
            </w:r>
            <w:r>
              <w:rPr>
                <w:rFonts w:ascii="Arial" w:hAnsi="Arial"/>
                <w:color w:val="000000"/>
                <w:sz w:val="18"/>
              </w:rPr>
              <w:t>- 4.35%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4.07</w:t>
            </w:r>
            <w:r>
              <w:rPr>
                <w:rFonts w:ascii="Times New Roman" w:hAnsi="Times New Roman"/>
                <w:color w:val="000000"/>
                <w:sz w:val="20"/>
              </w:rPr>
              <w:t> </w:t>
            </w:r>
            <w:r>
              <w:rPr>
                <w:rFonts w:ascii="Arial" w:hAnsi="Arial"/>
                <w:color w:val="000000"/>
                <w:sz w:val="18"/>
              </w:rPr>
              <w:t>- 4.50%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r>
    </w:tbl>
    <w:p>
      <w:pPr>
        <w:pStyle w:val="TextBody"/>
        <w:bidi w:val="0"/>
        <w:spacing w:before="200" w:after="283"/>
        <w:jc w:val="both"/>
        <w:rPr>
          <w:rFonts w:ascii="Arial" w:hAnsi="Arial"/>
          <w:i/>
          <w:color w:val="000000"/>
          <w:sz w:val="18"/>
        </w:rPr>
      </w:pPr>
      <w:r>
        <w:rPr>
          <w:rFonts w:ascii="Arial" w:hAnsi="Arial"/>
          <w:i/>
          <w:color w:val="000000"/>
          <w:sz w:val="18"/>
        </w:rPr>
        <w:t>Performance-Based Stock Option Activity</w:t>
      </w:r>
    </w:p>
    <w:p>
      <w:pPr>
        <w:pStyle w:val="TextBody"/>
        <w:bidi w:val="0"/>
        <w:spacing w:before="200" w:after="283"/>
        <w:jc w:val="both"/>
        <w:rPr>
          <w:rFonts w:ascii="Times New Roman" w:hAnsi="Times New Roman"/>
          <w:sz w:val="20"/>
        </w:rPr>
      </w:pPr>
      <w:r>
        <w:rPr>
          <w:rFonts w:ascii="Arial" w:hAnsi="Arial"/>
          <w:color w:val="000000"/>
          <w:sz w:val="18"/>
        </w:rPr>
        <w:t>During 2024, the Company granted performance-based stock options ("PSOs") to the executive leadership team. The PSOs were eligible to vest upon attainment of certain Medicare reimbursement coverages (as certified by the Compensation Committee) by the end of 2025 and subject to continuous service by the executives. Fair value was estimated using the Black-Scholes option-pricing model. Total grant-date fair value of the PSOs was $0.3</w:t>
      </w:r>
      <w:r>
        <w:rPr>
          <w:rFonts w:ascii="Times New Roman" w:hAnsi="Times New Roman"/>
          <w:color w:val="000000"/>
          <w:sz w:val="20"/>
        </w:rPr>
        <w:t xml:space="preserve"> </w:t>
      </w:r>
      <w:r>
        <w:rPr>
          <w:rFonts w:ascii="Arial" w:hAnsi="Arial"/>
          <w:color w:val="000000"/>
          <w:sz w:val="18"/>
        </w:rPr>
        <w:t>million. As of December 31, 2025, not all the Medicare reimbursement coverages were obtained and the Company canceled a portion of the PSOs. Accordingly, the Company reversed previously recognized stock-based compensation expense associated with the performance conditions that were not met. For the three and six months ended June 30, 2026, the recognized stock-based compensation cost related to vested PSOs was nil and immaterial, respectively.</w:t>
      </w:r>
    </w:p>
    <w:p>
      <w:pPr>
        <w:pStyle w:val="TextBody"/>
        <w:bidi w:val="0"/>
        <w:spacing w:before="240" w:after="283"/>
        <w:jc w:val="center"/>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A summary of the Company's performance-based stock option activity for the six months ended June 30, 2026 is as follows:</w:t>
      </w:r>
    </w:p>
    <w:tbl>
      <w:tblPr>
        <w:tblW w:w="9681" w:type="dxa"/>
        <w:jc w:val="left"/>
        <w:tblInd w:w="0" w:type="dxa"/>
        <w:tblLayout w:type="fixed"/>
        <w:tblCellMar>
          <w:top w:w="28" w:type="dxa"/>
          <w:left w:w="28" w:type="dxa"/>
          <w:bottom w:w="28" w:type="dxa"/>
          <w:right w:w="28" w:type="dxa"/>
        </w:tblCellMar>
      </w:tblPr>
      <w:tblGrid>
        <w:gridCol w:w="4336"/>
        <w:gridCol w:w="146"/>
        <w:gridCol w:w="168"/>
        <w:gridCol w:w="777"/>
        <w:gridCol w:w="166"/>
        <w:gridCol w:w="146"/>
        <w:gridCol w:w="373"/>
        <w:gridCol w:w="827"/>
        <w:gridCol w:w="146"/>
        <w:gridCol w:w="146"/>
        <w:gridCol w:w="247"/>
        <w:gridCol w:w="789"/>
        <w:gridCol w:w="146"/>
        <w:gridCol w:w="146"/>
        <w:gridCol w:w="310"/>
        <w:gridCol w:w="62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Performance-Based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Options 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i/>
          <w:color w:val="000000"/>
          <w:sz w:val="18"/>
        </w:rPr>
      </w:pPr>
      <w:r>
        <w:rPr>
          <w:rFonts w:ascii="Arial" w:hAnsi="Arial"/>
          <w:i/>
          <w:color w:val="000000"/>
          <w:sz w:val="18"/>
        </w:rPr>
        <w:t>Restricted Stock Units ("RSU") Activity and Valuation</w:t>
      </w:r>
    </w:p>
    <w:p>
      <w:pPr>
        <w:pStyle w:val="TextBody"/>
        <w:bidi w:val="0"/>
        <w:spacing w:before="200" w:after="200"/>
        <w:jc w:val="both"/>
        <w:rPr>
          <w:rFonts w:ascii="Arial" w:hAnsi="Arial"/>
          <w:color w:val="000000"/>
          <w:sz w:val="18"/>
        </w:rPr>
      </w:pPr>
      <w:r>
        <w:rPr>
          <w:rFonts w:ascii="Arial" w:hAnsi="Arial"/>
          <w:color w:val="000000"/>
          <w:sz w:val="18"/>
        </w:rPr>
        <w:t>A summary of the Company’s RSU activity for the six months ended June 30, 2026 is as follows:</w:t>
      </w:r>
    </w:p>
    <w:tbl>
      <w:tblPr>
        <w:tblW w:w="8056" w:type="dxa"/>
        <w:jc w:val="left"/>
        <w:tblInd w:w="0" w:type="dxa"/>
        <w:tblLayout w:type="fixed"/>
        <w:tblCellMar>
          <w:top w:w="28" w:type="dxa"/>
          <w:left w:w="28" w:type="dxa"/>
          <w:bottom w:w="28" w:type="dxa"/>
          <w:right w:w="28" w:type="dxa"/>
        </w:tblCellMar>
      </w:tblPr>
      <w:tblGrid>
        <w:gridCol w:w="3646"/>
        <w:gridCol w:w="146"/>
        <w:gridCol w:w="187"/>
        <w:gridCol w:w="1003"/>
        <w:gridCol w:w="213"/>
        <w:gridCol w:w="187"/>
        <w:gridCol w:w="313"/>
        <w:gridCol w:w="692"/>
        <w:gridCol w:w="187"/>
        <w:gridCol w:w="187"/>
        <w:gridCol w:w="271"/>
        <w:gridCol w:w="733"/>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Unvested Service-Based Restricted Stock Units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 xml:space="preserve">Grant Date </w:t>
              <w:br/>
              <w:t>Fair Value</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Aggregate </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131,257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540,651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635,200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The Company grants RSUs to employees to receive shares of the Company’s common stock. The RSUs awarded are subject to the individual’s continued service to the Company through each applicable vesting date. RSUs granted to new hires generally vest annually over a four-year period. RSUs granted as merit awards generally vest semi-annually over a three- or four-year period. The Company accounts for the fair value of RSUs using the closing market price of the Company’s common stock on the date of grant.</w:t>
      </w:r>
    </w:p>
    <w:p>
      <w:pPr>
        <w:pStyle w:val="TextBody"/>
        <w:bidi w:val="0"/>
        <w:spacing w:before="200" w:after="283"/>
        <w:jc w:val="both"/>
        <w:rPr>
          <w:rFonts w:ascii="Times New Roman" w:hAnsi="Times New Roman"/>
          <w:sz w:val="20"/>
        </w:rPr>
      </w:pPr>
      <w:r>
        <w:rPr>
          <w:rFonts w:ascii="Arial" w:hAnsi="Arial"/>
          <w:color w:val="000000"/>
          <w:sz w:val="18"/>
        </w:rPr>
        <w:t>The aggregate fair value of unvested RSUs is calculated using the closing price of the Company’s common stock of $13.40</w:t>
      </w:r>
      <w:r>
        <w:rPr>
          <w:rFonts w:ascii="Times New Roman" w:hAnsi="Times New Roman"/>
          <w:color w:val="000000"/>
          <w:sz w:val="20"/>
        </w:rPr>
        <w:t xml:space="preserve"> </w:t>
      </w:r>
      <w:r>
        <w:rPr>
          <w:rFonts w:ascii="Arial" w:hAnsi="Arial"/>
          <w:color w:val="000000"/>
          <w:sz w:val="18"/>
        </w:rPr>
        <w:t>on June 30, 2026. The total fair value of shares vested were $0.2</w:t>
      </w:r>
      <w:r>
        <w:rPr>
          <w:rFonts w:ascii="Times New Roman" w:hAnsi="Times New Roman"/>
          <w:color w:val="000000"/>
          <w:sz w:val="20"/>
        </w:rPr>
        <w:t xml:space="preserve"> </w:t>
      </w:r>
      <w:r>
        <w:rPr>
          <w:rFonts w:ascii="Arial" w:hAnsi="Arial"/>
          <w:color w:val="000000"/>
          <w:sz w:val="18"/>
        </w:rPr>
        <w:t>million and $0.6</w:t>
      </w:r>
      <w:r>
        <w:rPr>
          <w:rFonts w:ascii="Times New Roman" w:hAnsi="Times New Roman"/>
          <w:color w:val="000000"/>
          <w:sz w:val="20"/>
        </w:rPr>
        <w:t xml:space="preserve"> </w:t>
      </w:r>
      <w:r>
        <w:rPr>
          <w:rFonts w:ascii="Arial" w:hAnsi="Arial"/>
          <w:color w:val="000000"/>
          <w:sz w:val="18"/>
        </w:rPr>
        <w:t>million for the three months ended June 30, 2026 and 2025, respectively, and $0.2</w:t>
      </w:r>
      <w:r>
        <w:rPr>
          <w:rFonts w:ascii="Times New Roman" w:hAnsi="Times New Roman"/>
          <w:color w:val="000000"/>
          <w:sz w:val="20"/>
        </w:rPr>
        <w:t xml:space="preserve"> </w:t>
      </w:r>
      <w:r>
        <w:rPr>
          <w:rFonts w:ascii="Arial" w:hAnsi="Arial"/>
          <w:color w:val="000000"/>
          <w:sz w:val="18"/>
        </w:rPr>
        <w:t>million and $0.7</w:t>
      </w:r>
      <w:r>
        <w:rPr>
          <w:rFonts w:ascii="Times New Roman" w:hAnsi="Times New Roman"/>
          <w:color w:val="000000"/>
          <w:sz w:val="20"/>
        </w:rPr>
        <w:t xml:space="preserve"> </w:t>
      </w:r>
      <w:r>
        <w:rPr>
          <w:rFonts w:ascii="Arial" w:hAnsi="Arial"/>
          <w:color w:val="000000"/>
          <w:sz w:val="18"/>
        </w:rPr>
        <w:t>million for the six months ended June 30, 2026 and 2025, respectively. As of June 30, 2026, the unrecognized stock-based compensation cost of unvested RSUs was $3.3</w:t>
      </w:r>
      <w:r>
        <w:rPr>
          <w:rFonts w:ascii="Times New Roman" w:hAnsi="Times New Roman"/>
          <w:color w:val="000000"/>
          <w:sz w:val="20"/>
        </w:rPr>
        <w:t xml:space="preserve"> </w:t>
      </w:r>
      <w:r>
        <w:rPr>
          <w:rFonts w:ascii="Arial" w:hAnsi="Arial"/>
          <w:color w:val="000000"/>
          <w:sz w:val="18"/>
        </w:rPr>
        <w:t>million, which is expected to be recognized over a weighted-average period of 2.2</w:t>
      </w:r>
      <w:r>
        <w:rPr>
          <w:rFonts w:ascii="Times New Roman" w:hAnsi="Times New Roman"/>
          <w:color w:val="000000"/>
          <w:sz w:val="20"/>
        </w:rPr>
        <w:t xml:space="preserve"> </w:t>
      </w:r>
      <w:r>
        <w:rPr>
          <w:rFonts w:ascii="Arial" w:hAnsi="Arial"/>
          <w:color w:val="000000"/>
          <w:sz w:val="18"/>
        </w:rPr>
        <w:t>years.</w:t>
      </w:r>
    </w:p>
    <w:p>
      <w:pPr>
        <w:pStyle w:val="TextBody"/>
        <w:bidi w:val="0"/>
        <w:spacing w:before="200" w:after="283"/>
        <w:jc w:val="both"/>
        <w:rPr>
          <w:rFonts w:ascii="Arial" w:hAnsi="Arial"/>
          <w:color w:val="000000"/>
          <w:sz w:val="18"/>
        </w:rPr>
      </w:pPr>
      <w:r>
        <w:rPr>
          <w:rFonts w:ascii="Arial" w:hAnsi="Arial"/>
          <w:color w:val="000000"/>
          <w:sz w:val="18"/>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pStyle w:val="TextBody"/>
        <w:bidi w:val="0"/>
        <w:spacing w:before="200" w:after="283"/>
        <w:jc w:val="both"/>
        <w:rPr>
          <w:rFonts w:ascii="Arial" w:hAnsi="Arial"/>
          <w:i/>
          <w:color w:val="000000"/>
          <w:sz w:val="18"/>
        </w:rPr>
      </w:pPr>
      <w:r>
        <w:rPr>
          <w:rFonts w:ascii="Arial" w:hAnsi="Arial"/>
          <w:i/>
          <w:color w:val="000000"/>
          <w:sz w:val="18"/>
        </w:rPr>
        <w:t>Performance-Based RSU Activity</w:t>
      </w:r>
    </w:p>
    <w:p>
      <w:pPr>
        <w:pStyle w:val="TextBody"/>
        <w:bidi w:val="0"/>
        <w:spacing w:before="200" w:after="283"/>
        <w:jc w:val="both"/>
        <w:rPr>
          <w:rFonts w:ascii="Times New Roman" w:hAnsi="Times New Roman"/>
          <w:sz w:val="20"/>
        </w:rPr>
      </w:pPr>
      <w:r>
        <w:rPr>
          <w:rFonts w:ascii="Arial" w:hAnsi="Arial"/>
          <w:color w:val="000000"/>
          <w:sz w:val="18"/>
        </w:rPr>
        <w:t>In March 2025, the Company granted performance-based RSUs ("PSUs") to the executive leadership team. A percentage of the number of RSUs will vest based upon achieving the Company's operational target as of the end of 2026, and subject to continuous service by the executives throughout March 2028. Fifty percent of the aggregate number of achieved PSUs (if any) will vest upon certification in March 2027, with the remaining fifty percent vesting in March 2028.</w:t>
      </w:r>
      <w:r>
        <w:rPr>
          <w:rFonts w:ascii="Times New Roman" w:hAnsi="Times New Roman"/>
          <w:color w:val="000000"/>
          <w:sz w:val="20"/>
        </w:rPr>
        <w:t xml:space="preserve"> </w:t>
      </w:r>
      <w:r>
        <w:rPr>
          <w:rFonts w:ascii="Arial" w:hAnsi="Arial"/>
          <w:color w:val="000000"/>
          <w:sz w:val="18"/>
        </w:rPr>
        <w:t>The total grant-date fair value of the PSUs was $2.1</w:t>
      </w:r>
      <w:r>
        <w:rPr>
          <w:rFonts w:ascii="Times New Roman" w:hAnsi="Times New Roman"/>
          <w:color w:val="000000"/>
          <w:sz w:val="20"/>
        </w:rPr>
        <w:t xml:space="preserve"> </w:t>
      </w:r>
      <w:r>
        <w:rPr>
          <w:rFonts w:ascii="Arial" w:hAnsi="Arial"/>
          <w:color w:val="000000"/>
          <w:sz w:val="18"/>
        </w:rPr>
        <w:t>million. As of December 31, 2025, the Company no longer considered the achievement of the operational target to be probable. Accordingly, the Company reversed previously recognized stock-based compensation expense and no stock-based compensation cost was recognized for the year ended December 31, 2025, and the three and six months ended June 30, 2026.</w:t>
      </w:r>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A summary of the Company's PSUs activity for the six months ended June 30, 2026 is as follows:</w:t>
      </w:r>
    </w:p>
    <w:tbl>
      <w:tblPr>
        <w:tblW w:w="8287" w:type="dxa"/>
        <w:jc w:val="left"/>
        <w:tblInd w:w="0" w:type="dxa"/>
        <w:tblLayout w:type="fixed"/>
        <w:tblCellMar>
          <w:top w:w="28" w:type="dxa"/>
          <w:left w:w="28" w:type="dxa"/>
          <w:bottom w:w="28" w:type="dxa"/>
          <w:right w:w="28" w:type="dxa"/>
        </w:tblCellMar>
      </w:tblPr>
      <w:tblGrid>
        <w:gridCol w:w="3646"/>
        <w:gridCol w:w="146"/>
        <w:gridCol w:w="210"/>
        <w:gridCol w:w="1124"/>
        <w:gridCol w:w="210"/>
        <w:gridCol w:w="210"/>
        <w:gridCol w:w="313"/>
        <w:gridCol w:w="692"/>
        <w:gridCol w:w="210"/>
        <w:gridCol w:w="210"/>
        <w:gridCol w:w="303"/>
        <w:gridCol w:w="822"/>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Unvested Performance-Based Restricted Stock Units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 xml:space="preserve">Grant Date </w:t>
              <w:br/>
              <w:t>Fair Value</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Aggregate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575,000</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575,000</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pPr>
      <w:r>
        <w:rPr/>
        <w:t> </w:t>
      </w:r>
    </w:p>
    <w:p>
      <w:pPr>
        <w:pStyle w:val="TextBody"/>
        <w:bidi w:val="0"/>
        <w:spacing w:before="200" w:after="283"/>
        <w:jc w:val="both"/>
        <w:rPr>
          <w:rFonts w:ascii="Arial" w:hAnsi="Arial"/>
          <w:i/>
          <w:color w:val="000000"/>
          <w:sz w:val="18"/>
        </w:rPr>
      </w:pPr>
      <w:r>
        <w:rPr>
          <w:rFonts w:ascii="Arial" w:hAnsi="Arial"/>
          <w:i/>
          <w:color w:val="000000"/>
          <w:sz w:val="18"/>
        </w:rPr>
        <w:t>ESPP Activity and Valuation</w:t>
      </w:r>
    </w:p>
    <w:p>
      <w:pPr>
        <w:pStyle w:val="TextBody"/>
        <w:bidi w:val="0"/>
        <w:spacing w:before="200" w:after="283"/>
        <w:jc w:val="both"/>
        <w:rPr>
          <w:rFonts w:ascii="Times New Roman" w:hAnsi="Times New Roman"/>
          <w:sz w:val="20"/>
        </w:rPr>
      </w:pPr>
      <w:r>
        <w:rPr>
          <w:rFonts w:ascii="Arial" w:hAnsi="Arial"/>
          <w:color w:val="000000"/>
          <w:sz w:val="18"/>
        </w:rPr>
        <w:t>During the three and six months ended June 30, 2026 and 2025, 197,710</w:t>
      </w:r>
      <w:r>
        <w:rPr>
          <w:rFonts w:ascii="Times New Roman" w:hAnsi="Times New Roman"/>
          <w:color w:val="000000"/>
          <w:sz w:val="20"/>
        </w:rPr>
        <w:t xml:space="preserve"> </w:t>
      </w:r>
      <w:r>
        <w:rPr>
          <w:rFonts w:ascii="Arial" w:hAnsi="Arial"/>
          <w:color w:val="000000"/>
          <w:sz w:val="18"/>
        </w:rPr>
        <w:t>and 193,738</w:t>
      </w:r>
      <w:r>
        <w:rPr>
          <w:rFonts w:ascii="Times New Roman" w:hAnsi="Times New Roman"/>
          <w:color w:val="000000"/>
          <w:sz w:val="20"/>
        </w:rPr>
        <w:t xml:space="preserve"> </w:t>
      </w:r>
      <w:r>
        <w:rPr>
          <w:rFonts w:ascii="Arial" w:hAnsi="Arial"/>
          <w:color w:val="000000"/>
          <w:sz w:val="18"/>
        </w:rPr>
        <w:t>shares of common stock were purchased under the Employee Stock Purchase Plan ("ESPP"), respectively. The fair value of stock purchase rights granted under the ESPP was estimated using the following range of assumptions:</w:t>
      </w:r>
    </w:p>
    <w:p>
      <w:pPr>
        <w:pStyle w:val="TextBody"/>
        <w:bidi w:val="0"/>
        <w:spacing w:before="200" w:after="283"/>
        <w:jc w:val="both"/>
        <w:rPr/>
      </w:pPr>
      <w:r>
        <w:rPr/>
        <w:t> </w:t>
      </w:r>
    </w:p>
    <w:tbl>
      <w:tblPr>
        <w:tblW w:w="5381" w:type="dxa"/>
        <w:jc w:val="left"/>
        <w:tblInd w:w="0" w:type="dxa"/>
        <w:tblLayout w:type="fixed"/>
        <w:tblCellMar>
          <w:top w:w="28" w:type="dxa"/>
          <w:left w:w="28" w:type="dxa"/>
          <w:bottom w:w="28" w:type="dxa"/>
          <w:right w:w="28" w:type="dxa"/>
        </w:tblCellMar>
      </w:tblPr>
      <w:tblGrid>
        <w:gridCol w:w="2101"/>
        <w:gridCol w:w="146"/>
        <w:gridCol w:w="1387"/>
        <w:gridCol w:w="275"/>
        <w:gridCol w:w="1472"/>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and Six Months Ended June 30,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78.55%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92.85%</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4.22%</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$1.59</w:t>
            </w:r>
          </w:p>
        </w:tc>
      </w:tr>
    </w:tbl>
    <w:p>
      <w:pPr>
        <w:pStyle w:val="TextBody"/>
        <w:bidi w:val="0"/>
        <w:spacing w:before="200" w:after="283"/>
        <w:jc w:val="both"/>
        <w:rPr>
          <w:rFonts w:ascii="Arial" w:hAnsi="Arial"/>
          <w:i/>
          <w:color w:val="000000"/>
          <w:sz w:val="18"/>
        </w:rPr>
      </w:pPr>
      <w:r>
        <w:rPr>
          <w:rFonts w:ascii="Arial" w:hAnsi="Arial"/>
          <w:i/>
          <w:color w:val="000000"/>
          <w:sz w:val="18"/>
        </w:rPr>
        <w:t>Stock-Based Compensation Expense</w:t>
      </w:r>
    </w:p>
    <w:p>
      <w:pPr>
        <w:pStyle w:val="TextBody"/>
        <w:bidi w:val="0"/>
        <w:spacing w:before="200" w:after="200"/>
        <w:jc w:val="both"/>
        <w:rPr>
          <w:rFonts w:ascii="Arial" w:hAnsi="Arial"/>
          <w:color w:val="000000"/>
          <w:sz w:val="18"/>
        </w:rPr>
      </w:pPr>
      <w:r>
        <w:rPr>
          <w:rFonts w:ascii="Arial" w:hAnsi="Arial"/>
          <w:color w:val="000000"/>
          <w:sz w:val="18"/>
        </w:rPr>
        <w:t>The following is a summary of stock-based compensation expense by award type (in thousands):</w:t>
      </w:r>
    </w:p>
    <w:tbl>
      <w:tblPr>
        <w:tblW w:w="9246" w:type="dxa"/>
        <w:jc w:val="left"/>
        <w:tblInd w:w="0" w:type="dxa"/>
        <w:tblLayout w:type="fixed"/>
        <w:tblCellMar>
          <w:top w:w="28" w:type="dxa"/>
          <w:left w:w="28" w:type="dxa"/>
          <w:bottom w:w="28" w:type="dxa"/>
          <w:right w:w="28" w:type="dxa"/>
        </w:tblCellMar>
      </w:tblPr>
      <w:tblGrid>
        <w:gridCol w:w="3711"/>
        <w:gridCol w:w="146"/>
        <w:gridCol w:w="279"/>
        <w:gridCol w:w="757"/>
        <w:gridCol w:w="193"/>
        <w:gridCol w:w="193"/>
        <w:gridCol w:w="279"/>
        <w:gridCol w:w="757"/>
        <w:gridCol w:w="146"/>
        <w:gridCol w:w="146"/>
        <w:gridCol w:w="255"/>
        <w:gridCol w:w="692"/>
        <w:gridCol w:w="177"/>
        <w:gridCol w:w="177"/>
        <w:gridCol w:w="255"/>
        <w:gridCol w:w="692"/>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Service-based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Service-based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ESPP</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following is a summary of stock-based compensation expense by function (in thousands):</w:t>
      </w:r>
    </w:p>
    <w:tbl>
      <w:tblPr>
        <w:tblW w:w="9246" w:type="dxa"/>
        <w:jc w:val="left"/>
        <w:tblInd w:w="0" w:type="dxa"/>
        <w:tblLayout w:type="fixed"/>
        <w:tblCellMar>
          <w:top w:w="28" w:type="dxa"/>
          <w:left w:w="28" w:type="dxa"/>
          <w:bottom w:w="28" w:type="dxa"/>
          <w:right w:w="28" w:type="dxa"/>
        </w:tblCellMar>
      </w:tblPr>
      <w:tblGrid>
        <w:gridCol w:w="3711"/>
        <w:gridCol w:w="146"/>
        <w:gridCol w:w="279"/>
        <w:gridCol w:w="757"/>
        <w:gridCol w:w="193"/>
        <w:gridCol w:w="193"/>
        <w:gridCol w:w="279"/>
        <w:gridCol w:w="757"/>
        <w:gridCol w:w="146"/>
        <w:gridCol w:w="146"/>
        <w:gridCol w:w="255"/>
        <w:gridCol w:w="692"/>
        <w:gridCol w:w="177"/>
        <w:gridCol w:w="177"/>
        <w:gridCol w:w="255"/>
        <w:gridCol w:w="692"/>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Arial" w:hAnsi="Arial"/>
          <w:i/>
          <w:color w:val="000000"/>
          <w:sz w:val="18"/>
        </w:rPr>
      </w:pPr>
      <w:r>
        <w:rPr>
          <w:rFonts w:ascii="Arial" w:hAnsi="Arial"/>
          <w:i/>
          <w:color w:val="000000"/>
          <w:sz w:val="18"/>
        </w:rPr>
        <w:t>At-the-Market Equity Offerings</w:t>
      </w:r>
    </w:p>
    <w:p>
      <w:pPr>
        <w:pStyle w:val="TextBody"/>
        <w:bidi w:val="0"/>
        <w:spacing w:before="200" w:after="283"/>
        <w:jc w:val="both"/>
        <w:rPr>
          <w:rFonts w:ascii="Arial" w:hAnsi="Arial"/>
          <w:color w:val="000000"/>
          <w:sz w:val="18"/>
        </w:rPr>
      </w:pPr>
      <w:r>
        <w:rPr>
          <w:rFonts w:ascii="Arial" w:hAnsi="Arial"/>
          <w:color w:val="000000"/>
          <w:sz w:val="18"/>
        </w:rPr>
        <w:t>In December 2021, the Company entered into an At-the-Market ("ATM") Sales Agreement with BTIG, LLC (“BTIG”), as amended in December 2023 (the “Sales Agreement”), under which it was permitted to offer and sell its common stock from time to time through BTIG as its sales agent. BTIG agreed to use commercially reasonable efforts to sell the Company’s common stock from time to time, based upon instructions from the Company (including any price, time or size limits or other customary parameters or conditions the Company may impose). The Company agreed to pay BTIG a commission of up to 3% of the gross sales proceeds of any common stock sold through BTIG under the Sales Agreement. The Company was not obligated to make any sales of common stock under the Sales Agreement.</w:t>
      </w:r>
    </w:p>
    <w:p>
      <w:pPr>
        <w:pStyle w:val="TextBody"/>
        <w:bidi w:val="0"/>
        <w:spacing w:before="200" w:after="283"/>
        <w:jc w:val="both"/>
        <w:rPr>
          <w:rFonts w:ascii="Times New Roman" w:hAnsi="Times New Roman"/>
          <w:sz w:val="20"/>
        </w:rPr>
      </w:pPr>
      <w:r>
        <w:rPr>
          <w:rFonts w:ascii="Arial" w:hAnsi="Arial"/>
          <w:color w:val="000000"/>
          <w:sz w:val="18"/>
        </w:rPr>
        <w:t>In December 2024, the Company entered into an Amended and Restated At-the-Market Sales Agreement (the "Amended Sales Agreement") with Piper Sandler &amp; Co. (“Piper”) and BTIG. The Amended Sales Agreement amends and restates the Sales Agreement to add Piper as a sales agent (Piper and BTIG, together, the “Sales Agents”), among certain other changes. The Sales Agents have agreed to use commercially reasonable efforts to sell the Company's common stock from time to time, based upon instructions from the Company (including any price, time or size limits or other customary parameters or conditions the Company may impose). The Company agreed to pay the applicable Sales Agent a commission of up to 3% of the gross sales proceeds of any common stock sold through such Sales Agent under the Amended Sales Agreement. The Company is not obligated to make any sales of common stock under the Amended Sales Agreement</w:t>
      </w:r>
      <w:r>
        <w:rPr>
          <w:rFonts w:ascii="Arial" w:hAnsi="Arial"/>
          <w:color w:val="000000"/>
          <w:sz w:val="18"/>
          <w:u w:val="single"/>
        </w:rPr>
        <w:t>.</w:t>
      </w:r>
    </w:p>
    <w:p>
      <w:pPr>
        <w:pStyle w:val="TextBody"/>
        <w:bidi w:val="0"/>
        <w:spacing w:before="200" w:after="283"/>
        <w:jc w:val="both"/>
        <w:rPr>
          <w:rFonts w:ascii="Times New Roman" w:hAnsi="Times New Roman"/>
          <w:sz w:val="20"/>
        </w:rPr>
      </w:pPr>
      <w:r>
        <w:rPr>
          <w:rFonts w:ascii="Arial" w:hAnsi="Arial"/>
          <w:color w:val="000000"/>
          <w:sz w:val="18"/>
        </w:rPr>
        <w:t>During the three months ended June 30, 2026, the Company issued and sold 700,000</w:t>
      </w:r>
      <w:r>
        <w:rPr>
          <w:rFonts w:ascii="Times New Roman" w:hAnsi="Times New Roman"/>
          <w:color w:val="000000"/>
          <w:sz w:val="20"/>
        </w:rPr>
        <w:t xml:space="preserve"> </w:t>
      </w:r>
      <w:r>
        <w:rPr>
          <w:rFonts w:ascii="Arial" w:hAnsi="Arial"/>
          <w:color w:val="000000"/>
          <w:sz w:val="18"/>
        </w:rPr>
        <w:t>shares of its common stock under the Amended Sales Agreement at a weighted-average price of $6.60</w:t>
      </w:r>
      <w:r>
        <w:rPr>
          <w:rFonts w:ascii="Times New Roman" w:hAnsi="Times New Roman"/>
          <w:color w:val="000000"/>
          <w:sz w:val="20"/>
        </w:rPr>
        <w:t xml:space="preserve"> </w:t>
      </w:r>
      <w:r>
        <w:rPr>
          <w:rFonts w:ascii="Arial" w:hAnsi="Arial"/>
          <w:color w:val="000000"/>
          <w:sz w:val="18"/>
        </w:rPr>
        <w:t>per share and received $4.6</w:t>
      </w:r>
      <w:r>
        <w:rPr>
          <w:rFonts w:ascii="Times New Roman" w:hAnsi="Times New Roman"/>
          <w:color w:val="000000"/>
          <w:sz w:val="20"/>
        </w:rPr>
        <w:t xml:space="preserve"> </w:t>
      </w:r>
      <w:r>
        <w:rPr>
          <w:rFonts w:ascii="Arial" w:hAnsi="Arial"/>
          <w:color w:val="000000"/>
          <w:sz w:val="18"/>
        </w:rPr>
        <w:t>million in proceeds, net of commissions.</w:t>
      </w:r>
    </w:p>
    <w:p>
      <w:pPr>
        <w:pStyle w:val="TextBody"/>
        <w:bidi w:val="0"/>
        <w:spacing w:before="200" w:after="283"/>
        <w:jc w:val="both"/>
        <w:rPr>
          <w:rFonts w:ascii="Times New Roman" w:hAnsi="Times New Roman"/>
          <w:sz w:val="20"/>
        </w:rPr>
      </w:pPr>
      <w:r>
        <w:rPr>
          <w:rFonts w:ascii="Arial" w:hAnsi="Arial"/>
          <w:color w:val="000000"/>
          <w:sz w:val="18"/>
        </w:rPr>
        <w:t>During the six months ended June 30, 2026, the Company issued and sold 2,827,155</w:t>
      </w:r>
      <w:r>
        <w:rPr>
          <w:rFonts w:ascii="Times New Roman" w:hAnsi="Times New Roman"/>
          <w:color w:val="000000"/>
          <w:sz w:val="20"/>
        </w:rPr>
        <w:t xml:space="preserve"> </w:t>
      </w:r>
      <w:r>
        <w:rPr>
          <w:rFonts w:ascii="Arial" w:hAnsi="Arial"/>
          <w:color w:val="000000"/>
          <w:sz w:val="18"/>
        </w:rPr>
        <w:t>shares of its common stock under the Amended Sales Agreement at a weighted-average price of</w:t>
      </w:r>
      <w:r>
        <w:rPr>
          <w:rFonts w:ascii="Times New Roman" w:hAnsi="Times New Roman"/>
          <w:color w:val="000000"/>
          <w:sz w:val="20"/>
        </w:rPr>
        <w:t xml:space="preserve"> </w:t>
      </w:r>
      <w:r>
        <w:rPr>
          <w:rFonts w:ascii="Arial" w:hAnsi="Arial"/>
          <w:color w:val="000000"/>
          <w:sz w:val="18"/>
        </w:rPr>
        <w:t>$9.02</w:t>
      </w:r>
      <w:r>
        <w:rPr>
          <w:rFonts w:ascii="Times New Roman" w:hAnsi="Times New Roman"/>
          <w:color w:val="000000"/>
          <w:sz w:val="20"/>
        </w:rPr>
        <w:t xml:space="preserve"> </w:t>
      </w:r>
      <w:r>
        <w:rPr>
          <w:rFonts w:ascii="Arial" w:hAnsi="Arial"/>
          <w:color w:val="000000"/>
          <w:sz w:val="18"/>
        </w:rPr>
        <w:t>per share and received $25.5</w:t>
      </w:r>
      <w:r>
        <w:rPr>
          <w:rFonts w:ascii="Times New Roman" w:hAnsi="Times New Roman"/>
          <w:color w:val="000000"/>
          <w:sz w:val="20"/>
        </w:rPr>
        <w:t xml:space="preserve"> </w:t>
      </w:r>
      <w:r>
        <w:rPr>
          <w:rFonts w:ascii="Arial" w:hAnsi="Arial"/>
          <w:color w:val="000000"/>
          <w:sz w:val="18"/>
        </w:rPr>
        <w:t>million in proceeds, net of commissions.</w:t>
      </w:r>
    </w:p>
    <w:p>
      <w:pPr>
        <w:pStyle w:val="TextBody"/>
        <w:bidi w:val="0"/>
        <w:spacing w:before="240" w:after="283"/>
        <w:jc w:val="center"/>
        <w:rPr>
          <w:rFonts w:ascii="Arial" w:hAnsi="Arial"/>
          <w:color w:val="000000"/>
          <w:sz w:val="18"/>
        </w:rPr>
      </w:pPr>
      <w:r>
        <w:rPr>
          <w:rFonts w:ascii="Arial" w:hAnsi="Arial"/>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18"/>
        </w:rPr>
      </w:pPr>
      <w:bookmarkStart w:id="22" w:name="note_10_segment"/>
      <w:bookmarkEnd w:id="22"/>
      <w:r>
        <w:rPr>
          <w:rFonts w:ascii="Arial" w:hAnsi="Arial"/>
          <w:b/>
          <w:color w:val="000000"/>
          <w:sz w:val="18"/>
        </w:rPr>
        <w:t>Note 10. Segment and Geographic Information</w:t>
      </w:r>
    </w:p>
    <w:p>
      <w:pPr>
        <w:pStyle w:val="TextBody"/>
        <w:bidi w:val="0"/>
        <w:spacing w:before="200" w:after="283"/>
        <w:jc w:val="both"/>
        <w:rPr>
          <w:rFonts w:ascii="Times New Roman" w:hAnsi="Times New Roman"/>
          <w:sz w:val="20"/>
        </w:rPr>
      </w:pPr>
      <w:r>
        <w:rPr>
          <w:rFonts w:ascii="Arial" w:hAnsi="Arial"/>
          <w:color w:val="000000"/>
          <w:sz w:val="18"/>
        </w:rPr>
        <w:t>The Company operates in one</w:t>
      </w:r>
      <w:r>
        <w:rPr>
          <w:rFonts w:ascii="Times New Roman" w:hAnsi="Times New Roman"/>
          <w:color w:val="000000"/>
          <w:sz w:val="20"/>
        </w:rPr>
        <w:t xml:space="preserve"> </w:t>
      </w:r>
      <w:r>
        <w:rPr>
          <w:rFonts w:ascii="Arial" w:hAnsi="Arial"/>
          <w:color w:val="000000"/>
          <w:sz w:val="18"/>
        </w:rPr>
        <w:t>reportable segment, which is to provide advanced cancer genomic testing services for precision oncology and personalized testing. The Company develops, markets, and sells testing services to pharmaceutical companies, biopharmaceutical companies, diagnostic companies,</w:t>
      </w:r>
      <w:r>
        <w:rPr>
          <w:rFonts w:ascii="Times New Roman" w:hAnsi="Times New Roman"/>
          <w:color w:val="000000"/>
          <w:sz w:val="20"/>
        </w:rPr>
        <w:t xml:space="preserve"> </w:t>
      </w:r>
      <w:r>
        <w:rPr>
          <w:rFonts w:ascii="Arial" w:hAnsi="Arial"/>
          <w:color w:val="000000"/>
          <w:sz w:val="18"/>
        </w:rPr>
        <w:t>universities, non-profits, government entities and cancer patients. It derives revenue primarily in the United States from the sale of genomic testing services and manages its business activities on a consolidated basis. The Company does not have intra-entity sales or transfers. The Company’s CODM is its CEO, who reviews consolidated operating results, accompanied by disaggregated information about net revenues by customer types, as presented below, to make decisions about allocating resources and assessing performance for the entire Company.</w:t>
      </w:r>
    </w:p>
    <w:p>
      <w:pPr>
        <w:pStyle w:val="TextBody"/>
        <w:bidi w:val="0"/>
        <w:spacing w:before="200" w:after="283"/>
        <w:jc w:val="both"/>
        <w:rPr>
          <w:rFonts w:ascii="Arial" w:hAnsi="Arial"/>
          <w:color w:val="000000"/>
          <w:sz w:val="18"/>
        </w:rPr>
      </w:pPr>
      <w:r>
        <w:rPr>
          <w:rFonts w:ascii="Arial" w:hAnsi="Arial"/>
          <w:color w:val="000000"/>
          <w:sz w:val="18"/>
        </w:rPr>
        <w:t>Consolidated net loss is used to monitor actual performance compared to plans and forecasts. The CODM assesses performance based on revenue growth which is reported on the consolidated statements of operations. The accounting policies of the segment are the same as those described in the summary of significant accounting policies. The measure of segment assets is reported on the consolidated balance sheet as total assets. Substantially all of the Company’s long-lived assets are located in the United States.</w:t>
      </w:r>
    </w:p>
    <w:p>
      <w:pPr>
        <w:pStyle w:val="TextBody"/>
        <w:bidi w:val="0"/>
        <w:spacing w:before="200" w:after="200"/>
        <w:jc w:val="both"/>
        <w:rPr>
          <w:rFonts w:ascii="Arial" w:hAnsi="Arial"/>
          <w:color w:val="000000"/>
          <w:sz w:val="18"/>
        </w:rPr>
      </w:pPr>
      <w:r>
        <w:rPr>
          <w:rFonts w:ascii="Arial" w:hAnsi="Arial"/>
          <w:color w:val="000000"/>
          <w:sz w:val="18"/>
        </w:rPr>
        <w:t>The Company attributes revenues to geographic region based on the billing addresses of customers. The following table presents net revenues by geographic region:</w:t>
      </w:r>
    </w:p>
    <w:tbl>
      <w:tblPr>
        <w:tblW w:w="6262" w:type="dxa"/>
        <w:jc w:val="left"/>
        <w:tblInd w:w="0" w:type="dxa"/>
        <w:tblLayout w:type="fixed"/>
        <w:tblCellMar>
          <w:top w:w="28" w:type="dxa"/>
          <w:left w:w="28" w:type="dxa"/>
          <w:bottom w:w="28" w:type="dxa"/>
          <w:right w:w="28" w:type="dxa"/>
        </w:tblCellMar>
      </w:tblPr>
      <w:tblGrid>
        <w:gridCol w:w="1216"/>
        <w:gridCol w:w="146"/>
        <w:gridCol w:w="1068"/>
        <w:gridCol w:w="324"/>
        <w:gridCol w:w="1068"/>
        <w:gridCol w:w="146"/>
        <w:gridCol w:w="957"/>
        <w:gridCol w:w="290"/>
        <w:gridCol w:w="1047"/>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98%</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96%</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91%</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r>
    </w:tbl>
    <w:p>
      <w:pPr>
        <w:pStyle w:val="TextBody"/>
        <w:bidi w:val="0"/>
        <w:spacing w:before="200" w:after="200"/>
        <w:jc w:val="both"/>
        <w:rPr>
          <w:rFonts w:ascii="Arial" w:hAnsi="Arial"/>
          <w:color w:val="000000"/>
          <w:sz w:val="18"/>
        </w:rPr>
      </w:pPr>
      <w:r>
        <w:rPr>
          <w:rFonts w:ascii="Arial" w:hAnsi="Arial"/>
          <w:color w:val="000000"/>
          <w:sz w:val="18"/>
        </w:rPr>
        <w:t>The following table provides information about reported segment revenue, segment loss, and significant segment expenses (in thousands):</w:t>
      </w:r>
    </w:p>
    <w:tbl>
      <w:tblPr>
        <w:tblW w:w="8980" w:type="dxa"/>
        <w:jc w:val="left"/>
        <w:tblInd w:w="0" w:type="dxa"/>
        <w:tblLayout w:type="fixed"/>
        <w:tblCellMar>
          <w:top w:w="28" w:type="dxa"/>
          <w:left w:w="28" w:type="dxa"/>
          <w:bottom w:w="28" w:type="dxa"/>
          <w:right w:w="28" w:type="dxa"/>
        </w:tblCellMar>
      </w:tblPr>
      <w:tblGrid>
        <w:gridCol w:w="3096"/>
        <w:gridCol w:w="346"/>
        <w:gridCol w:w="211"/>
        <w:gridCol w:w="736"/>
        <w:gridCol w:w="346"/>
        <w:gridCol w:w="346"/>
        <w:gridCol w:w="211"/>
        <w:gridCol w:w="736"/>
        <w:gridCol w:w="166"/>
        <w:gridCol w:w="146"/>
        <w:gridCol w:w="215"/>
        <w:gridCol w:w="751"/>
        <w:gridCol w:w="169"/>
        <w:gridCol w:w="148"/>
        <w:gridCol w:w="215"/>
        <w:gridCol w:w="751"/>
        <w:gridCol w:w="391"/>
      </w:tblGrid>
      <w:tr>
        <w:trPr/>
        <w:tc>
          <w:tcPr>
            <w:tcW w:w="30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37,829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Payroll and related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24,480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46,767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Lab supplies and outside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3,501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Facility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Professional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Repairs and maintenance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27,589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and consolidated 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(31,683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pBdr>
          <w:bottom w:val="single" w:sz="6"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(a) Other segment items included in segment net loss include materials cost related to cost of revenue, marketing expenses, office expenses, foreign currency exchange gain and losses, and other overhead expenses.</w:t>
      </w:r>
    </w:p>
    <w:p>
      <w:pPr>
        <w:pStyle w:val="TextBody"/>
        <w:bidi w:val="0"/>
        <w:jc w:val="left"/>
        <w:rPr/>
      </w:pPr>
      <w:r>
        <w:rPr/>
        <w:t> </w:t>
      </w:r>
    </w:p>
    <w:p>
      <w:pPr>
        <w:pStyle w:val="TextBody"/>
        <w:bidi w:val="0"/>
        <w:jc w:val="both"/>
        <w:rPr>
          <w:rFonts w:ascii="Arial" w:hAnsi="Arial"/>
          <w:b/>
          <w:color w:val="000000"/>
          <w:sz w:val="18"/>
        </w:rPr>
      </w:pPr>
      <w:bookmarkStart w:id="23" w:name="note_11_commitments_and_contingencies"/>
      <w:bookmarkEnd w:id="23"/>
      <w:r>
        <w:rPr>
          <w:rFonts w:ascii="Arial" w:hAnsi="Arial"/>
          <w:b/>
          <w:color w:val="000000"/>
          <w:sz w:val="18"/>
        </w:rPr>
        <w:t>Note 11. Commitments and Contingencies</w:t>
      </w:r>
    </w:p>
    <w:p>
      <w:pPr>
        <w:pStyle w:val="TextBody"/>
        <w:bidi w:val="0"/>
        <w:spacing w:before="200" w:after="283"/>
        <w:jc w:val="left"/>
        <w:rPr>
          <w:rFonts w:ascii="Arial" w:hAnsi="Arial"/>
          <w:i/>
          <w:color w:val="000000"/>
          <w:sz w:val="18"/>
        </w:rPr>
      </w:pPr>
      <w:r>
        <w:rPr>
          <w:rFonts w:ascii="Arial" w:hAnsi="Arial"/>
          <w:i/>
          <w:color w:val="000000"/>
          <w:sz w:val="18"/>
        </w:rPr>
        <w:t>Contingencies</w:t>
      </w:r>
    </w:p>
    <w:p>
      <w:pPr>
        <w:pStyle w:val="TextBody"/>
        <w:bidi w:val="0"/>
        <w:spacing w:before="200" w:after="283"/>
        <w:jc w:val="both"/>
        <w:rPr>
          <w:rFonts w:ascii="Arial" w:hAnsi="Arial"/>
          <w:color w:val="000000"/>
          <w:sz w:val="18"/>
        </w:rPr>
      </w:pPr>
      <w:r>
        <w:rPr>
          <w:rFonts w:ascii="Arial" w:hAnsi="Arial"/>
          <w:color w:val="000000"/>
          <w:sz w:val="18"/>
        </w:rPr>
        <w:t>The Company is subject to claims and assessments from time to time in the ordinary course of business, including claims from customers and vendors, pending and potential legal actions for damages, governmental investigations and other matters. For example, the Company has received, and may in the future continue to receive letters, claims or complaints from others alleging false advertising, intellectual property infringement, and/or violation of employment practices.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June 30, 2026, the Company was not involved in any material legal proceedings.</w:t>
      </w:r>
    </w:p>
    <w:p>
      <w:pPr>
        <w:pStyle w:val="TextBody"/>
        <w:bidi w:val="0"/>
        <w:spacing w:before="200" w:after="283"/>
        <w:jc w:val="both"/>
        <w:rPr>
          <w:rFonts w:ascii="Arial" w:hAnsi="Arial"/>
          <w:i/>
          <w:color w:val="000000"/>
          <w:sz w:val="18"/>
        </w:rPr>
      </w:pPr>
      <w:r>
        <w:rPr>
          <w:rFonts w:ascii="Arial" w:hAnsi="Arial"/>
          <w:i/>
          <w:color w:val="000000"/>
          <w:sz w:val="18"/>
        </w:rPr>
        <w:t>Indemnification</w:t>
      </w:r>
    </w:p>
    <w:p>
      <w:pPr>
        <w:pStyle w:val="TextBody"/>
        <w:bidi w:val="0"/>
        <w:spacing w:before="200" w:after="283"/>
        <w:jc w:val="both"/>
        <w:rPr>
          <w:rFonts w:ascii="Times New Roman" w:hAnsi="Times New Roman"/>
          <w:sz w:val="20"/>
        </w:rPr>
      </w:pPr>
      <w:r>
        <w:rPr>
          <w:rFonts w:ascii="Arial" w:hAnsi="Arial"/>
          <w:color w:val="000000"/>
          <w:sz w:val="18"/>
        </w:rPr>
        <w:t>In the normal course of business, the Company enters into contracts and agreements that contain a variety of representations and warranties and provide for general indemnifications. The Company’s exposure under these agreements is unknown because it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200" w:after="283"/>
        <w:jc w:val="both"/>
        <w:rPr>
          <w:rFonts w:ascii="Arial" w:hAnsi="Arial"/>
          <w:color w:val="000000"/>
          <w:sz w:val="18"/>
        </w:rPr>
      </w:pPr>
      <w:r>
        <w:rPr>
          <w:rFonts w:ascii="Arial" w:hAnsi="Arial"/>
          <w:color w:val="000000"/>
          <w:sz w:val="18"/>
        </w:rPr>
        <w:t>In accordance with the Company's bylaws and/or pursuant to indemnification agreements entered into with directors, officers and certain employees, the Company has indemnification obligations to its directors, officers and employees for claims brought against these persons arising out of certain events or occurrences while they are serving in such a capacity. The Company maintains a director and officer liability insurance coverage to reduce its exposure to such obligations, and payments made under these agreements. To date, there have been no indemnification claims by these directors, officers and employees.</w:t>
      </w:r>
    </w:p>
    <w:p>
      <w:pPr>
        <w:pStyle w:val="TextBody"/>
        <w:bidi w:val="0"/>
        <w:spacing w:before="200" w:after="283"/>
        <w:jc w:val="both"/>
        <w:rPr>
          <w:rFonts w:ascii="Arial" w:hAnsi="Arial"/>
          <w:b/>
          <w:color w:val="000000"/>
          <w:sz w:val="18"/>
        </w:rPr>
      </w:pPr>
      <w:bookmarkStart w:id="24" w:name="note_12_basic_and_diluted_net_loss_per"/>
      <w:bookmarkEnd w:id="24"/>
      <w:r>
        <w:rPr>
          <w:rFonts w:ascii="Arial" w:hAnsi="Arial"/>
          <w:b/>
          <w:color w:val="000000"/>
          <w:sz w:val="18"/>
        </w:rPr>
        <w:t>Note 12. Basic and Diluted Net Loss Per Common Share</w:t>
      </w:r>
    </w:p>
    <w:p>
      <w:pPr>
        <w:pStyle w:val="TextBody"/>
        <w:bidi w:val="0"/>
        <w:spacing w:before="200" w:after="283"/>
        <w:jc w:val="both"/>
        <w:rPr>
          <w:rFonts w:ascii="Arial" w:hAnsi="Arial"/>
          <w:color w:val="000000"/>
          <w:sz w:val="18"/>
        </w:rPr>
      </w:pPr>
      <w:r>
        <w:rPr>
          <w:rFonts w:ascii="Arial" w:hAnsi="Arial"/>
          <w:color w:val="000000"/>
          <w:sz w:val="18"/>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assumed release of outstanding RSUs, and assumed issuance of common stock under the ESPP. The Company incurred net losses in the periods presented, and as a result, the potential issuance of common shares from stock options, RSUs, and ESPP were not included in the diluted shares used to calculate net loss per share, as their inclusion would have been anti-dilutive.</w:t>
      </w:r>
    </w:p>
    <w:p>
      <w:pPr>
        <w:pStyle w:val="TextBody"/>
        <w:bidi w:val="0"/>
        <w:spacing w:before="200" w:after="200"/>
        <w:jc w:val="both"/>
        <w:rPr>
          <w:rFonts w:ascii="Arial" w:hAnsi="Arial"/>
          <w:color w:val="000000"/>
          <w:sz w:val="18"/>
        </w:rPr>
      </w:pPr>
      <w:r>
        <w:rPr>
          <w:rFonts w:ascii="Arial" w:hAnsi="Arial"/>
          <w:color w:val="000000"/>
          <w:sz w:val="18"/>
        </w:rPr>
        <w:t>The following table sets forth the computation of basic and diluted net loss per share attributable to common stockholders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34"/>
        <w:gridCol w:w="346"/>
        <w:gridCol w:w="211"/>
        <w:gridCol w:w="1141"/>
        <w:gridCol w:w="346"/>
        <w:gridCol w:w="346"/>
        <w:gridCol w:w="211"/>
        <w:gridCol w:w="1036"/>
        <w:gridCol w:w="166"/>
        <w:gridCol w:w="146"/>
        <w:gridCol w:w="211"/>
        <w:gridCol w:w="1141"/>
        <w:gridCol w:w="166"/>
        <w:gridCol w:w="146"/>
        <w:gridCol w:w="211"/>
        <w:gridCol w:w="1036"/>
        <w:gridCol w:w="411"/>
      </w:tblGrid>
      <w:tr>
        <w:trPr/>
        <w:tc>
          <w:tcPr>
            <w:tcW w:w="29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Weighted-average common shares outstanding—basic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105,424,708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88,517,498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104,808,285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87,990,691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common share—basic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200" w:after="200"/>
        <w:jc w:val="both"/>
        <w:rPr>
          <w:rFonts w:ascii="Arial" w:hAnsi="Arial"/>
          <w:color w:val="000000"/>
          <w:sz w:val="18"/>
        </w:rPr>
      </w:pPr>
      <w:r>
        <w:rPr>
          <w:rFonts w:ascii="Arial" w:hAnsi="Arial"/>
          <w:color w:val="000000"/>
          <w:sz w:val="18"/>
        </w:rPr>
        <w:t>The following table sets forth the potentially dilutive shares excluded from the computation of diluted net loss per common share because their effect was anti-dilutive:</w:t>
      </w:r>
    </w:p>
    <w:tbl>
      <w:tblPr>
        <w:tblW w:w="9112"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1036"/>
        <w:gridCol w:w="146"/>
        <w:gridCol w:w="146"/>
        <w:gridCol w:w="146"/>
        <w:gridCol w:w="1036"/>
        <w:gridCol w:w="146"/>
        <w:gridCol w:w="146"/>
        <w:gridCol w:w="146"/>
        <w:gridCol w:w="103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15,222,114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13,349,343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15,222,114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13,349,343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860,622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16,778,854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14,411,268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16,778,854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14,411,268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Arial" w:hAnsi="Arial"/>
          <w:b/>
          <w:color w:val="000000"/>
          <w:sz w:val="18"/>
        </w:rPr>
      </w:pPr>
      <w:r>
        <w:rPr>
          <w:rFonts w:ascii="Arial" w:hAnsi="Arial"/>
          <w:b/>
          <w:color w:val="000000"/>
          <w:sz w:val="18"/>
        </w:rPr>
        <w:t>Note 13. Subsequent Events</w:t>
      </w:r>
    </w:p>
    <w:p>
      <w:pPr>
        <w:pStyle w:val="TextBody"/>
        <w:bidi w:val="0"/>
        <w:spacing w:before="200" w:after="283"/>
        <w:jc w:val="both"/>
        <w:rPr>
          <w:rFonts w:ascii="Arial" w:hAnsi="Arial"/>
          <w:i/>
          <w:color w:val="000000"/>
          <w:sz w:val="18"/>
        </w:rPr>
      </w:pPr>
      <w:r>
        <w:rPr>
          <w:rFonts w:ascii="Arial" w:hAnsi="Arial"/>
          <w:i/>
          <w:color w:val="000000"/>
          <w:sz w:val="18"/>
        </w:rPr>
        <w:t>Agreement and Plan of Merger</w:t>
      </w:r>
    </w:p>
    <w:p>
      <w:pPr>
        <w:pStyle w:val="TextBody"/>
        <w:bidi w:val="0"/>
        <w:spacing w:before="200" w:after="283"/>
        <w:jc w:val="both"/>
        <w:rPr>
          <w:rFonts w:ascii="Times New Roman" w:hAnsi="Times New Roman"/>
          <w:sz w:val="20"/>
        </w:rPr>
      </w:pPr>
      <w:bookmarkStart w:id="25" w:name="note_13_subsequent_event"/>
      <w:bookmarkEnd w:id="25"/>
      <w:r>
        <w:rPr>
          <w:rFonts w:ascii="Arial" w:hAnsi="Arial"/>
          <w:color w:val="000000"/>
          <w:sz w:val="18"/>
        </w:rPr>
        <w:t>On July 20, 2026, the Company entered into an Agreement and Plan of Merger (the “Merger Agreement”) by and among the Company, Tempus, Aviary Development, Inc., a Delaware corporation and a wholly owned subsidiary of Parent (“Merger Sub I”) and Toucan Development, LLC, a Nevada limited liability company and a wholly owned subsidiary of Parent (“Merger Sub II” and, together with Merger Sub I, the “Merger Subs”). Pursuant to the Merger Agreement, and upon the terms and subject to the conditions therein, (a) Merger Sub I will be merged with and into the Company (the “First Merger”), with the Company surviving the First Merger as a wholly owned subsidiary of Parent (the “First Surviving Corporation”), and (b) as part of the same overall transaction, immediately after the First Merger, the First Surviving Corporation will merge with and into Merger Sub II (together with the First Merger, the “Mergers”), with Merger Sub II surviving as a wholly owned subsidiary of Parent. The parties to the Merger Agreement intend that the transaction qualify as a reorganization under Section 368(a) of the Internal Revenue Code of 1986, as amended.</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i/>
          <w:color w:val="000000"/>
          <w:sz w:val="18"/>
        </w:rPr>
        <w:t>Consideration to Company Stockholders.</w:t>
      </w:r>
      <w:r>
        <w:rPr>
          <w:rFonts w:ascii="Times New Roman" w:hAnsi="Times New Roman"/>
          <w:color w:val="000000"/>
          <w:sz w:val="20"/>
        </w:rPr>
        <w:t xml:space="preserve"> </w:t>
      </w:r>
      <w:r>
        <w:rPr>
          <w:rFonts w:ascii="Arial" w:hAnsi="Arial"/>
          <w:color w:val="000000"/>
          <w:sz w:val="18"/>
        </w:rPr>
        <w:t>At the time the First Merger becomes effective (the “Effective Time”), each share of Company Common Stock issued and outstanding immediately prior to the Effective Time (other than shares of Company Common Stock that are owned or held in treasury by the Company or are owned by Parent, the Merger Subs or their other controlled affiliates (such shares, the “Cancelled Shares”) and shares of Company Common Stock that are outstanding immediately prior to the Effective Time and which are held by stockholders who have exercised and perfected appraisal rights for such shares in accordance with the General Corporation Law of the State of Delaware) will be automatically converted into the right to receive in accordance with, and subject to the terms, conditions and procedures set forth in the Merger Agreement, the following consideration:</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18"/>
        </w:rPr>
        <w:t xml:space="preserve">a number of validly issued, fully paid and nonassessable shares of Parent Class A Common Stock equal to the Exchange Ratio (the “Stock Consideration”); </w:t>
      </w:r>
      <w:r>
        <w:rPr>
          <w:rFonts w:ascii="Arial" w:hAnsi="Arial"/>
          <w:i/>
          <w:color w:val="000000"/>
          <w:sz w:val="18"/>
        </w:rPr>
        <w:t>provided</w:t>
      </w:r>
      <w:r>
        <w:rPr>
          <w:rFonts w:ascii="Arial" w:hAnsi="Arial"/>
          <w:color w:val="000000"/>
          <w:sz w:val="18"/>
        </w:rPr>
        <w:t xml:space="preserve">, </w:t>
      </w:r>
      <w:r>
        <w:rPr>
          <w:rFonts w:ascii="Arial" w:hAnsi="Arial"/>
          <w:i/>
          <w:color w:val="000000"/>
          <w:sz w:val="18"/>
        </w:rPr>
        <w:t>however</w:t>
      </w:r>
      <w:r>
        <w:rPr>
          <w:rFonts w:ascii="Arial" w:hAnsi="Arial"/>
          <w:color w:val="000000"/>
          <w:sz w:val="18"/>
        </w:rPr>
        <w:t>, that Parent may elect (a “Parent Cash Election”) to pay cash for up to 50% of the aggregate number of outstanding shares of Company Common Stock (which such amount may be automatically reduced to preserve the intended tax treatment of the Mergers). If Parent makes a Parent Cash Election, each holder will receive: (a) an amount in cash equal to the Per Share Cash Consideration of $16.25</w:t>
      </w:r>
      <w:r>
        <w:rPr>
          <w:color w:val="000000"/>
        </w:rPr>
        <w:t xml:space="preserve"> </w:t>
      </w:r>
      <w:r>
        <w:rPr>
          <w:rFonts w:ascii="Arial" w:hAnsi="Arial"/>
          <w:color w:val="000000"/>
          <w:sz w:val="18"/>
        </w:rPr>
        <w:t>per share, without interest (the “Cash Consideration”) (which may include a fraction of an Eligible Share (as defined in the Merger Agreement</w:t>
      </w:r>
      <w:r>
        <w:rPr>
          <w:rFonts w:ascii="Segoe UI;sans-serif" w:hAnsi="Segoe UI;sans-serif"/>
          <w:color w:val="000000"/>
          <w:sz w:val="18"/>
        </w:rPr>
        <w:t>)</w:t>
      </w:r>
      <w:r>
        <w:rPr>
          <w:color w:val="000000"/>
        </w:rPr>
        <w:t xml:space="preserve"> </w:t>
      </w:r>
      <w:r>
        <w:rPr>
          <w:rFonts w:ascii="Arial" w:hAnsi="Arial"/>
          <w:color w:val="000000"/>
          <w:sz w:val="18"/>
        </w:rPr>
        <w:t>and, in that context, will be rounded to the nearest four decimal places), for such holder’s pro rata portion of the Eligible Shares subject to the Parent Cash Election (determined by multiplying the holder’s Eligible Shares by a fraction equal to the Cash Share Number (as defined in the Merger Agreement) divided by the total shares of Company Common Stock issued and outstanding immediately prior to the Effective Time (other than Cancelled Shares)), and (b) the Stock Consideration for the holder’s remaining Eligible Shares;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cash in lieu of fractional shares of Parent Class A Common Stock in accordance with the Merger Agreement (the “Fractional Share Consideration”);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18"/>
        </w:rPr>
        <w:t>Post-Closing Distributions (as defined in the Merger Agreement</w:t>
      </w:r>
      <w:r>
        <w:rPr>
          <w:rFonts w:ascii="Segoe UI;sans-serif" w:hAnsi="Segoe UI;sans-serif"/>
          <w:color w:val="000000"/>
          <w:sz w:val="18"/>
        </w:rPr>
        <w:t>)</w:t>
      </w:r>
      <w:r>
        <w:rPr>
          <w:rFonts w:ascii="Arial" w:hAnsi="Arial"/>
          <w:color w:val="000000"/>
          <w:sz w:val="18"/>
        </w:rPr>
        <w:t>, if any.</w:t>
      </w:r>
    </w:p>
    <w:p>
      <w:pPr>
        <w:pStyle w:val="TextBody"/>
        <w:bidi w:val="0"/>
        <w:spacing w:before="240" w:after="283"/>
        <w:jc w:val="left"/>
        <w:rPr>
          <w:rFonts w:ascii="Arial" w:hAnsi="Arial"/>
          <w:color w:val="000000"/>
          <w:sz w:val="18"/>
        </w:rPr>
      </w:pPr>
      <w:r>
        <w:rPr>
          <w:rFonts w:ascii="Arial" w:hAnsi="Arial"/>
          <w:color w:val="000000"/>
          <w:sz w:val="18"/>
        </w:rPr>
        <w:t>Pursuant to the Merger Agreement, the Exchange Ratio is determined as follows: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if the Parent Stock Price (as defined below) is equal to or less than the Floor Price of $48.42, the Exchange Ratio will be fixed at 0.3356;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18"/>
        </w:rPr>
        <w:t>if the Parent Stock Price is greater than the Floor Price, the Exchange Ratio will be equal to $16.25</w:t>
      </w:r>
      <w:r>
        <w:rPr>
          <w:color w:val="000000"/>
        </w:rPr>
        <w:t xml:space="preserve"> </w:t>
      </w:r>
      <w:r>
        <w:rPr>
          <w:rFonts w:ascii="Arial" w:hAnsi="Arial"/>
          <w:color w:val="000000"/>
          <w:sz w:val="18"/>
        </w:rPr>
        <w:t>divided by the Parent Stock Price.</w:t>
      </w:r>
    </w:p>
    <w:p>
      <w:pPr>
        <w:pStyle w:val="TextBody"/>
        <w:bidi w:val="0"/>
        <w:spacing w:before="200" w:after="283"/>
        <w:jc w:val="both"/>
        <w:rPr>
          <w:rFonts w:ascii="Arial" w:hAnsi="Arial"/>
          <w:color w:val="000000"/>
          <w:sz w:val="18"/>
        </w:rPr>
      </w:pPr>
      <w:r>
        <w:rPr>
          <w:rFonts w:ascii="Arial" w:hAnsi="Arial"/>
          <w:color w:val="000000"/>
          <w:sz w:val="18"/>
        </w:rPr>
        <w:t>The “Parent Stock Price” means the volume-weighted average price of Parent Class A Common Stock on The Nasdaq Global Select Market (“Nasdaq”) for the fifteen consecutive trading days prior to the last trading day prior to the Closing Date (as defined in the Merger Agreement). However, if Parent enters into or consummates a Parent Transaction (as defined in the Merger Agreement) prior to the closing, the Parent Stock Price will instead be based on the per-share consideration payable in the Parent Transaction.</w:t>
      </w:r>
    </w:p>
    <w:p>
      <w:pPr>
        <w:pStyle w:val="TextBody"/>
        <w:bidi w:val="0"/>
        <w:spacing w:before="200" w:after="283"/>
        <w:jc w:val="both"/>
        <w:rPr>
          <w:rFonts w:ascii="Arial" w:hAnsi="Arial"/>
          <w:color w:val="000000"/>
          <w:sz w:val="18"/>
        </w:rPr>
      </w:pPr>
      <w:r>
        <w:rPr>
          <w:rFonts w:ascii="Arial" w:hAnsi="Arial"/>
          <w:color w:val="000000"/>
          <w:sz w:val="18"/>
        </w:rPr>
        <w:t>The shares of Parent Class A Common Stock to be issued as Stock Consideration will be listed on Nasdaq.</w:t>
      </w:r>
    </w:p>
    <w:p>
      <w:pPr>
        <w:pStyle w:val="TextBody"/>
        <w:bidi w:val="0"/>
        <w:spacing w:before="200" w:after="283"/>
        <w:jc w:val="both"/>
        <w:rPr>
          <w:rFonts w:ascii="Times New Roman" w:hAnsi="Times New Roman"/>
          <w:sz w:val="20"/>
        </w:rPr>
      </w:pPr>
      <w:r>
        <w:rPr>
          <w:rFonts w:ascii="Arial" w:hAnsi="Arial"/>
          <w:i/>
          <w:color w:val="000000"/>
          <w:sz w:val="18"/>
        </w:rPr>
        <w:t>Treatment of Company Equity Awa</w:t>
      </w:r>
      <w:r>
        <w:rPr>
          <w:rFonts w:ascii="Arial" w:hAnsi="Arial"/>
          <w:color w:val="000000"/>
          <w:sz w:val="18"/>
        </w:rPr>
        <w:t>rds (as defined in the Merger Agreement</w:t>
      </w:r>
      <w:r>
        <w:rPr>
          <w:rFonts w:ascii="Segoe UI;sans-serif" w:hAnsi="Segoe UI;sans-serif"/>
          <w:color w:val="000000"/>
          <w:sz w:val="18"/>
        </w:rPr>
        <w:t>)</w:t>
      </w:r>
      <w:r>
        <w:rPr>
          <w:rFonts w:ascii="Arial" w:hAnsi="Arial"/>
          <w:i/>
          <w:color w:val="000000"/>
          <w:sz w:val="18"/>
        </w:rPr>
        <w:t>.</w:t>
      </w:r>
      <w:r>
        <w:rPr>
          <w:rFonts w:ascii="Times New Roman" w:hAnsi="Times New Roman"/>
          <w:color w:val="000000"/>
          <w:sz w:val="20"/>
        </w:rPr>
        <w:t xml:space="preserve"> </w:t>
      </w:r>
      <w:r>
        <w:rPr>
          <w:rFonts w:ascii="Arial" w:hAnsi="Arial"/>
          <w:color w:val="000000"/>
          <w:sz w:val="18"/>
        </w:rPr>
        <w:t>The Merger Agreement provides that, at the Effective Time:</w:t>
      </w:r>
    </w:p>
    <w:p>
      <w:pPr>
        <w:pStyle w:val="TextBody"/>
        <w:bidi w:val="0"/>
        <w:spacing w:before="200" w:after="283"/>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18"/>
        </w:rPr>
        <w:t>each In-the-Money Company Option (as defined in the Merger Agreement</w:t>
      </w:r>
      <w:r>
        <w:rPr>
          <w:rFonts w:ascii="Segoe UI;sans-serif" w:hAnsi="Segoe UI;sans-serif"/>
          <w:color w:val="000000"/>
          <w:sz w:val="18"/>
        </w:rPr>
        <w:t>)</w:t>
      </w:r>
      <w:r>
        <w:rPr>
          <w:color w:val="000000"/>
        </w:rPr>
        <w:t xml:space="preserve"> </w:t>
      </w:r>
      <w:r>
        <w:rPr>
          <w:rFonts w:ascii="Arial" w:hAnsi="Arial"/>
          <w:color w:val="000000"/>
          <w:sz w:val="18"/>
        </w:rPr>
        <w:t>(i) held by a former employee or any non-employee director (whether vested or unvested) or (ii) held by any current service provider that is vested and exercisable, in each case, that is outstanding and unexercised immediately prior to the Effective Time will be cancelled and converted into the right to receive the Stock Consideration in respect of each Net Option (as defined in the Merger Agreement</w:t>
      </w:r>
      <w:r>
        <w:rPr>
          <w:rFonts w:ascii="Segoe UI;sans-serif" w:hAnsi="Segoe UI;sans-serif"/>
          <w:color w:val="000000"/>
          <w:sz w:val="18"/>
        </w:rPr>
        <w:t>)</w:t>
      </w:r>
      <w:r>
        <w:rPr>
          <w:color w:val="000000"/>
        </w:rPr>
        <w:t xml:space="preserve"> </w:t>
      </w:r>
      <w:r>
        <w:rPr>
          <w:rFonts w:ascii="Arial" w:hAnsi="Arial"/>
          <w:color w:val="000000"/>
          <w:sz w:val="18"/>
        </w:rPr>
        <w:t>Share subject to such In-the-Money Company Option immediately prior to the Effective Time;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each other In-the-Money Company Option that is outstanding and unexercised immediately prior to the Effective Time will be assumed by Parent and converted automatically into an option to purchase a number of shares of Parent Class A Common Stock equal to the product obtained by multiplying (x) the number of shares subject to such In-the-Money Company Option immediately prior to the Effective Time, by (y) the Exchange Ratio, with an exercise price per share of Parent Class A Common Stock equal to (i) the per share exercise price for each share subject to the corresponding Company Option immediately prior to the Effective Time divided by (ii) the Exchange Ratio;</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18"/>
        </w:rPr>
        <w:t>each Out-of-the-Money Company Option outstanding (as defined in the Merger Agreement</w:t>
      </w:r>
      <w:r>
        <w:rPr>
          <w:rFonts w:ascii="Segoe UI;sans-serif" w:hAnsi="Segoe UI;sans-serif"/>
          <w:color w:val="000000"/>
          <w:sz w:val="18"/>
        </w:rPr>
        <w:t>)</w:t>
      </w:r>
      <w:r>
        <w:rPr>
          <w:color w:val="000000"/>
        </w:rPr>
        <w:t xml:space="preserve"> </w:t>
      </w:r>
      <w:r>
        <w:rPr>
          <w:rFonts w:ascii="Arial" w:hAnsi="Arial"/>
          <w:color w:val="000000"/>
          <w:sz w:val="18"/>
        </w:rPr>
        <w:t>and unexercised immediately prior to the Effective Time (whether vested or unvested) will be cancelled without any consideration;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each Company RSU (whether vested or unvested) that is held by a non-employee director of the Company outstanding as of immediately prior to the Effective Time will automatically accelerate to be fully vested as of immediately prior to the Effective Time and be cancelled in exchange for the Stock Consideration;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each other Company RSU that is outstanding immediately prior to the Effective Time will be assumed and converted automatically into a restricted stock unit with respect to a number of shares of Parent Class A Common Stock equal to the product obtained by multiplying (i) the total number of shares of Company Common Stock subject to such Company RSU immediately prior to the Effective Time by (ii) the Exchange Ratio;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 xml:space="preserve">the unvested portion of each Company PSU that is outstanding immediately prior to the Effective Time will accelerate and vest with respect to that number of Company PSUs equal to (i) the total outstanding Company PSUs multiplied by (ii) the quotient obtained by dividing (x) the number of full calendar quarters that have elapsed from (and including) the start of the applicable </w:t>
      </w:r>
    </w:p>
    <w:p>
      <w:pPr>
        <w:pStyle w:val="TextBody"/>
        <w:bidi w:val="0"/>
        <w:spacing w:before="240" w:after="283"/>
        <w:jc w:val="center"/>
        <w:rPr>
          <w:rFonts w:ascii="Arial" w:hAnsi="Arial"/>
          <w:color w:val="000000"/>
          <w:sz w:val="18"/>
        </w:rPr>
      </w:pPr>
      <w:r>
        <w:rPr>
          <w:rFonts w:ascii="Arial" w:hAnsi="Arial"/>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measurement period through (and including) the Closing Date by (y) the number of full calendar quarters in the measurement period. Such vested Company PSUs will automatically be cancelled in exchange for the Stock Consideration;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18"/>
        </w:rPr>
        <w:t xml:space="preserve">after giving effect to the foregoing acceleration, the remaining unvested portion of each Company PSU that is outstanding immediately prior to the Effective Time will be assumed and converted automatically into a restricted stock unit award with respect to a number of shares of Parent Class A Common Stock equal to the product obtained by </w:t>
      </w:r>
      <w:r>
        <w:rPr>
          <w:rFonts w:ascii="Arial" w:hAnsi="Arial"/>
          <w:i/>
          <w:color w:val="000000"/>
          <w:sz w:val="18"/>
        </w:rPr>
        <w:t xml:space="preserve">multiplying </w:t>
      </w:r>
      <w:r>
        <w:rPr>
          <w:rFonts w:ascii="Arial" w:hAnsi="Arial"/>
          <w:color w:val="000000"/>
          <w:sz w:val="18"/>
        </w:rPr>
        <w:t>(i) the number of unvested Company PSUs by (ii) the Exchange Ratio. Following the Effective Time, the assumed PSUs shall be subject to only time-based vesting and will vest in successive, equal installments on the last day of each calendar quarter during the period beginning on (and including) the day immediately following the Closing Date and ending on the last day of the measurement period, subject to the holder’s continued service through the applicable vesting date;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(i) with respect to any offering periods in effect as of the signing of the Merger Agreement under the Company ESPP (the “Current ESPP Offering Periods”), no employee who is not a participant in the Company ESPP may become a participant in the Company ESPP and no participant may increase the percentage amount of his or her payroll deduction election from that in effect on the date hereof for such Current ESPP Offering Periods; (ii) subject to the consummation of the Mergers, the Company ESPP will terminate, effective immediately prior to the Effective Time; (iii) if the Current ESPP Offering Periods terminate prior to the Effective Time, then the Company ESPP will be suspended and no new offering period shall be commenced under the Company ESPP prior to the termination of this Agreement; and (iv) if any Current ESPP Offering Period is still in effect at the Effective Time, then the last day of such current ESPP offering period will be accelerated to a date within ten (10) business days prior to the Closing Date.</w:t>
      </w:r>
    </w:p>
    <w:p>
      <w:pPr>
        <w:pStyle w:val="TextBody"/>
        <w:bidi w:val="0"/>
        <w:spacing w:before="200" w:after="283"/>
        <w:jc w:val="both"/>
        <w:rPr>
          <w:rFonts w:ascii="Times New Roman" w:hAnsi="Times New Roman"/>
          <w:sz w:val="20"/>
        </w:rPr>
      </w:pPr>
      <w:r>
        <w:rPr>
          <w:rFonts w:ascii="Arial" w:hAnsi="Arial"/>
          <w:i/>
          <w:color w:val="000000"/>
          <w:sz w:val="18"/>
        </w:rPr>
        <w:t>Conditions to Closing</w:t>
      </w:r>
      <w:r>
        <w:rPr>
          <w:rFonts w:ascii="Arial" w:hAnsi="Arial"/>
          <w:color w:val="000000"/>
          <w:sz w:val="18"/>
        </w:rPr>
        <w:t>. Under the terms of the Merger Agreement, the completion of the Mergers is subject to certain customary closing conditions, including, among others: (i) the approval of the Mergers and adoption of the Merger Agreement by the affirmative vote of the holders of a majority of the outstanding shares of Company Common Stock entitled to vote thereon; (ii) the approval for listing on Nasdaq of the Parent Class A Common Stock to be issued in the Mergers; (iii) the effectiveness of a registration statement on Form S-4 filed by Parent registering the Parent Class A Common Stock to be issued in connection with the Mergers; (iv) the accuracy of the parties’ respective representations and warranties in the Merger Agreement, subject to specified materiality qualifications; (v) compliance by the parties with their respective covenants in the Merger Agreement; (vi) the absence of any law or order restraining, enjoining or otherwise prohibiting the consummation of the Mergers; (vii) the expiration or termination of the required waiting period applicable to the Mergers under the Hart-Scott-Rodino Antitrust Improvements Act of 1976, as amended, (the “HSR Act”), and the approval or issuance of any other filing or consent or the expiration or termination of any other waiting period applicable to the Mergers, in accordance with the Merger Agreement; (viii) the receipt by the Company of an opinion to the effect that the Mergers will qualify as a reorganization for U.S. federal income tax purposes; and (ix) the absence of a Company Material Adverse Effect (in the case of Parent’s obligation to close) or a Parent Material Adverse Effect (in the case of the Company’s obligation to close).</w:t>
      </w:r>
    </w:p>
    <w:p>
      <w:pPr>
        <w:pStyle w:val="TextBody"/>
        <w:bidi w:val="0"/>
        <w:spacing w:before="200" w:after="283"/>
        <w:jc w:val="both"/>
        <w:rPr>
          <w:rFonts w:ascii="Times New Roman" w:hAnsi="Times New Roman"/>
          <w:sz w:val="20"/>
        </w:rPr>
      </w:pPr>
      <w:r>
        <w:rPr>
          <w:rFonts w:ascii="Arial" w:hAnsi="Arial"/>
          <w:i/>
          <w:color w:val="000000"/>
          <w:sz w:val="18"/>
        </w:rPr>
        <w:t>Termination Rights.</w:t>
      </w:r>
      <w:r>
        <w:rPr>
          <w:rFonts w:ascii="Times New Roman" w:hAnsi="Times New Roman"/>
          <w:color w:val="000000"/>
          <w:sz w:val="20"/>
        </w:rPr>
        <w:t xml:space="preserve"> </w:t>
      </w:r>
      <w:r>
        <w:rPr>
          <w:rFonts w:ascii="Arial" w:hAnsi="Arial"/>
          <w:color w:val="000000"/>
          <w:sz w:val="18"/>
        </w:rPr>
        <w:t>The Merger Agreement includes a remedy of specific performance for the Company and Parent. The Merger Agreement also includes customary termination provisions for both the Company and Parent and provides that, in connection with the termination of the Merger Agreement under specified circumstances, including a termination by Parent due to a Company Adverse Change Recommendation, the Company will be required to pay to Parent a termination fee (the “Termination Fee”) of approximately $76.8</w:t>
      </w:r>
      <w:r>
        <w:rPr>
          <w:rFonts w:ascii="Times New Roman" w:hAnsi="Times New Roman"/>
          <w:color w:val="000000"/>
          <w:sz w:val="20"/>
        </w:rPr>
        <w:t xml:space="preserve"> </w:t>
      </w:r>
      <w:r>
        <w:rPr>
          <w:rFonts w:ascii="Arial" w:hAnsi="Arial"/>
          <w:color w:val="000000"/>
          <w:sz w:val="18"/>
        </w:rPr>
        <w:t>million. The Termination Fee is also payable if: (a) the Merger Agreement is terminated in certain circumstances, (b) after the date of the Merger Agreement and prior to such termination a bona fide proposal for an alternative acquisition transaction has been publicly disclosed and not withdrawn, and (c) within twelve months of such termination, the Company enters into a definitive agreement with respect to an alternative acquisition transaction that is subsequently consummated. The Company also has the right to terminate the Merger Agreement if the Parent Stock Price (as finally determined pursuant to the Merger Agreement) is less than the Lower Floor Price of $46.00, which right is only expected to be exercisable within a two business day period preceding the day the Closing would otherwise be required to occur.</w:t>
      </w:r>
    </w:p>
    <w:p>
      <w:pPr>
        <w:pStyle w:val="TextBody"/>
        <w:bidi w:val="0"/>
        <w:spacing w:before="200" w:after="283"/>
        <w:jc w:val="both"/>
        <w:rPr>
          <w:rFonts w:ascii="Times New Roman" w:hAnsi="Times New Roman"/>
          <w:sz w:val="20"/>
        </w:rPr>
      </w:pPr>
      <w:r>
        <w:rPr>
          <w:rFonts w:ascii="Arial" w:hAnsi="Arial"/>
          <w:color w:val="000000"/>
          <w:sz w:val="18"/>
        </w:rPr>
        <w:t>The Merger Agreement further provides that Parent will be required to pay the Company a reverse termination fee of approximately $76.8</w:t>
      </w:r>
      <w:r>
        <w:rPr>
          <w:rFonts w:ascii="Times New Roman" w:hAnsi="Times New Roman"/>
          <w:color w:val="000000"/>
          <w:sz w:val="20"/>
        </w:rPr>
        <w:t xml:space="preserve"> </w:t>
      </w:r>
      <w:r>
        <w:rPr>
          <w:rFonts w:ascii="Arial" w:hAnsi="Arial"/>
          <w:color w:val="000000"/>
          <w:sz w:val="18"/>
        </w:rPr>
        <w:t>million in the event the Merger Agreement is terminated under certain specified circumstances, including if the Merger Agreement is terminated by Parent or the Company either (a) due to the existence of a permanent legal restraint under the HSR Act or another antitrust law (solely to the extent such restraint is primarily due to Parent’s breach of certain of its obligations under the Merger Agreement), or (b) due to the Effective Time not having occurred by April 20, 2027 (the “Outside Date”) (provided that the Outside Date will be automatically extended for an additional six months and an additional six months thereafter pursuant to the Merger Agreement), when, at the time of termination, the applicable regulatory conditions to the Closing under the HSR Act or another antitrust law have not been satisfied primarily due to Parent’s breach of certain of its obligations under the Merger Agreement, and all other conditions to the Closing have been satisfied or waived.</w:t>
      </w:r>
    </w:p>
    <w:p>
      <w:pPr>
        <w:pStyle w:val="TextBody"/>
        <w:bidi w:val="0"/>
        <w:spacing w:before="200" w:after="283"/>
        <w:jc w:val="both"/>
        <w:rPr>
          <w:rFonts w:ascii="Arial" w:hAnsi="Arial"/>
          <w:i/>
          <w:color w:val="000000"/>
          <w:sz w:val="18"/>
        </w:rPr>
      </w:pPr>
      <w:r>
        <w:rPr>
          <w:rFonts w:ascii="Arial" w:hAnsi="Arial"/>
          <w:i/>
          <w:color w:val="000000"/>
          <w:sz w:val="18"/>
        </w:rPr>
        <w:t>Voting Agreement</w:t>
      </w:r>
    </w:p>
    <w:p>
      <w:pPr>
        <w:pStyle w:val="TextBody"/>
        <w:bidi w:val="0"/>
        <w:spacing w:before="200" w:after="283"/>
        <w:jc w:val="both"/>
        <w:rPr>
          <w:rFonts w:ascii="Times New Roman" w:hAnsi="Times New Roman"/>
          <w:sz w:val="20"/>
        </w:rPr>
      </w:pPr>
      <w:r>
        <w:rPr>
          <w:rFonts w:ascii="Arial" w:hAnsi="Arial"/>
          <w:color w:val="000000"/>
          <w:sz w:val="18"/>
        </w:rPr>
        <w:t>Concurrently with the execution of the Merger Agreement, Merck, in its capacity as a stockholder of the Company, entered into a Voting Agreement (the “Voting Agreement”), pursuant to which Merck has agreed to vote its shares of Company Common Stock in favor of the adoption of the Merger Agreement and the transactions contemplated thereby, and to vote such shares against any competing acquisition proposal or any other action that would reasonably be expected to impede, interfere with, delay, postpone or adversely affect the Mergers. As of July 20, 2026, Merck held approximately 13% of Company’s outstanding voting power. The Voting Agreement will terminate upon the earliest to occur of (a) the Effective Time, (b) the valid termination of the Merger Agreement, (c) any modification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amendment to the Merger Agreement that reduces the amount, or changes the form or otherwise adversely affects the consideration payable to Merck pursuant to the Merger Agreement (other than changes expressly contemplated by the Merger Agreement as in effect on the date hereof), extends the Outside Date or imposes any additional conditions or obligations that would reasonably be expected to prevent or impede the consummation of the Mergers, or (d) the mutual written consent of the parties to the Voting Agreement.</w:t>
      </w:r>
    </w:p>
    <w:p>
      <w:pPr>
        <w:pStyle w:val="TextBody"/>
        <w:bidi w:val="0"/>
        <w:spacing w:before="200" w:after="283"/>
        <w:jc w:val="both"/>
        <w:rPr>
          <w:rFonts w:ascii="Times New Roman" w:hAnsi="Times New Roman"/>
          <w:sz w:val="20"/>
        </w:rPr>
      </w:pPr>
      <w:r>
        <w:rPr>
          <w:rFonts w:ascii="Arial" w:hAnsi="Arial"/>
          <w:color w:val="000000"/>
          <w:sz w:val="18"/>
        </w:rPr>
        <w:t>The Company determined that Tempus and Merck are related parties. See Note 8 for details.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6" w:name="item_2_managements_discussion_analysis_f"/>
      <w:bookmarkEnd w:id="26"/>
      <w:r>
        <w:rPr>
          <w:rFonts w:ascii="Arial" w:hAnsi="Arial"/>
          <w:b/>
          <w:color w:val="000000"/>
          <w:sz w:val="18"/>
        </w:rPr>
        <w:t>Item 2. Management’s Discussion and Analysis</w:t>
      </w:r>
      <w:r>
        <w:rPr>
          <w:rFonts w:ascii="Times New Roman" w:hAnsi="Times New Roman"/>
          <w:color w:val="000000"/>
          <w:sz w:val="20"/>
        </w:rPr>
        <w:t xml:space="preserve"> </w:t>
      </w:r>
      <w:r>
        <w:rPr>
          <w:rFonts w:ascii="Arial" w:hAnsi="Arial"/>
          <w:b/>
          <w:color w:val="000000"/>
          <w:sz w:val="18"/>
        </w:rPr>
        <w:t>of Financial Condition and Results of Operations.</w:t>
      </w:r>
    </w:p>
    <w:p>
      <w:pPr>
        <w:pStyle w:val="TextBody"/>
        <w:bidi w:val="0"/>
        <w:spacing w:before="200" w:after="283"/>
        <w:jc w:val="both"/>
        <w:rPr>
          <w:rFonts w:ascii="Arial" w:hAnsi="Arial"/>
          <w:i/>
          <w:color w:val="000000"/>
          <w:sz w:val="18"/>
        </w:rPr>
      </w:pPr>
      <w:r>
        <w:rPr>
          <w:rFonts w:ascii="Arial" w:hAnsi="Arial"/>
          <w:i/>
          <w:color w:val="000000"/>
          <w:sz w:val="18"/>
        </w:rPr>
        <w:t>The following discussion and analysis of our financial condition and results of operations should be read in conjunction with our unaudited consolidated financial statements and the related notes and other financial information included elsewhere in this Quarterly Report on Form 10-Q and our Annual Report on Form 10-K for the fiscal year ended December 31, 2025 filed with the Securities and Exchange Commission (the “SEC”) on February 26, 2026 (our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pStyle w:val="TextBody"/>
        <w:bidi w:val="0"/>
        <w:spacing w:before="200" w:after="283"/>
        <w:jc w:val="both"/>
        <w:rPr>
          <w:rFonts w:ascii="Arial" w:hAnsi="Arial"/>
          <w:b/>
          <w:color w:val="000000"/>
          <w:sz w:val="18"/>
        </w:rPr>
      </w:pPr>
      <w:r>
        <w:rPr>
          <w:rFonts w:ascii="Arial" w:hAnsi="Arial"/>
          <w:b/>
          <w:color w:val="000000"/>
          <w:sz w:val="18"/>
        </w:rPr>
        <w:t>Overview</w:t>
      </w:r>
    </w:p>
    <w:p>
      <w:pPr>
        <w:pStyle w:val="TextBody"/>
        <w:bidi w:val="0"/>
        <w:spacing w:before="200" w:after="283"/>
        <w:jc w:val="both"/>
        <w:rPr>
          <w:rFonts w:ascii="Arial" w:hAnsi="Arial"/>
          <w:color w:val="000000"/>
          <w:sz w:val="18"/>
        </w:rPr>
      </w:pPr>
      <w:r>
        <w:rPr>
          <w:rFonts w:ascii="Arial" w:hAnsi="Arial"/>
          <w:color w:val="000000"/>
          <w:sz w:val="18"/>
        </w:rPr>
        <w:t>We develop, market, and sell advanced cancer genomic testing services. Our testing services are used by physicians to detect residual or recurrent cancer in patients, monitor cancer response to therapy, and uncover insights for therapy selection. Our testing services are also used by pharmaceutical companies for translational research, biomarker discovery, the development of personalized cancer therapies, and clinical trials. We also provide whole exome sequencing services for other diagnostic companies and whole genome sequencing services for population sequencing initiatives.</w:t>
      </w:r>
    </w:p>
    <w:p>
      <w:pPr>
        <w:pStyle w:val="TextBody"/>
        <w:bidi w:val="0"/>
        <w:spacing w:before="200" w:after="283"/>
        <w:jc w:val="both"/>
        <w:rPr>
          <w:rFonts w:ascii="Arial" w:hAnsi="Arial"/>
          <w:color w:val="000000"/>
          <w:sz w:val="18"/>
        </w:rPr>
      </w:pPr>
      <w:r>
        <w:rPr>
          <w:rFonts w:ascii="Arial" w:hAnsi="Arial"/>
          <w:color w:val="000000"/>
          <w:sz w:val="18"/>
        </w:rPr>
        <w:t>We are working with a growing number of leading cancer centers and world-class academic research institutions to build and publish clinical, evidence-based support for our testing services and our key indications, as well as to obtain reimbursement coverage from Medicare and other payors. Because of the ultra-high analytical sensitivity of our technology, we are primarily focusing on three indications: breast cancer, lung cancer, and immunotherapy (IO) monitoring. We have collaborations with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Criterium and the Academic Breast Cancer Consortium; Yale Cancer Center; Aarhus University; British Columbia Cancer; and University Health Network, that will focus on building the evidence-base for our technology and these indications.</w:t>
      </w:r>
    </w:p>
    <w:p>
      <w:pPr>
        <w:pStyle w:val="TextBody"/>
        <w:bidi w:val="0"/>
        <w:spacing w:before="200" w:after="283"/>
        <w:jc w:val="both"/>
        <w:rPr>
          <w:rFonts w:ascii="Arial" w:hAnsi="Arial"/>
          <w:color w:val="000000"/>
          <w:sz w:val="18"/>
        </w:rPr>
      </w:pPr>
      <w:r>
        <w:rPr>
          <w:rFonts w:ascii="Arial" w:hAnsi="Arial"/>
          <w:color w:val="000000"/>
          <w:sz w:val="18"/>
        </w:rPr>
        <w:t>Currently, our testing services are routinely used by many of the largest oncology-focused pharmaceutical companies for analysis of patient samples in their clinical trials and drug development programs. Our advanced genomic sequencing and analytics also support the development of personalized neoantigen therapies for cancer and other next-generation cancer immunotherapies. For example, we are providing genomic testing services to ModernaTX, Inc. ("Moderna") in its ongoing clinical trials evaluating a personalized cancer therapy. In addition, we have partnered with diagnostics companies by providing our advanced tumor profiling and analysis capabilities as an input to their products. We also have a collaboration with Tempus that enables Tempus to market our NeXT Personal® Dx test to physicians for breast cancer, lung cancer, colorectal cancer and immuno-oncology monitoring, and to market and sell NeXT Personal to Tempus' pharmaceutical and biotech customers who wish to bundle MRD testing with other Tempus offerings in a given study, through November 25, 2029. We have also pursued non-cancer related business opportunities, specifically within the population sequencing market, by providing whole genome sequencing ("WGS") services under contract with the U.S. Department of Veterans Affairs Million Veteran Program ("VA MVP").</w:t>
      </w:r>
    </w:p>
    <w:p>
      <w:pPr>
        <w:pStyle w:val="TextBody"/>
        <w:bidi w:val="0"/>
        <w:spacing w:before="200" w:after="283"/>
        <w:jc w:val="both"/>
        <w:rPr>
          <w:rFonts w:ascii="Arial" w:hAnsi="Arial"/>
          <w:color w:val="000000"/>
          <w:sz w:val="18"/>
        </w:rPr>
      </w:pPr>
      <w:r>
        <w:rPr>
          <w:rFonts w:ascii="Arial" w:hAnsi="Arial"/>
          <w:color w:val="000000"/>
          <w:sz w:val="18"/>
        </w:rPr>
        <w:t>Our work in oncology is underpinned by our experience and capacity for next-generation sequencing at scale. We have the capacity to sequence and analyze over 350 trillion bases of DNA per week in our facility. We believe that our capacity is already larger than most cancer genomics companies, and we continue to build automation and other infrastructure to scale further as demand increases. To date, we have sequenced approximately 605,000 human samples, of which approximately 237,000 were whole human genomes.</w:t>
      </w:r>
    </w:p>
    <w:p>
      <w:pPr>
        <w:pStyle w:val="TextBody"/>
        <w:bidi w:val="0"/>
        <w:spacing w:before="200" w:after="283"/>
        <w:jc w:val="both"/>
        <w:rPr>
          <w:rFonts w:ascii="Arial" w:hAnsi="Arial"/>
          <w:color w:val="000000"/>
          <w:sz w:val="18"/>
        </w:rPr>
      </w:pPr>
      <w:r>
        <w:rPr>
          <w:rFonts w:ascii="Arial" w:hAnsi="Arial"/>
          <w:color w:val="000000"/>
          <w:sz w:val="18"/>
        </w:rPr>
        <w:t>On July 20, 2026, we entered into an Agreement and Plan of Merger (the “Merger Agreement”) with Tempus (sometimes referred to as Parent), Aviary Development, Inc., a Delaware corporation and a wholly owned subsidiary of Parent (“Merger Sub I”) and Toucan Development, LLC, a Nevada limited liability company and a wholly owned subsidiary of Parent (“Merger Sub II”). Pursuant to the Merger Agreement, and upon the terms and subject to the conditions therein, (a) Merger Sub I will be merged with and into Personalis (the “First Merger”), with Personalis surviving the First Merger as a wholly owned subsidiary of Parent (the “First Surviving Corporation”), and (b) as part of the same overall transaction, immediately after the First Merger, the First Surviving Corporation will merge with and into Merger Sub II (together, with the First Merger, referred to collectively as the “Merger”), with Merger Sub II surviving as a wholly owned subsidiary of Parent (see Note 13, Subsequent Events, in Part 1, Item 1 of this Form 10-Q in our Consolidated Financial Statements for additional information).</w:t>
      </w:r>
    </w:p>
    <w:p>
      <w:pPr>
        <w:pStyle w:val="TextBody"/>
        <w:bidi w:val="0"/>
        <w:spacing w:before="200" w:after="283"/>
        <w:jc w:val="both"/>
        <w:rPr>
          <w:rFonts w:ascii="Arial" w:hAnsi="Arial"/>
          <w:b/>
          <w:color w:val="000000"/>
          <w:sz w:val="18"/>
        </w:rPr>
      </w:pPr>
      <w:r>
        <w:rPr>
          <w:rFonts w:ascii="Arial" w:hAnsi="Arial"/>
          <w:b/>
          <w:color w:val="000000"/>
          <w:sz w:val="18"/>
        </w:rPr>
        <w:t>Second Quarter 2026 Strategic and Operational Highlights</w:t>
      </w:r>
    </w:p>
    <w:p>
      <w:pPr>
        <w:pStyle w:val="TextBody"/>
        <w:bidi w:val="0"/>
        <w:spacing w:before="200" w:after="283"/>
        <w:jc w:val="both"/>
        <w:rPr>
          <w:rFonts w:ascii="Times New Roman" w:hAnsi="Times New Roman"/>
          <w:sz w:val="20"/>
        </w:rPr>
      </w:pPr>
      <w:r>
        <w:rPr>
          <w:rFonts w:ascii="Arial" w:hAnsi="Arial"/>
          <w:color w:val="000000"/>
          <w:sz w:val="18"/>
        </w:rPr>
        <w:t>Total revenue of $22.4 million increased 30%, or $5.2 million, during the second quarter of 2026 compared to the second quarter of 2025, due to (i) higher revenue from pharma testing services and (ii) higher clinical test revenue as a result of obtaining Medicare reimbursement coverage decisions in November 2025, February 2026 and May 2026 for breast cancer, lung cancer, immunotherapy monitoring for patients with late-stage solid tumors and neoadjuvant therapy (NAT) monitoring for breast cancer, respectively. These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increases were partially offset by (i) the expected revenue decline from Enterprise sales due to the completion of the project with Natera, and (ii) planned lower population sequencing revenue from the VA MVP.</w:t>
      </w:r>
    </w:p>
    <w:p>
      <w:pPr>
        <w:pStyle w:val="TextBody"/>
        <w:bidi w:val="0"/>
        <w:spacing w:before="200" w:after="283"/>
        <w:jc w:val="both"/>
        <w:rPr>
          <w:rFonts w:ascii="Arial" w:hAnsi="Arial"/>
          <w:color w:val="000000"/>
          <w:sz w:val="18"/>
        </w:rPr>
      </w:pPr>
      <w:r>
        <w:rPr>
          <w:rFonts w:ascii="Arial" w:hAnsi="Arial"/>
          <w:color w:val="000000"/>
          <w:sz w:val="18"/>
        </w:rPr>
        <w:t>Key business accomplishments and financial updates in the second quarter of 2026 include: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color w:val="000000"/>
          <w:sz w:val="18"/>
        </w:rPr>
        <w:t>Secured Medicare Coverage for IO Monitoring:</w:t>
      </w:r>
      <w:r>
        <w:rPr>
          <w:color w:val="000000"/>
        </w:rPr>
        <w:t xml:space="preserve"> </w:t>
      </w:r>
      <w:r>
        <w:rPr>
          <w:rFonts w:ascii="Arial" w:hAnsi="Arial"/>
          <w:color w:val="000000"/>
          <w:sz w:val="18"/>
        </w:rPr>
        <w:t>Received Medicare coverage approval for NeXT Personal® for</w:t>
      </w:r>
      <w:r>
        <w:rPr>
          <w:color w:val="000000"/>
        </w:rPr>
        <w:t xml:space="preserve"> </w:t>
      </w:r>
      <w:r>
        <w:rPr>
          <w:rFonts w:ascii="Arial" w:hAnsi="Arial"/>
          <w:color w:val="000000"/>
          <w:sz w:val="18"/>
        </w:rPr>
        <w:t>immunotherapy monitoring for patients with late-stage solid tumors;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Secured Medicare Coverage for Neoadjuvant Therapy Monitoring for Breast Cancer: Received Medicare coverage approval for NeXT Personal for monitoring treatment response to NAT in patients diagnosed with Stage II-III Triple-Negative Breast Cancer (TNBC) or HER2-positive (HER2+) breast cancer;</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Presented Compelling Colorectal Cancer Recurrence Detection: The prospective VICTORI study led by the University of British Columbia showed NeXT Personal detected 100% of all patient relapses, including all distant metastases in historically difficult-to-detect regions like the lung. Notably, just four weeks after surgery, NeXT Personal detected over 80% of patients who later relapsed, providing clinicians with an early signal of cancer to inform treatment pathways;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color w:val="000000"/>
          <w:sz w:val="18"/>
        </w:rPr>
        <w:t>Highlighted Importance of Sub-10 ppm Sensitivity in Lung Cancer:</w:t>
      </w:r>
      <w:r>
        <w:rPr>
          <w:color w:val="000000"/>
        </w:rPr>
        <w:t xml:space="preserve"> </w:t>
      </w:r>
      <w:r>
        <w:rPr>
          <w:rFonts w:ascii="Arial" w:hAnsi="Arial"/>
          <w:color w:val="000000"/>
          <w:sz w:val="18"/>
        </w:rPr>
        <w:t>Approximately 21% of pre-operative adenocarcinoma and 18% of post-operative landmark detections in the TRACERx study were below 10 ppm—thresholds frequently missed by less sensitive assays. Patients detected in this range experienced a three-fold increased risk of recurrence compared to patients with undetectable ctDNA, potentially enabling much earlier clinical intervention.</w:t>
      </w:r>
    </w:p>
    <w:p>
      <w:pPr>
        <w:pStyle w:val="TextBody"/>
        <w:bidi w:val="0"/>
        <w:spacing w:before="200" w:after="283"/>
        <w:jc w:val="both"/>
        <w:rPr>
          <w:rFonts w:ascii="Arial" w:hAnsi="Arial"/>
          <w:b/>
          <w:color w:val="000000"/>
          <w:sz w:val="18"/>
        </w:rPr>
      </w:pPr>
      <w:r>
        <w:rPr>
          <w:rFonts w:ascii="Arial" w:hAnsi="Arial"/>
          <w:b/>
          <w:color w:val="000000"/>
          <w:sz w:val="18"/>
        </w:rPr>
        <w:t>Components of Operating Results</w:t>
      </w:r>
    </w:p>
    <w:p>
      <w:pPr>
        <w:pStyle w:val="TextBody"/>
        <w:bidi w:val="0"/>
        <w:spacing w:before="200" w:after="283"/>
        <w:jc w:val="both"/>
        <w:rPr>
          <w:rFonts w:ascii="Arial" w:hAnsi="Arial"/>
          <w:b/>
          <w:i/>
          <w:color w:val="000000"/>
          <w:sz w:val="18"/>
        </w:rPr>
      </w:pPr>
      <w:r>
        <w:rPr>
          <w:rFonts w:ascii="Arial" w:hAnsi="Arial"/>
          <w:b/>
          <w:i/>
          <w:color w:val="000000"/>
          <w:sz w:val="18"/>
        </w:rPr>
        <w:t>Revenue</w:t>
      </w:r>
    </w:p>
    <w:p>
      <w:pPr>
        <w:pStyle w:val="TextBody"/>
        <w:bidi w:val="0"/>
        <w:spacing w:before="200" w:after="283"/>
        <w:jc w:val="both"/>
        <w:rPr>
          <w:rFonts w:ascii="Arial" w:hAnsi="Arial"/>
          <w:color w:val="000000"/>
          <w:sz w:val="18"/>
        </w:rPr>
      </w:pPr>
      <w:r>
        <w:rPr>
          <w:rFonts w:ascii="Arial" w:hAnsi="Arial"/>
          <w:color w:val="000000"/>
          <w:sz w:val="18"/>
        </w:rPr>
        <w:t>We derive our revenue primarily from sales of genomic testing services to the following five customer types: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Pharma testing services</w:t>
      </w:r>
      <w:r>
        <w:rPr>
          <w:color w:val="000000"/>
        </w:rPr>
        <w:t xml:space="preserve"> </w:t>
      </w:r>
      <w:r>
        <w:rPr>
          <w:rFonts w:ascii="Arial" w:hAnsi="Arial"/>
          <w:color w:val="000000"/>
          <w:sz w:val="18"/>
        </w:rPr>
        <w:t>includes sales of testing services and data analytics for clinical trials and research to pharmaceutical companies in support of their oncology drug development programs.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Enterprise sales</w:t>
      </w:r>
      <w:r>
        <w:rPr>
          <w:color w:val="000000"/>
        </w:rPr>
        <w:t xml:space="preserve"> </w:t>
      </w:r>
      <w:r>
        <w:rPr>
          <w:rFonts w:ascii="Arial" w:hAnsi="Arial"/>
          <w:color w:val="000000"/>
          <w:sz w:val="18"/>
        </w:rPr>
        <w:t>includes sales of tumor profiling and diagnostic tests directly to other businesses as an input to their products. Revenue from our previous commercial relationship with Natera to provide advanced tumor analysis for use in Natera's MRD test made up substantially all of the revenue in this category.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Population sequencing</w:t>
      </w:r>
      <w:r>
        <w:rPr>
          <w:color w:val="000000"/>
        </w:rPr>
        <w:t xml:space="preserve"> </w:t>
      </w:r>
      <w:r>
        <w:rPr>
          <w:rFonts w:ascii="Arial" w:hAnsi="Arial"/>
          <w:color w:val="000000"/>
          <w:sz w:val="18"/>
        </w:rPr>
        <w:t>includes sales of genomic sequencing services and data analytics to support large-scale genetic research programs. All of the revenue in this category is from our partnership with the VA MVP.</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 xml:space="preserve">Clinical diagnostic </w:t>
      </w:r>
      <w:r>
        <w:rPr>
          <w:rFonts w:ascii="Arial" w:hAnsi="Arial"/>
          <w:color w:val="000000"/>
          <w:sz w:val="18"/>
        </w:rPr>
        <w:t>includes sales of comprehensive tumor profiling test that is used to help select therapy for a cancer patient and identify potential clinical trials for a patient, and sales of ultrasensitive, tumor-informed diagnostic tests, ordered by healthcare providers for cancer patients. Revenue in this category is derived from Medicare and private insurance reimbursements.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 xml:space="preserve">Other </w:t>
      </w:r>
      <w:r>
        <w:rPr>
          <w:rFonts w:ascii="Arial" w:hAnsi="Arial"/>
          <w:color w:val="000000"/>
          <w:sz w:val="18"/>
        </w:rPr>
        <w:t xml:space="preserve">includes sales of genomic tests and analytics to universities and non-profits. </w:t>
      </w:r>
    </w:p>
    <w:p>
      <w:pPr>
        <w:pStyle w:val="TextBody"/>
        <w:bidi w:val="0"/>
        <w:spacing w:before="200" w:after="283"/>
        <w:jc w:val="both"/>
        <w:rPr>
          <w:rFonts w:ascii="Times New Roman" w:hAnsi="Times New Roman"/>
          <w:sz w:val="20"/>
        </w:rPr>
      </w:pPr>
      <w:r>
        <w:rPr>
          <w:rFonts w:ascii="Arial" w:hAnsi="Arial"/>
          <w:color w:val="000000"/>
          <w:sz w:val="18"/>
        </w:rPr>
        <w:t>Our ability to increase revenue will depend on our ability to further increase sales to these groups of customers and expand our customer base within each group. To do this, we are developing a growing set of state-of-the-art services; advancing our operational infrastructure; building our regulatory credentials; focusing our marketing efforts on large pharmaceutical companies; building and publishing the clinical evidence-base to support our testing services in our key indications, pursuing reimbursement coverage from Medicare and other payors; and seeking additional partnerships. We market to biopharma customers and doctors through a small direct sales force and through our collaboration and partnership with Tempus where we are leveraging Tempus' significantly larger sales force to commercialize NeXT Personal Dx in the clinical diagnostics market as a key vector to grow our clinical diagnostic business.</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We have one reportable segment which is to provide advanced cancer genomic testing services for precision oncology applications, personalized testing, and other tests. Most of our revenue to date has been derived from sales in the United States.</w:t>
      </w:r>
    </w:p>
    <w:p>
      <w:pPr>
        <w:pStyle w:val="TextBody"/>
        <w:bidi w:val="0"/>
        <w:spacing w:before="200" w:after="283"/>
        <w:jc w:val="both"/>
        <w:rPr>
          <w:rFonts w:ascii="Arial" w:hAnsi="Arial"/>
          <w:b/>
          <w:i/>
          <w:color w:val="000000"/>
          <w:sz w:val="18"/>
        </w:rPr>
      </w:pPr>
      <w:r>
        <w:rPr>
          <w:rFonts w:ascii="Arial" w:hAnsi="Arial"/>
          <w:b/>
          <w:i/>
          <w:color w:val="000000"/>
          <w:sz w:val="18"/>
        </w:rPr>
        <w:t>Costs and Expenses</w:t>
      </w:r>
    </w:p>
    <w:p>
      <w:pPr>
        <w:pStyle w:val="TextBody"/>
        <w:bidi w:val="0"/>
        <w:spacing w:before="200" w:after="283"/>
        <w:jc w:val="both"/>
        <w:rPr>
          <w:rFonts w:ascii="Arial" w:hAnsi="Arial"/>
          <w:i/>
          <w:color w:val="000000"/>
          <w:sz w:val="18"/>
        </w:rPr>
      </w:pPr>
      <w:r>
        <w:rPr>
          <w:rFonts w:ascii="Arial" w:hAnsi="Arial"/>
          <w:i/>
          <w:color w:val="000000"/>
          <w:sz w:val="18"/>
        </w:rPr>
        <w:t>Cost of Revenue</w:t>
      </w:r>
    </w:p>
    <w:p>
      <w:pPr>
        <w:pStyle w:val="TextBody"/>
        <w:bidi w:val="0"/>
        <w:spacing w:before="200" w:after="283"/>
        <w:jc w:val="both"/>
        <w:rPr>
          <w:rFonts w:ascii="Times New Roman" w:hAnsi="Times New Roman"/>
          <w:sz w:val="20"/>
        </w:rPr>
      </w:pPr>
      <w:r>
        <w:rPr>
          <w:rFonts w:ascii="Arial" w:hAnsi="Arial"/>
          <w:color w:val="000000"/>
          <w:sz w:val="18"/>
        </w:rPr>
        <w:t>Cost of revenue includes costs for materials, personnel (salaries, bonuses, stock-based compensation, payroll taxes, and benefits), laboratory supplies and consumables, depreciation and equipment maintenance, allocated facilities and information technology (“IT”) costs and clinical diagnostic test costs. We expect variability in our gross margins over the medium-term due to fluctuations in customer mix and volume, investments in newer sequencing platforms and new capabilities, such as automation of laboratory workflows,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and processing of diagnostic tests for the clinical market while we work to secure reimbursement. Over the long-term, we anticipate gross margin expansion as we expect increases in revenue to result in economies of scale.</w:t>
      </w:r>
    </w:p>
    <w:p>
      <w:pPr>
        <w:pStyle w:val="TextBody"/>
        <w:bidi w:val="0"/>
        <w:spacing w:before="200" w:after="283"/>
        <w:jc w:val="both"/>
        <w:rPr>
          <w:rFonts w:ascii="Arial" w:hAnsi="Arial"/>
          <w:i/>
          <w:color w:val="000000"/>
          <w:sz w:val="18"/>
        </w:rPr>
      </w:pPr>
      <w:r>
        <w:rPr>
          <w:rFonts w:ascii="Arial" w:hAnsi="Arial"/>
          <w:i/>
          <w:color w:val="000000"/>
          <w:sz w:val="18"/>
        </w:rPr>
        <w:t>Research and Development Expenses</w:t>
      </w:r>
    </w:p>
    <w:p>
      <w:pPr>
        <w:pStyle w:val="TextBody"/>
        <w:bidi w:val="0"/>
        <w:spacing w:before="200" w:after="283"/>
        <w:jc w:val="both"/>
        <w:rPr>
          <w:rFonts w:ascii="Arial" w:hAnsi="Arial"/>
          <w:color w:val="000000"/>
          <w:sz w:val="18"/>
        </w:rPr>
      </w:pPr>
      <w:r>
        <w:rPr>
          <w:rFonts w:ascii="Arial" w:hAnsi="Arial"/>
          <w:color w:val="000000"/>
          <w:sz w:val="18"/>
        </w:rPr>
        <w:t>Research and development expenses includes costs incurred to develop technology and offerings, expenses for conducting clinical studies with collaborators and partners to validate the clinical benefits of our offerings and develop and implement workflow automation technologies.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pStyle w:val="TextBody"/>
        <w:bidi w:val="0"/>
        <w:spacing w:before="200" w:after="283"/>
        <w:jc w:val="both"/>
        <w:rPr>
          <w:rFonts w:ascii="Times New Roman" w:hAnsi="Times New Roman"/>
          <w:sz w:val="20"/>
        </w:rPr>
      </w:pPr>
      <w:r>
        <w:rPr>
          <w:rFonts w:ascii="Arial" w:hAnsi="Arial"/>
          <w:color w:val="000000"/>
          <w:sz w:val="18"/>
        </w:rPr>
        <w:t>We expense our research and development costs in the period in which they are incurred. We expect research and development expenses to continue to increase over time to support the growth of our clinical diagnostic offerings.</w:t>
      </w:r>
      <w:r>
        <w:rPr>
          <w:rFonts w:ascii="Times New Roman" w:hAnsi="Times New Roman"/>
          <w:color w:val="000000"/>
          <w:sz w:val="20"/>
        </w:rPr>
        <w:t xml:space="preserve"> </w:t>
      </w:r>
    </w:p>
    <w:p>
      <w:pPr>
        <w:pStyle w:val="TextBody"/>
        <w:bidi w:val="0"/>
        <w:spacing w:before="200" w:after="283"/>
        <w:jc w:val="both"/>
        <w:rPr>
          <w:rFonts w:ascii="Arial" w:hAnsi="Arial"/>
          <w:i/>
          <w:color w:val="000000"/>
          <w:sz w:val="18"/>
        </w:rPr>
      </w:pPr>
      <w:r>
        <w:rPr>
          <w:rFonts w:ascii="Arial" w:hAnsi="Arial"/>
          <w:i/>
          <w:color w:val="000000"/>
          <w:sz w:val="18"/>
        </w:rPr>
        <w:t>Selling, General and Administrative Expenses</w:t>
      </w:r>
    </w:p>
    <w:p>
      <w:pPr>
        <w:pStyle w:val="TextBody"/>
        <w:bidi w:val="0"/>
        <w:spacing w:before="200" w:after="283"/>
        <w:jc w:val="both"/>
        <w:rPr>
          <w:rFonts w:ascii="Arial" w:hAnsi="Arial"/>
          <w:color w:val="000000"/>
          <w:sz w:val="18"/>
        </w:rPr>
      </w:pPr>
      <w:r>
        <w:rPr>
          <w:rFonts w:ascii="Arial" w:hAnsi="Arial"/>
          <w:color w:val="000000"/>
          <w:sz w:val="18"/>
        </w:rPr>
        <w:t>Selling expenses consist of personnel costs (salaries, commissions, bonuses, stock-based compensation, payroll taxes, and benefits), customer support expenses, fees paid to Tempus (see Note 8, Related Party Transactions, in Part 1, Item 1 of this Form 10-Q in our Consolidated Financial Statements for additional information), marketing communication expenses, and market research. Our general and administrative expenses include costs for administration, finance and accounting, legal, and human resources functions. These expenses consist of personnel costs (salaries, bonuses, stock-based compensation, payroll taxes, and benefits), corporate insurance, audit and legal expenses, consulting costs, and facilities and IT costs. We expense all selling, general and administrative costs as incurred.</w:t>
      </w:r>
    </w:p>
    <w:p>
      <w:pPr>
        <w:pStyle w:val="TextBody"/>
        <w:bidi w:val="0"/>
        <w:spacing w:before="200" w:after="283"/>
        <w:jc w:val="both"/>
        <w:rPr>
          <w:rFonts w:ascii="Arial" w:hAnsi="Arial"/>
          <w:color w:val="000000"/>
          <w:sz w:val="18"/>
        </w:rPr>
      </w:pPr>
      <w:r>
        <w:rPr>
          <w:rFonts w:ascii="Arial" w:hAnsi="Arial"/>
          <w:color w:val="000000"/>
          <w:sz w:val="18"/>
        </w:rPr>
        <w:t>We expect selling, general and administrative expenses to continue to increase over time to support the growth of our clinical diagnostic offerings.</w:t>
      </w:r>
    </w:p>
    <w:p>
      <w:pPr>
        <w:pStyle w:val="TextBody"/>
        <w:bidi w:val="0"/>
        <w:spacing w:before="200" w:after="283"/>
        <w:jc w:val="both"/>
        <w:rPr>
          <w:rFonts w:ascii="Arial" w:hAnsi="Arial"/>
          <w:i/>
          <w:color w:val="000000"/>
          <w:sz w:val="18"/>
        </w:rPr>
      </w:pPr>
      <w:r>
        <w:rPr>
          <w:rFonts w:ascii="Arial" w:hAnsi="Arial"/>
          <w:i/>
          <w:color w:val="000000"/>
          <w:sz w:val="18"/>
        </w:rPr>
        <w:t>Interest Income and Interest Expense</w:t>
      </w:r>
    </w:p>
    <w:p>
      <w:pPr>
        <w:pStyle w:val="TextBody"/>
        <w:bidi w:val="0"/>
        <w:spacing w:before="200" w:after="283"/>
        <w:jc w:val="both"/>
        <w:rPr>
          <w:rFonts w:ascii="Arial" w:hAnsi="Arial"/>
          <w:color w:val="000000"/>
          <w:sz w:val="18"/>
        </w:rPr>
      </w:pPr>
      <w:r>
        <w:rPr>
          <w:rFonts w:ascii="Arial" w:hAnsi="Arial"/>
          <w:color w:val="000000"/>
          <w:sz w:val="18"/>
        </w:rPr>
        <w:t>Interest income consists primarily of interest earned on our cash, cash equivalents, and short-term investments. Interest expense is the recognition of imputed interest on noninterest bearing loans.</w:t>
      </w:r>
    </w:p>
    <w:p>
      <w:pPr>
        <w:pStyle w:val="TextBody"/>
        <w:bidi w:val="0"/>
        <w:spacing w:before="200" w:after="283"/>
        <w:jc w:val="both"/>
        <w:rPr>
          <w:rFonts w:ascii="Arial" w:hAnsi="Arial"/>
          <w:i/>
          <w:color w:val="000000"/>
          <w:sz w:val="18"/>
        </w:rPr>
      </w:pPr>
      <w:r>
        <w:rPr>
          <w:rFonts w:ascii="Arial" w:hAnsi="Arial"/>
          <w:i/>
          <w:color w:val="000000"/>
          <w:sz w:val="18"/>
        </w:rPr>
        <w:t>Other Income (Expense), Net</w:t>
      </w:r>
    </w:p>
    <w:p>
      <w:pPr>
        <w:pStyle w:val="TextBody"/>
        <w:bidi w:val="0"/>
        <w:spacing w:before="200" w:after="283"/>
        <w:jc w:val="both"/>
        <w:rPr>
          <w:rFonts w:ascii="Times New Roman" w:hAnsi="Times New Roman"/>
          <w:sz w:val="20"/>
        </w:rPr>
      </w:pPr>
      <w:r>
        <w:rPr>
          <w:rFonts w:ascii="Arial" w:hAnsi="Arial"/>
          <w:color w:val="000000"/>
          <w:sz w:val="18"/>
        </w:rPr>
        <w:t>Other income (expense), net consists primarily of foreign currency exchange gains and losses.</w:t>
      </w:r>
      <w:r>
        <w:rPr>
          <w:rFonts w:ascii="Times New Roman" w:hAnsi="Times New Roman"/>
          <w:color w:val="000000"/>
          <w:sz w:val="20"/>
        </w:rPr>
        <w:t xml:space="preserve"> </w:t>
      </w:r>
    </w:p>
    <w:p>
      <w:pPr>
        <w:pStyle w:val="TextBody"/>
        <w:bidi w:val="0"/>
        <w:spacing w:before="200" w:after="200"/>
        <w:jc w:val="both"/>
        <w:rPr>
          <w:rFonts w:ascii="Arial" w:hAnsi="Arial"/>
          <w:b/>
          <w:i/>
          <w:color w:val="000000"/>
          <w:sz w:val="18"/>
        </w:rPr>
      </w:pPr>
      <w:r>
        <w:rPr>
          <w:rFonts w:ascii="Arial" w:hAnsi="Arial"/>
          <w:b/>
          <w:i/>
          <w:color w:val="000000"/>
          <w:sz w:val="18"/>
        </w:rPr>
        <w:t>Results of Operations</w:t>
      </w:r>
    </w:p>
    <w:p>
      <w:pPr>
        <w:pStyle w:val="TextBody"/>
        <w:bidi w:val="0"/>
        <w:spacing w:before="0" w:after="200"/>
        <w:jc w:val="both"/>
        <w:rPr>
          <w:rFonts w:ascii="Arial" w:hAnsi="Arial"/>
          <w:color w:val="000000"/>
          <w:sz w:val="18"/>
        </w:rPr>
      </w:pPr>
      <w:r>
        <w:rPr>
          <w:rFonts w:ascii="Arial" w:hAnsi="Arial"/>
          <w:color w:val="000000"/>
          <w:sz w:val="18"/>
        </w:rPr>
        <w:t>The following sets forth, for the periods presented, our unaudited consolidated statements of operations and selected financial data (in thousands, except share and per share data):</w:t>
      </w:r>
    </w:p>
    <w:tbl>
      <w:tblPr>
        <w:tblW w:w="10205" w:type="dxa"/>
        <w:jc w:val="left"/>
        <w:tblInd w:w="0" w:type="dxa"/>
        <w:tblLayout w:type="fixed"/>
        <w:tblCellMar>
          <w:top w:w="28" w:type="dxa"/>
          <w:left w:w="28" w:type="dxa"/>
          <w:bottom w:w="28" w:type="dxa"/>
          <w:right w:w="28" w:type="dxa"/>
        </w:tblCellMar>
      </w:tblPr>
      <w:tblGrid>
        <w:gridCol w:w="3134"/>
        <w:gridCol w:w="146"/>
        <w:gridCol w:w="211"/>
        <w:gridCol w:w="1141"/>
        <w:gridCol w:w="166"/>
        <w:gridCol w:w="146"/>
        <w:gridCol w:w="211"/>
        <w:gridCol w:w="1036"/>
        <w:gridCol w:w="166"/>
        <w:gridCol w:w="146"/>
        <w:gridCol w:w="211"/>
        <w:gridCol w:w="1141"/>
        <w:gridCol w:w="166"/>
        <w:gridCol w:w="146"/>
        <w:gridCol w:w="211"/>
        <w:gridCol w:w="1036"/>
        <w:gridCol w:w="791"/>
      </w:tblGrid>
      <w:tr>
        <w:trPr/>
        <w:tc>
          <w:tcPr>
            <w:tcW w:w="3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Consolidated Statements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Revenue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25,845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Selling, general and administrative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(39,500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(35,797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105,424,708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88,517,498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104,808,285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87,990,691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revenue of $8.4 million and $1.9 million for the three months ended June 30, 2026 and 2025, respectively, and $11.5 million and $2.4 million for the six months ended June 30, 2026 and 2025, respectively.</w:t>
      </w:r>
    </w:p>
    <w:p>
      <w:pPr>
        <w:pStyle w:val="TextBody"/>
        <w:bidi w:val="0"/>
        <w:spacing w:before="240" w:after="283"/>
        <w:jc w:val="center"/>
        <w:rPr>
          <w:rFonts w:ascii="Arial" w:hAnsi="Arial"/>
          <w:color w:val="000000"/>
          <w:sz w:val="18"/>
        </w:rPr>
      </w:pPr>
      <w:r>
        <w:rPr>
          <w:rFonts w:ascii="Arial" w:hAnsi="Arial"/>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(2) Includes related party sales and marketing expenses of $3.8 million and $0.9 million for the three months ended June 30, 2026 and 2025, respectively, and $6.7 million and $1.5 million for the six months ended June 30, 2026 and 2025, respectively.</w:t>
      </w:r>
    </w:p>
    <w:p>
      <w:pPr>
        <w:pStyle w:val="TextBody"/>
        <w:bidi w:val="0"/>
        <w:jc w:val="left"/>
        <w:rPr/>
      </w:pPr>
      <w:r>
        <w:rPr/>
        <w:t> </w:t>
      </w:r>
    </w:p>
    <w:tbl>
      <w:tblPr>
        <w:tblW w:w="8010" w:type="dxa"/>
        <w:jc w:val="left"/>
        <w:tblInd w:w="0" w:type="dxa"/>
        <w:tblLayout w:type="fixed"/>
        <w:tblCellMar>
          <w:top w:w="28" w:type="dxa"/>
          <w:left w:w="28" w:type="dxa"/>
          <w:bottom w:w="28" w:type="dxa"/>
          <w:right w:w="28" w:type="dxa"/>
        </w:tblCellMar>
      </w:tblPr>
      <w:tblGrid>
        <w:gridCol w:w="4636"/>
        <w:gridCol w:w="146"/>
        <w:gridCol w:w="249"/>
        <w:gridCol w:w="921"/>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Total assets</w:t>
            </w:r>
            <w:r>
              <w:rPr>
                <w:rFonts w:ascii="Times New Roman" w:hAnsi="Times New Roman"/>
                <w:color w:val="000000"/>
                <w:sz w:val="18"/>
              </w:rPr>
              <w:t>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Total liabilities</w:t>
            </w:r>
            <w:r>
              <w:rPr>
                <w:rFonts w:ascii="Times New Roman" w:hAnsi="Times New Roman"/>
                <w:color w:val="000000"/>
                <w:sz w:val="18"/>
              </w:rPr>
              <w:t> </w:t>
            </w:r>
            <w:r>
              <w:rPr>
                <w:rFonts w:ascii="Arial" w:hAnsi="Arial"/>
                <w:color w:val="000000"/>
                <w:sz w:val="12"/>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261,185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accounts receivable of $7.5 million and $2.5 million as of June 30, 2026 and December 31, 2025, respectively.</w:t>
      </w:r>
    </w:p>
    <w:p>
      <w:pPr>
        <w:pStyle w:val="TextBody"/>
        <w:bidi w:val="0"/>
        <w:jc w:val="left"/>
        <w:rPr>
          <w:rFonts w:ascii="Arial" w:hAnsi="Arial"/>
          <w:color w:val="000000"/>
          <w:sz w:val="16"/>
        </w:rPr>
      </w:pPr>
      <w:r>
        <w:rPr>
          <w:rFonts w:ascii="Arial" w:hAnsi="Arial"/>
          <w:color w:val="000000"/>
          <w:sz w:val="16"/>
        </w:rPr>
        <w:t>(2) Includes related party liabilities of $5.4 million and $5.7 million as of June 30, 2026 and December 31, 2025, respectively.</w:t>
      </w:r>
    </w:p>
    <w:p>
      <w:pPr>
        <w:pStyle w:val="TextBody"/>
        <w:bidi w:val="0"/>
        <w:jc w:val="both"/>
        <w:rPr>
          <w:rFonts w:ascii="Arial" w:hAnsi="Arial"/>
          <w:color w:val="000000"/>
          <w:sz w:val="16"/>
        </w:rPr>
      </w:pPr>
      <w:r>
        <w:rPr>
          <w:rFonts w:ascii="Arial" w:hAnsi="Arial"/>
          <w:color w:val="000000"/>
          <w:sz w:val="16"/>
        </w:rPr>
        <w:t>(3) Includes related party contract liabilities of $1.7 million and nil as of June 30, 2026 and December 31, 2025, respectively.</w:t>
      </w:r>
    </w:p>
    <w:p>
      <w:pPr>
        <w:pStyle w:val="TextBody"/>
        <w:bidi w:val="0"/>
        <w:spacing w:before="200" w:after="200"/>
        <w:jc w:val="both"/>
        <w:rPr>
          <w:rFonts w:ascii="Arial" w:hAnsi="Arial"/>
          <w:b/>
          <w:i/>
          <w:color w:val="000000"/>
          <w:sz w:val="18"/>
        </w:rPr>
      </w:pPr>
      <w:r>
        <w:rPr>
          <w:rFonts w:ascii="Arial" w:hAnsi="Arial"/>
          <w:b/>
          <w:i/>
          <w:color w:val="000000"/>
          <w:sz w:val="18"/>
        </w:rPr>
        <w:t>Revenue</w:t>
      </w:r>
    </w:p>
    <w:p>
      <w:pPr>
        <w:pStyle w:val="TextBody"/>
        <w:bidi w:val="0"/>
        <w:spacing w:before="0" w:after="200"/>
        <w:jc w:val="both"/>
        <w:rPr>
          <w:rFonts w:ascii="Arial" w:hAnsi="Arial"/>
          <w:color w:val="000000"/>
          <w:sz w:val="18"/>
        </w:rPr>
      </w:pPr>
      <w:r>
        <w:rPr>
          <w:rFonts w:ascii="Arial" w:hAnsi="Arial"/>
          <w:color w:val="000000"/>
          <w:sz w:val="18"/>
        </w:rPr>
        <w:t>The following table shows revenue by customer type (in thousands, except percentages):</w:t>
      </w:r>
    </w:p>
    <w:tbl>
      <w:tblPr>
        <w:tblW w:w="9043" w:type="dxa"/>
        <w:jc w:val="left"/>
        <w:tblInd w:w="0" w:type="dxa"/>
        <w:tblLayout w:type="fixed"/>
        <w:tblCellMar>
          <w:top w:w="28" w:type="dxa"/>
          <w:left w:w="28" w:type="dxa"/>
          <w:bottom w:w="28" w:type="dxa"/>
          <w:right w:w="28" w:type="dxa"/>
        </w:tblCellMar>
      </w:tblPr>
      <w:tblGrid>
        <w:gridCol w:w="2266"/>
        <w:gridCol w:w="146"/>
        <w:gridCol w:w="251"/>
        <w:gridCol w:w="805"/>
        <w:gridCol w:w="173"/>
        <w:gridCol w:w="173"/>
        <w:gridCol w:w="251"/>
        <w:gridCol w:w="805"/>
        <w:gridCol w:w="146"/>
        <w:gridCol w:w="721"/>
        <w:gridCol w:w="146"/>
        <w:gridCol w:w="229"/>
        <w:gridCol w:w="736"/>
        <w:gridCol w:w="159"/>
        <w:gridCol w:w="159"/>
        <w:gridCol w:w="229"/>
        <w:gridCol w:w="736"/>
        <w:gridCol w:w="146"/>
        <w:gridCol w:w="76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Pharma testing services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16,789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27,513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(92%)</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Clinical diagnostic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411%</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299%</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37,829</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w:t>
            </w:r>
          </w:p>
        </w:tc>
      </w:tr>
    </w:tbl>
    <w:p>
      <w:pPr>
        <w:pStyle w:val="TextBody"/>
        <w:pBdr>
          <w:bottom w:val="single" w:sz="6" w:space="1" w:color="000000"/>
        </w:pBdr>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revenue of $8.4 million and $1.9 million for the three months ended June 30, 2026 and 2025, respectively, and $11.5 million and $2.4 million for the six months ended June 30, 2026 and 2025, respectively.</w:t>
      </w:r>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The following table shows customers that made up at least 10% of total revenue in at least one of the periods presented:</w:t>
      </w:r>
    </w:p>
    <w:tbl>
      <w:tblPr>
        <w:tblW w:w="6727" w:type="dxa"/>
        <w:jc w:val="left"/>
        <w:tblInd w:w="0" w:type="dxa"/>
        <w:tblLayout w:type="fixed"/>
        <w:tblCellMar>
          <w:top w:w="28" w:type="dxa"/>
          <w:left w:w="28" w:type="dxa"/>
          <w:bottom w:w="28" w:type="dxa"/>
          <w:right w:w="28" w:type="dxa"/>
        </w:tblCellMar>
      </w:tblPr>
      <w:tblGrid>
        <w:gridCol w:w="1681"/>
        <w:gridCol w:w="146"/>
        <w:gridCol w:w="1068"/>
        <w:gridCol w:w="324"/>
        <w:gridCol w:w="1068"/>
        <w:gridCol w:w="146"/>
        <w:gridCol w:w="957"/>
        <w:gridCol w:w="290"/>
        <w:gridCol w:w="1047"/>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Merck &amp; Co., Inc.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 MVP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ModernaTX,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Natera,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 Less than 10% of revenue</w:t>
      </w:r>
    </w:p>
    <w:p>
      <w:pPr>
        <w:pStyle w:val="TextBody"/>
        <w:bidi w:val="0"/>
        <w:jc w:val="left"/>
        <w:rPr>
          <w:rFonts w:ascii="Arial" w:hAnsi="Arial"/>
          <w:color w:val="000000"/>
          <w:sz w:val="16"/>
        </w:rPr>
      </w:pPr>
      <w:r>
        <w:rPr>
          <w:rFonts w:ascii="Arial" w:hAnsi="Arial"/>
          <w:color w:val="000000"/>
          <w:sz w:val="16"/>
        </w:rPr>
        <w:t>(1) Consists of related party revenue.</w:t>
      </w:r>
    </w:p>
    <w:p>
      <w:pPr>
        <w:pStyle w:val="TextBody"/>
        <w:bidi w:val="0"/>
        <w:spacing w:before="200" w:after="283"/>
        <w:jc w:val="both"/>
        <w:rPr>
          <w:rFonts w:ascii="Arial" w:hAnsi="Arial"/>
          <w:i/>
          <w:color w:val="000000"/>
          <w:sz w:val="18"/>
        </w:rPr>
      </w:pPr>
      <w:r>
        <w:rPr>
          <w:rFonts w:ascii="Arial" w:hAnsi="Arial"/>
          <w:i/>
          <w:color w:val="000000"/>
          <w:sz w:val="18"/>
        </w:rPr>
        <w:t>Pharma testing services</w:t>
      </w:r>
    </w:p>
    <w:p>
      <w:pPr>
        <w:pStyle w:val="TextBody"/>
        <w:bidi w:val="0"/>
        <w:spacing w:before="200" w:after="283"/>
        <w:jc w:val="both"/>
        <w:rPr>
          <w:rFonts w:ascii="Arial" w:hAnsi="Arial"/>
          <w:color w:val="000000"/>
          <w:sz w:val="18"/>
        </w:rPr>
      </w:pPr>
      <w:r>
        <w:rPr>
          <w:rFonts w:ascii="Arial" w:hAnsi="Arial"/>
          <w:color w:val="000000"/>
          <w:sz w:val="18"/>
        </w:rPr>
        <w:t>The increase in pharma testing services revenue in the second quarter of 2026 and the first half of 2026 compared to the same periods of 2025 was primarily due to an increase in the number of clinical trial samples processed for Merck. We expect variability in revenue from pharmaceutical companies in the future due to the timing of their patient enrollment for clinical trials or project schedules.</w:t>
      </w:r>
    </w:p>
    <w:p>
      <w:pPr>
        <w:pStyle w:val="TextBody"/>
        <w:bidi w:val="0"/>
        <w:spacing w:before="200" w:after="283"/>
        <w:jc w:val="both"/>
        <w:rPr>
          <w:rFonts w:ascii="Arial" w:hAnsi="Arial"/>
          <w:i/>
          <w:color w:val="000000"/>
          <w:sz w:val="18"/>
        </w:rPr>
      </w:pPr>
      <w:r>
        <w:rPr>
          <w:rFonts w:ascii="Arial" w:hAnsi="Arial"/>
          <w:i/>
          <w:color w:val="000000"/>
          <w:sz w:val="18"/>
        </w:rPr>
        <w:t>Enterprise sales</w:t>
      </w:r>
    </w:p>
    <w:p>
      <w:pPr>
        <w:pStyle w:val="TextBody"/>
        <w:bidi w:val="0"/>
        <w:spacing w:before="200" w:after="283"/>
        <w:jc w:val="both"/>
        <w:rPr>
          <w:rFonts w:ascii="Times New Roman" w:hAnsi="Times New Roman"/>
          <w:sz w:val="20"/>
        </w:rPr>
      </w:pPr>
      <w:r>
        <w:rPr>
          <w:rFonts w:ascii="Arial" w:hAnsi="Arial"/>
          <w:color w:val="000000"/>
          <w:sz w:val="18"/>
        </w:rPr>
        <w:t>The decrease in revenue from enterprise sales in the second quarter of 2026 and the first half of 2026 compared to the same periods of 2025 was due to the expected decrease in the number of samples processed for Natera after the second quarter of 2025 when the minimum volume commitments in our agreement with Natera expired. We no longer have a commercial relationship with Natera and do not expect to have one going forward</w:t>
      </w:r>
      <w:r>
        <w:rPr>
          <w:rFonts w:ascii="Times New Roman" w:hAnsi="Times New Roman"/>
          <w:color w:val="000000"/>
          <w:sz w:val="18"/>
        </w:rPr>
        <w:t>.</w:t>
      </w:r>
    </w:p>
    <w:p>
      <w:pPr>
        <w:pStyle w:val="TextBody"/>
        <w:bidi w:val="0"/>
        <w:spacing w:before="200" w:after="283"/>
        <w:jc w:val="both"/>
        <w:rPr>
          <w:rFonts w:ascii="Arial" w:hAnsi="Arial"/>
          <w:i/>
          <w:color w:val="000000"/>
          <w:sz w:val="18"/>
        </w:rPr>
      </w:pPr>
      <w:r>
        <w:rPr>
          <w:rFonts w:ascii="Arial" w:hAnsi="Arial"/>
          <w:i/>
          <w:color w:val="000000"/>
          <w:sz w:val="18"/>
        </w:rPr>
        <w:t>Population sequencing</w:t>
      </w:r>
    </w:p>
    <w:p>
      <w:pPr>
        <w:pStyle w:val="TextBody"/>
        <w:bidi w:val="0"/>
        <w:spacing w:before="200" w:after="283"/>
        <w:jc w:val="both"/>
        <w:rPr>
          <w:rFonts w:ascii="Arial" w:hAnsi="Arial"/>
          <w:color w:val="000000"/>
          <w:sz w:val="18"/>
        </w:rPr>
      </w:pPr>
      <w:r>
        <w:rPr>
          <w:rFonts w:ascii="Arial" w:hAnsi="Arial"/>
          <w:color w:val="000000"/>
          <w:sz w:val="18"/>
        </w:rPr>
        <w:t>Revenue recognized each period from population sequencing is impacted by timing of our fulfillment of samples under each annual task order. The decrease in revenue in the second quarter of 2026 and in the first half of 2026 compared to the same periods of 2025 was due to a planned decrease in the number of samples we processed. Our annual task orders received in 2025 and 2024 were $13.5 million and $7.5 million, respectively. Our contract with the VA MVP does not include specific testing turnaround times. Therefore, we may modulate the volume of samples processed from the VA MVP to accommodate sample volumes from other customers, which can vary from period to period. We anticipate fulfilling the task order received in August 2025 during the first three quarters of 2026.</w:t>
      </w:r>
    </w:p>
    <w:p>
      <w:pPr>
        <w:pStyle w:val="TextBody"/>
        <w:bidi w:val="0"/>
        <w:spacing w:before="240" w:after="283"/>
        <w:jc w:val="center"/>
        <w:rPr>
          <w:rFonts w:ascii="Arial" w:hAnsi="Arial"/>
          <w:color w:val="000000"/>
          <w:sz w:val="18"/>
        </w:rPr>
      </w:pPr>
      <w:r>
        <w:rPr>
          <w:rFonts w:ascii="Arial" w:hAnsi="Arial"/>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Clinical diagnostic</w:t>
      </w:r>
    </w:p>
    <w:p>
      <w:pPr>
        <w:pStyle w:val="TextBody"/>
        <w:bidi w:val="0"/>
        <w:spacing w:before="200" w:after="283"/>
        <w:jc w:val="both"/>
        <w:rPr>
          <w:color w:val="000000"/>
        </w:rPr>
      </w:pPr>
      <w:r>
        <w:rPr>
          <w:rFonts w:ascii="Arial" w:hAnsi="Arial"/>
          <w:color w:val="000000"/>
          <w:sz w:val="18"/>
        </w:rPr>
        <w:t xml:space="preserve">Clinical diagnostic revenue is generated from Medicare and private insurance payors. In January 2024, we received a Medicare coverage determination for NeXT Dx, our ultra-comprehensive tumor genomic profiling assay. In November 2025, we received Medicare coverage determination for NeXT Personal Dx for post-treatment surveillance of cancer recurrence in patients with Stage II and III breast cancer, with an effective date of October 7, 2025. In February 2026, we received Medicare coverage for NeXT Personal Dx for surveillance of patients with Stage I to III NSCLC, with an effective date of January 9, 2026. In May 2026, we received Medicare coverage for NeXT Personal Dx for immunotherapy monitoring for patients with late-stage solid tumors, with an effective date of March 16, 2026. In May 2026, we also received Medicare coverage for NeXT Personal Dx for monitoring treatment response to NAT in patients diagnosed with Stage II-III TNBC or HER2+ breast cancer, with an effective date of April 6, 2026. </w:t>
      </w:r>
      <w:r>
        <w:rPr>
          <w:rFonts w:cs="Arial"/>
          <w:color w:val="000000"/>
          <w:szCs w:val="18"/>
        </w:rPr>
        <w:t>﻿</w:t>
      </w:r>
      <w:r>
        <w:rPr>
          <w:rFonts w:ascii="Arial" w:hAnsi="Arial"/>
          <w:color w:val="000000"/>
          <w:sz w:val="18"/>
        </w:rPr>
        <w:t>The increases in clinical diagnostic revenue in the second quarter of 2026 and in the first half of 2026 compared to the same periods of 2025 were mainly attributable to an increase in NeXT Dx test volume and NeXT Personal Dx reimbursements received from certain private payors and Medicare for breast cancer, NSCLC surveillance, immunotherapy monitoring for patients with late-stage solid tumors and NAT monitoring for breast cancer.</w:t>
      </w:r>
    </w:p>
    <w:p>
      <w:pPr>
        <w:pStyle w:val="TextBody"/>
        <w:bidi w:val="0"/>
        <w:spacing w:before="200" w:after="200"/>
        <w:jc w:val="both"/>
        <w:rPr>
          <w:rFonts w:ascii="Arial" w:hAnsi="Arial"/>
          <w:b/>
          <w:i/>
          <w:color w:val="000000"/>
          <w:sz w:val="18"/>
        </w:rPr>
      </w:pPr>
      <w:r>
        <w:rPr>
          <w:rFonts w:ascii="Arial" w:hAnsi="Arial"/>
          <w:b/>
          <w:i/>
          <w:color w:val="000000"/>
          <w:sz w:val="18"/>
        </w:rPr>
        <w:t>Costs and Expenses</w:t>
      </w:r>
    </w:p>
    <w:p>
      <w:pPr>
        <w:pStyle w:val="TextBody"/>
        <w:bidi w:val="0"/>
        <w:spacing w:before="0" w:after="200"/>
        <w:jc w:val="both"/>
        <w:rPr>
          <w:rFonts w:ascii="Arial" w:hAnsi="Arial"/>
          <w:color w:val="000000"/>
          <w:sz w:val="18"/>
        </w:rPr>
      </w:pPr>
      <w:r>
        <w:rPr>
          <w:rFonts w:ascii="Arial" w:hAnsi="Arial"/>
          <w:color w:val="000000"/>
          <w:sz w:val="18"/>
        </w:rPr>
        <w:t>The following table shows costs and expenses (in thousands, except percentages):</w:t>
      </w:r>
    </w:p>
    <w:tbl>
      <w:tblPr>
        <w:tblW w:w="10022" w:type="dxa"/>
        <w:jc w:val="left"/>
        <w:tblInd w:w="0" w:type="dxa"/>
        <w:tblLayout w:type="fixed"/>
        <w:tblCellMar>
          <w:top w:w="28" w:type="dxa"/>
          <w:left w:w="28" w:type="dxa"/>
          <w:bottom w:w="28" w:type="dxa"/>
          <w:right w:w="28" w:type="dxa"/>
        </w:tblCellMar>
      </w:tblPr>
      <w:tblGrid>
        <w:gridCol w:w="2956"/>
        <w:gridCol w:w="346"/>
        <w:gridCol w:w="211"/>
        <w:gridCol w:w="676"/>
        <w:gridCol w:w="146"/>
        <w:gridCol w:w="146"/>
        <w:gridCol w:w="211"/>
        <w:gridCol w:w="676"/>
        <w:gridCol w:w="146"/>
        <w:gridCol w:w="346"/>
        <w:gridCol w:w="346"/>
        <w:gridCol w:w="481"/>
        <w:gridCol w:w="211"/>
        <w:gridCol w:w="781"/>
        <w:gridCol w:w="146"/>
        <w:gridCol w:w="146"/>
        <w:gridCol w:w="211"/>
        <w:gridCol w:w="676"/>
        <w:gridCol w:w="146"/>
        <w:gridCol w:w="146"/>
        <w:gridCol w:w="146"/>
        <w:gridCol w:w="726"/>
      </w:tblGrid>
      <w:tr>
        <w:trPr/>
        <w:tc>
          <w:tcPr>
            <w:tcW w:w="29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3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51%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costs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34%</w:t>
            </w:r>
          </w:p>
        </w:tc>
      </w:tr>
    </w:tbl>
    <w:p>
      <w:pPr>
        <w:pStyle w:val="TextBody"/>
        <w:bidi w:val="0"/>
        <w:spacing w:before="200" w:after="283"/>
        <w:jc w:val="both"/>
        <w:rPr>
          <w:rFonts w:ascii="Arial" w:hAnsi="Arial"/>
          <w:i/>
          <w:color w:val="000000"/>
          <w:sz w:val="18"/>
        </w:rPr>
      </w:pPr>
      <w:r>
        <w:rPr>
          <w:rFonts w:ascii="Arial" w:hAnsi="Arial"/>
          <w:i/>
          <w:color w:val="000000"/>
          <w:sz w:val="18"/>
        </w:rPr>
        <w:t>Cost of revenue</w:t>
      </w:r>
    </w:p>
    <w:p>
      <w:pPr>
        <w:pStyle w:val="TextBody"/>
        <w:bidi w:val="0"/>
        <w:spacing w:before="200" w:after="283"/>
        <w:jc w:val="both"/>
        <w:rPr>
          <w:rFonts w:ascii="Arial" w:hAnsi="Arial"/>
          <w:color w:val="000000"/>
          <w:sz w:val="18"/>
        </w:rPr>
      </w:pPr>
      <w:r>
        <w:rPr>
          <w:rFonts w:ascii="Arial" w:hAnsi="Arial"/>
          <w:color w:val="000000"/>
          <w:sz w:val="18"/>
        </w:rPr>
        <w:t>The increase in cost of revenue in the second quarter of 2026 and in the first half of 2026 compared to the same periods of 2025 was primarily due to increased clinical diagnostic test costs where the corresponding revenue and reimbursement amounts were less than the cost of the testing services due to selling testing services in advance of Medicare reimbursement in order to gain market share.</w:t>
      </w:r>
    </w:p>
    <w:p>
      <w:pPr>
        <w:pStyle w:val="TextBody"/>
        <w:bidi w:val="0"/>
        <w:spacing w:before="200" w:after="283"/>
        <w:jc w:val="both"/>
        <w:rPr>
          <w:rFonts w:ascii="Arial" w:hAnsi="Arial"/>
          <w:color w:val="000000"/>
          <w:sz w:val="18"/>
        </w:rPr>
      </w:pPr>
      <w:r>
        <w:rPr>
          <w:rFonts w:ascii="Arial" w:hAnsi="Arial"/>
          <w:color w:val="000000"/>
          <w:sz w:val="18"/>
        </w:rPr>
        <w:t>Specific components of the increase in the second quarter of 2026 were a $3.2 million increase in diagnostic test costs, a $1.6 million increase in direct material costs due to higher biopharma revenue, a $1.1 million increase in personnel costs, and a $0.3 million increase in equipment maintenance costs, offset partially by a $1.0 million decrease in laboratory supplies costs.</w:t>
      </w:r>
    </w:p>
    <w:p>
      <w:pPr>
        <w:pStyle w:val="TextBody"/>
        <w:bidi w:val="0"/>
        <w:spacing w:before="200" w:after="283"/>
        <w:jc w:val="both"/>
        <w:rPr>
          <w:rFonts w:ascii="Arial" w:hAnsi="Arial"/>
          <w:color w:val="000000"/>
          <w:sz w:val="18"/>
        </w:rPr>
      </w:pPr>
      <w:r>
        <w:rPr>
          <w:rFonts w:ascii="Arial" w:hAnsi="Arial"/>
          <w:color w:val="000000"/>
          <w:sz w:val="18"/>
        </w:rPr>
        <w:t>Specific components of the increase in the first half of 2026 were a $3.8 million increase in diagnostic test costs, a $1.2 million increase in direct material costs due to higher biopharma revenue, a $1.8 million increase in personnel costs, a $0.4 million increase in equipment maintenance costs, and a $0.3 million increase in facilities costs, offset partially by a $0.5 million decrease in laboratory supplies costs.</w:t>
      </w:r>
    </w:p>
    <w:p>
      <w:pPr>
        <w:pStyle w:val="TextBody"/>
        <w:bidi w:val="0"/>
        <w:spacing w:before="200" w:after="283"/>
        <w:jc w:val="both"/>
        <w:rPr>
          <w:rFonts w:ascii="Arial" w:hAnsi="Arial"/>
          <w:i/>
          <w:color w:val="000000"/>
          <w:sz w:val="18"/>
        </w:rPr>
      </w:pPr>
      <w:r>
        <w:rPr>
          <w:rFonts w:ascii="Arial" w:hAnsi="Arial"/>
          <w:i/>
          <w:color w:val="000000"/>
          <w:sz w:val="18"/>
        </w:rPr>
        <w:t>Research and development</w:t>
      </w:r>
    </w:p>
    <w:p>
      <w:pPr>
        <w:pStyle w:val="TextBody"/>
        <w:bidi w:val="0"/>
        <w:spacing w:before="200" w:after="283"/>
        <w:jc w:val="both"/>
        <w:rPr>
          <w:rFonts w:ascii="Arial" w:hAnsi="Arial"/>
          <w:color w:val="000000"/>
          <w:sz w:val="18"/>
        </w:rPr>
      </w:pPr>
      <w:r>
        <w:rPr>
          <w:rFonts w:ascii="Arial" w:hAnsi="Arial"/>
          <w:color w:val="000000"/>
          <w:sz w:val="18"/>
        </w:rPr>
        <w:t>The increases in research and development in the second quarter of 2026 and in the first half of 2026 compared to the same periods of 2025 were primarily due to increased personnel and personnel-related costs due to higher compensation costs and increased headcount and R&amp;D lab activities. These expenses increased in order to further and complete clinical evidence studies, process development work to enhance laboratory operations’ productivity, and technology development.</w:t>
      </w:r>
    </w:p>
    <w:p>
      <w:pPr>
        <w:pStyle w:val="TextBody"/>
        <w:bidi w:val="0"/>
        <w:spacing w:before="200" w:after="283"/>
        <w:jc w:val="both"/>
        <w:rPr>
          <w:rFonts w:ascii="Times New Roman" w:hAnsi="Times New Roman"/>
          <w:sz w:val="20"/>
        </w:rPr>
      </w:pPr>
      <w:r>
        <w:rPr>
          <w:rFonts w:ascii="Arial" w:hAnsi="Arial"/>
          <w:color w:val="000000"/>
          <w:sz w:val="18"/>
        </w:rPr>
        <w:t>Specific components of the increase in the second quarter of 2026 were a $2.2 million increase in personnel and personnel-related costs driven by increased headcount and employee compensation and a $1.8 million increase due to higher lab supplies utilized, IT and internal operation supports, and consulting services for R&amp;D projects.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color w:val="000000"/>
          <w:sz w:val="18"/>
        </w:rPr>
        <w:t>Specific components of the increase in the first half of 2026 were a $3.7 million increase in personnel and personnel-related costs driven by increased headcount and employee compensation and a $2.2 million increase in lab supplies utilized, IT related expenses, and consulting services to support R&amp;D projects and volume growth.</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Selling, general and administrative</w:t>
      </w:r>
    </w:p>
    <w:p>
      <w:pPr>
        <w:pStyle w:val="TextBody"/>
        <w:bidi w:val="0"/>
        <w:spacing w:before="200" w:after="283"/>
        <w:jc w:val="both"/>
        <w:rPr>
          <w:rFonts w:ascii="Arial" w:hAnsi="Arial"/>
          <w:color w:val="000000"/>
          <w:sz w:val="18"/>
        </w:rPr>
      </w:pPr>
      <w:r>
        <w:rPr>
          <w:rFonts w:ascii="Arial" w:hAnsi="Arial"/>
          <w:color w:val="000000"/>
          <w:sz w:val="18"/>
        </w:rPr>
        <w:t>The increases in selling, general and administrative expenses in the second quarter of 2026 and in the first half of 2026 compared to the same periods of 2025 were primarily due to increased personnel and personnel related expenses due to higher compensation costs and increased headcount and marketing expenses associated with increases in testing volume for NeXT Personal Dx.</w:t>
      </w:r>
    </w:p>
    <w:p>
      <w:pPr>
        <w:pStyle w:val="TextBody"/>
        <w:bidi w:val="0"/>
        <w:spacing w:before="200" w:after="283"/>
        <w:jc w:val="both"/>
        <w:rPr>
          <w:rFonts w:ascii="Times New Roman" w:hAnsi="Times New Roman"/>
          <w:sz w:val="20"/>
        </w:rPr>
      </w:pPr>
      <w:r>
        <w:rPr>
          <w:rFonts w:ascii="Arial" w:hAnsi="Arial"/>
          <w:color w:val="000000"/>
          <w:sz w:val="18"/>
        </w:rPr>
        <w:t>Specific components of the increase in the second quarter of 2026 were a $3.3 million increase in Tempus' sales and marketing expenses and commercial-related expenses associated with higher NeXT Personal Dx testing volume, a $3.5 million increase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personnel and personnel related expenses due to higher headcount and employee compensation, and a $1.3 million increase in professional services primary associated with the Merger Agreement, partially offset by a $0.3 million decrease in depreciation expenses.</w:t>
      </w:r>
    </w:p>
    <w:p>
      <w:pPr>
        <w:pStyle w:val="TextBody"/>
        <w:bidi w:val="0"/>
        <w:spacing w:before="200" w:after="283"/>
        <w:jc w:val="both"/>
        <w:rPr>
          <w:rFonts w:ascii="Arial" w:hAnsi="Arial"/>
          <w:color w:val="000000"/>
          <w:sz w:val="18"/>
        </w:rPr>
      </w:pPr>
      <w:r>
        <w:rPr>
          <w:rFonts w:ascii="Arial" w:hAnsi="Arial"/>
          <w:color w:val="000000"/>
          <w:sz w:val="18"/>
        </w:rPr>
        <w:t>Specific components of the increase in the first half of 2026 were a $6.6 million increase in Tempus' sales and marketing expenses and commercial-related expenses associated with higher NeXT Personal Dx testing volume, a $5.9 million increase in personnel and personnel-related expenses due to higher sales commission, headcount, and employee compensation, and a $1.6 million increase in professional services primarily associated with the Merger Agreement, partially offset by a $0.6 million decrease in depreciation expenses.</w:t>
      </w:r>
    </w:p>
    <w:p>
      <w:pPr>
        <w:pStyle w:val="TextBody"/>
        <w:bidi w:val="0"/>
        <w:jc w:val="left"/>
        <w:rPr/>
      </w:pPr>
      <w:r>
        <w:rPr/>
        <w:t> </w:t>
      </w:r>
    </w:p>
    <w:p>
      <w:pPr>
        <w:pStyle w:val="TextBody"/>
        <w:bidi w:val="0"/>
        <w:spacing w:before="200" w:after="200"/>
        <w:jc w:val="both"/>
        <w:rPr>
          <w:rFonts w:ascii="Arial" w:hAnsi="Arial"/>
          <w:b/>
          <w:i/>
          <w:color w:val="000000"/>
          <w:sz w:val="18"/>
        </w:rPr>
      </w:pPr>
      <w:r>
        <w:rPr>
          <w:rFonts w:ascii="Arial" w:hAnsi="Arial"/>
          <w:b/>
          <w:i/>
          <w:color w:val="000000"/>
          <w:sz w:val="18"/>
        </w:rPr>
        <w:t>Interest Income, Interest Expense, and Other Income (Expense), Net</w:t>
      </w:r>
    </w:p>
    <w:p>
      <w:pPr>
        <w:pStyle w:val="TextBody"/>
        <w:bidi w:val="0"/>
        <w:jc w:val="both"/>
        <w:rPr>
          <w:rFonts w:ascii="Arial" w:hAnsi="Arial"/>
          <w:color w:val="000000"/>
          <w:sz w:val="18"/>
        </w:rPr>
      </w:pPr>
      <w:r>
        <w:rPr>
          <w:rFonts w:ascii="Arial" w:hAnsi="Arial"/>
          <w:color w:val="000000"/>
          <w:sz w:val="18"/>
        </w:rPr>
        <w:t>The following table shows interest income and expense, and other income (expense), net (in thousands, except percentages):</w:t>
      </w:r>
    </w:p>
    <w:p>
      <w:pPr>
        <w:pStyle w:val="TextBody"/>
        <w:bidi w:val="0"/>
        <w:jc w:val="left"/>
        <w:rPr/>
      </w:pPr>
      <w:r>
        <w:rPr/>
        <w:t> </w:t>
      </w:r>
    </w:p>
    <w:tbl>
      <w:tblPr>
        <w:tblW w:w="8651" w:type="dxa"/>
        <w:jc w:val="left"/>
        <w:tblInd w:w="0" w:type="dxa"/>
        <w:tblLayout w:type="fixed"/>
        <w:tblCellMar>
          <w:top w:w="28" w:type="dxa"/>
          <w:left w:w="28" w:type="dxa"/>
          <w:bottom w:w="28" w:type="dxa"/>
          <w:right w:w="28" w:type="dxa"/>
        </w:tblCellMar>
      </w:tblPr>
      <w:tblGrid>
        <w:gridCol w:w="2431"/>
        <w:gridCol w:w="146"/>
        <w:gridCol w:w="211"/>
        <w:gridCol w:w="571"/>
        <w:gridCol w:w="166"/>
        <w:gridCol w:w="146"/>
        <w:gridCol w:w="211"/>
        <w:gridCol w:w="571"/>
        <w:gridCol w:w="166"/>
        <w:gridCol w:w="146"/>
        <w:gridCol w:w="601"/>
        <w:gridCol w:w="146"/>
        <w:gridCol w:w="211"/>
        <w:gridCol w:w="571"/>
        <w:gridCol w:w="166"/>
        <w:gridCol w:w="146"/>
        <w:gridCol w:w="211"/>
        <w:gridCol w:w="571"/>
        <w:gridCol w:w="166"/>
        <w:gridCol w:w="146"/>
        <w:gridCol w:w="95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(103%)</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bl>
    <w:p>
      <w:pPr>
        <w:pStyle w:val="TextBody"/>
        <w:bidi w:val="0"/>
        <w:spacing w:before="200" w:after="283"/>
        <w:jc w:val="both"/>
        <w:rPr>
          <w:rFonts w:ascii="Arial" w:hAnsi="Arial"/>
          <w:i/>
          <w:color w:val="000000"/>
          <w:sz w:val="18"/>
        </w:rPr>
      </w:pPr>
      <w:r>
        <w:rPr>
          <w:rFonts w:ascii="Arial" w:hAnsi="Arial"/>
          <w:i/>
          <w:color w:val="000000"/>
          <w:sz w:val="18"/>
        </w:rPr>
        <w:t>Interest income and interest expense</w:t>
      </w:r>
    </w:p>
    <w:p>
      <w:pPr>
        <w:pStyle w:val="TextBody"/>
        <w:bidi w:val="0"/>
        <w:spacing w:before="200" w:after="283"/>
        <w:jc w:val="both"/>
        <w:rPr>
          <w:rFonts w:ascii="Arial" w:hAnsi="Arial"/>
          <w:color w:val="000000"/>
          <w:sz w:val="18"/>
        </w:rPr>
      </w:pPr>
      <w:r>
        <w:rPr>
          <w:rFonts w:ascii="Arial" w:hAnsi="Arial"/>
          <w:color w:val="000000"/>
          <w:sz w:val="18"/>
        </w:rPr>
        <w:t>The increases in interest income in the second quarter of 2026 and the first half of 2026 compared to the same periods of 2025 were driven by higher average investment balances, partially offset by decreased yields. Interest expense is the recognition of imputed interest on noninterest bearing loans.</w:t>
      </w:r>
    </w:p>
    <w:p>
      <w:pPr>
        <w:pStyle w:val="TextBody"/>
        <w:bidi w:val="0"/>
        <w:spacing w:before="200" w:after="283"/>
        <w:jc w:val="both"/>
        <w:rPr>
          <w:rFonts w:ascii="Arial" w:hAnsi="Arial"/>
          <w:i/>
          <w:color w:val="000000"/>
          <w:sz w:val="18"/>
        </w:rPr>
      </w:pPr>
      <w:r>
        <w:rPr>
          <w:rFonts w:ascii="Arial" w:hAnsi="Arial"/>
          <w:i/>
          <w:color w:val="000000"/>
          <w:sz w:val="18"/>
        </w:rPr>
        <w:t>Other income (expense), net</w:t>
      </w:r>
    </w:p>
    <w:p>
      <w:pPr>
        <w:pStyle w:val="TextBody"/>
        <w:bidi w:val="0"/>
        <w:spacing w:before="200" w:after="283"/>
        <w:jc w:val="both"/>
        <w:rPr>
          <w:rFonts w:ascii="Times New Roman" w:hAnsi="Times New Roman"/>
          <w:sz w:val="20"/>
        </w:rPr>
      </w:pPr>
      <w:r>
        <w:rPr>
          <w:rFonts w:ascii="Arial" w:hAnsi="Arial"/>
          <w:color w:val="000000"/>
          <w:sz w:val="18"/>
        </w:rPr>
        <w:t>Other income (expense), net, in the periods presented, consisted mainly of foreign currency remeasurements.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Liquidity and Capital Resources</w:t>
      </w:r>
    </w:p>
    <w:p>
      <w:pPr>
        <w:pStyle w:val="TextBody"/>
        <w:bidi w:val="0"/>
        <w:spacing w:before="200" w:after="200"/>
        <w:jc w:val="both"/>
        <w:rPr>
          <w:rFonts w:ascii="Arial" w:hAnsi="Arial"/>
          <w:color w:val="000000"/>
          <w:sz w:val="18"/>
        </w:rPr>
      </w:pPr>
      <w:r>
        <w:rPr>
          <w:rFonts w:ascii="Arial" w:hAnsi="Arial"/>
          <w:color w:val="000000"/>
          <w:sz w:val="18"/>
        </w:rPr>
        <w:t>The following table presents selected financial information (in thousands):</w:t>
      </w:r>
    </w:p>
    <w:tbl>
      <w:tblPr>
        <w:tblW w:w="8010" w:type="dxa"/>
        <w:jc w:val="left"/>
        <w:tblInd w:w="0" w:type="dxa"/>
        <w:tblLayout w:type="fixed"/>
        <w:tblCellMar>
          <w:top w:w="28" w:type="dxa"/>
          <w:left w:w="28" w:type="dxa"/>
          <w:bottom w:w="28" w:type="dxa"/>
          <w:right w:w="28" w:type="dxa"/>
        </w:tblCellMar>
      </w:tblPr>
      <w:tblGrid>
        <w:gridCol w:w="4636"/>
        <w:gridCol w:w="146"/>
        <w:gridCol w:w="249"/>
        <w:gridCol w:w="921"/>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From our inception through June 30, 2026, we have funded our operations primarily from net proceeds from issuance of redeemable convertible preferred stock, IPO, follow-on equity offerings, At-the-Market ("ATM") facility (see Note 9, At-the-Market Equity Offerings, in Part 1, Item 1 of this Form 10-Q in our Consolidated Financial Statements for additional information), Tempus exercising warrants and purchasing additional shares under an investment agreement, and Merck purchasing shares of our common stock under an investment agreement (see Note 8, Related Party Transactions, in Part 1, Item 1 of this Form 10-Q in our Consolidated Financial Statements for additional information), as well as debt financings. As of June 30, 2026, we had cash and cash equivalents of $94.0 million and short-term investments of $118.7 million.</w:t>
      </w:r>
    </w:p>
    <w:p>
      <w:pPr>
        <w:pStyle w:val="TextBody"/>
        <w:bidi w:val="0"/>
        <w:spacing w:before="200" w:after="283"/>
        <w:jc w:val="both"/>
        <w:rPr>
          <w:rFonts w:ascii="Arial" w:hAnsi="Arial"/>
          <w:color w:val="000000"/>
          <w:sz w:val="18"/>
        </w:rPr>
      </w:pPr>
      <w:r>
        <w:rPr>
          <w:rFonts w:ascii="Arial" w:hAnsi="Arial"/>
          <w:color w:val="000000"/>
          <w:sz w:val="18"/>
        </w:rPr>
        <w:t>We have incurred net losses since our inception. We anticipate that our current cash and cash equivalents and short-term investments, are sufficient to fund our near-term capital and operating needs for at least the next 12 months.</w:t>
      </w:r>
    </w:p>
    <w:p>
      <w:pPr>
        <w:pStyle w:val="TextBody"/>
        <w:bidi w:val="0"/>
        <w:spacing w:before="200" w:after="283"/>
        <w:jc w:val="both"/>
        <w:rPr>
          <w:rFonts w:ascii="Times New Roman" w:hAnsi="Times New Roman"/>
          <w:sz w:val="20"/>
        </w:rPr>
      </w:pPr>
      <w:r>
        <w:rPr>
          <w:rFonts w:ascii="Arial" w:hAnsi="Arial"/>
          <w:color w:val="000000"/>
          <w:sz w:val="18"/>
        </w:rPr>
        <w:t>We have based these future funding requirements on assumptions that may prove to be wrong, and we could utilize our available capital resources sooner than we expect. If the Merger is not completed and our available cash balances and anticipated cash flow from operations are insufficient to satisfy our liquidity requirements, including because of lower demand for our testing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sales agreement prospectus supplement in May 2026, pursuant to which we may offer and sell $150.0 million of shares of our common stock through our ATM facility, of which approximately $145.4 million remains available for sale as of June 30, 2026, provided that we may not sell any shares through the ATM facility while the closing of the Merger is pending. The sale of equity and convertible debt securities may result in dilution to our stockholders and, in the case of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pStyle w:val="TextBody"/>
        <w:bidi w:val="0"/>
        <w:spacing w:before="200" w:after="283"/>
        <w:jc w:val="both"/>
        <w:rPr>
          <w:rFonts w:ascii="Arial" w:hAnsi="Arial"/>
          <w:b/>
          <w:color w:val="000000"/>
          <w:sz w:val="18"/>
        </w:rPr>
      </w:pPr>
      <w:r>
        <w:rPr>
          <w:rFonts w:ascii="Arial" w:hAnsi="Arial"/>
          <w:b/>
          <w:color w:val="000000"/>
          <w:sz w:val="18"/>
        </w:rPr>
        <w:t>Cash Flows</w:t>
      </w:r>
    </w:p>
    <w:p>
      <w:pPr>
        <w:pStyle w:val="TextBody"/>
        <w:bidi w:val="0"/>
        <w:jc w:val="left"/>
        <w:rPr/>
      </w:pPr>
      <w:r>
        <w:rPr/>
        <w:t> </w:t>
      </w:r>
    </w:p>
    <w:tbl>
      <w:tblPr>
        <w:tblW w:w="5997" w:type="dxa"/>
        <w:jc w:val="left"/>
        <w:tblInd w:w="0" w:type="dxa"/>
        <w:tblLayout w:type="fixed"/>
        <w:tblCellMar>
          <w:top w:w="28" w:type="dxa"/>
          <w:left w:w="28" w:type="dxa"/>
          <w:bottom w:w="28" w:type="dxa"/>
          <w:right w:w="28" w:type="dxa"/>
        </w:tblCellMar>
      </w:tblPr>
      <w:tblGrid>
        <w:gridCol w:w="3391"/>
        <w:gridCol w:w="146"/>
        <w:gridCol w:w="215"/>
        <w:gridCol w:w="751"/>
        <w:gridCol w:w="169"/>
        <w:gridCol w:w="148"/>
        <w:gridCol w:w="215"/>
        <w:gridCol w:w="751"/>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(48,248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25,818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increase in cash used in operating activities was primarily due to an increase in net loss.</w:t>
      </w:r>
    </w:p>
    <w:p>
      <w:pPr>
        <w:pStyle w:val="TextBody"/>
        <w:bidi w:val="0"/>
        <w:spacing w:before="200" w:after="283"/>
        <w:jc w:val="both"/>
        <w:rPr>
          <w:rFonts w:ascii="Times New Roman" w:hAnsi="Times New Roman"/>
          <w:sz w:val="20"/>
        </w:rPr>
      </w:pPr>
      <w:r>
        <w:rPr>
          <w:rFonts w:ascii="Arial" w:hAnsi="Arial"/>
          <w:color w:val="000000"/>
          <w:sz w:val="18"/>
        </w:rPr>
        <w:t>The decrease in cash used by investing activities was primarily due to a $14.2 million decrease in investment of our cash into short-term investments, $9.0 million higher proceeds from the maturity of short-term investments, partially offset by a $4.0 million increase in capital expenditures.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The increase in cash provided by financing activities was primarily due to $7.7 million higher net proceeds from sales of common stock under our ATM facility and $3.1 million higher proceeds from issuance of common stock under equity incentive plans, partially offset by a $2.6 million decrease in proceeds from loans and a $2.1 million payment of a finance lease.</w:t>
      </w:r>
    </w:p>
    <w:p>
      <w:pPr>
        <w:pStyle w:val="TextBody"/>
        <w:bidi w:val="0"/>
        <w:spacing w:before="200" w:after="283"/>
        <w:jc w:val="both"/>
        <w:rPr>
          <w:rFonts w:ascii="Arial" w:hAnsi="Arial"/>
          <w:b/>
          <w:color w:val="000000"/>
          <w:sz w:val="18"/>
        </w:rPr>
      </w:pPr>
      <w:r>
        <w:rPr>
          <w:rFonts w:ascii="Arial" w:hAnsi="Arial"/>
          <w:b/>
          <w:color w:val="000000"/>
          <w:sz w:val="18"/>
        </w:rPr>
        <w:t>Material Cash Requirements</w:t>
      </w:r>
    </w:p>
    <w:p>
      <w:pPr>
        <w:pStyle w:val="TextBody"/>
        <w:bidi w:val="0"/>
        <w:spacing w:before="200" w:after="283"/>
        <w:jc w:val="both"/>
        <w:rPr>
          <w:rFonts w:ascii="Arial" w:hAnsi="Arial"/>
          <w:color w:val="000000"/>
          <w:sz w:val="18"/>
        </w:rPr>
      </w:pPr>
      <w:r>
        <w:rPr>
          <w:rFonts w:ascii="Arial" w:hAnsi="Arial"/>
          <w:color w:val="000000"/>
          <w:sz w:val="18"/>
        </w:rPr>
        <w:t>Our material cash requirements in the short- and long-term consist primarily of variable costs of revenue, operating expenditures, capital expenditures, property leases, and other spend. We plan to fund our material cash requirements with our existing cash and cash equivalents and short-term investments, which amounted to $212.7 million as of June 30, 2026, as well as anticipated cash receipts from customers. If the Merger is not completed,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pStyle w:val="TextBody"/>
        <w:bidi w:val="0"/>
        <w:spacing w:before="200" w:after="283"/>
        <w:jc w:val="both"/>
        <w:rPr>
          <w:rFonts w:ascii="Times New Roman" w:hAnsi="Times New Roman"/>
          <w:sz w:val="20"/>
        </w:rPr>
      </w:pPr>
      <w:r>
        <w:rPr>
          <w:rFonts w:ascii="Arial" w:hAnsi="Arial"/>
          <w:i/>
          <w:color w:val="000000"/>
          <w:sz w:val="18"/>
        </w:rPr>
        <w:t>Variable costs of revenue</w:t>
      </w:r>
      <w:r>
        <w:rPr>
          <w:rFonts w:ascii="Arial" w:hAnsi="Arial"/>
          <w:color w:val="000000"/>
          <w:sz w:val="18"/>
        </w:rPr>
        <w:t>. 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compared to the levels in 2025 in order to support expected higher levels of revenue.</w:t>
      </w:r>
    </w:p>
    <w:p>
      <w:pPr>
        <w:pStyle w:val="TextBody"/>
        <w:bidi w:val="0"/>
        <w:spacing w:before="200" w:after="283"/>
        <w:jc w:val="both"/>
        <w:rPr>
          <w:rFonts w:ascii="Times New Roman" w:hAnsi="Times New Roman"/>
          <w:sz w:val="20"/>
        </w:rPr>
      </w:pPr>
      <w:r>
        <w:rPr>
          <w:rFonts w:ascii="Arial" w:hAnsi="Arial"/>
          <w:i/>
          <w:color w:val="000000"/>
          <w:sz w:val="18"/>
        </w:rPr>
        <w:t>Operating expenditures</w:t>
      </w:r>
      <w:r>
        <w:rPr>
          <w:rFonts w:ascii="Arial" w:hAnsi="Arial"/>
          <w:color w:val="000000"/>
          <w:sz w:val="18"/>
        </w:rPr>
        <w:t>. Our primary use of cash relates to employee compensation, spend on professional services, spend related to research and development projects, and other costs to support our research and development and selling, general and administrative functions. We currently expect our spending in all of these areas to increase compared to the levels in 2025 to support the growth of our clinical diagnostic offerings. On a long-term basis, we manage future cash requirements relative to our long-term business plans.</w:t>
      </w:r>
    </w:p>
    <w:p>
      <w:pPr>
        <w:pStyle w:val="TextBody"/>
        <w:bidi w:val="0"/>
        <w:spacing w:before="200" w:after="283"/>
        <w:jc w:val="both"/>
        <w:rPr>
          <w:rFonts w:ascii="Times New Roman" w:hAnsi="Times New Roman"/>
          <w:sz w:val="20"/>
        </w:rPr>
      </w:pPr>
      <w:r>
        <w:rPr>
          <w:rFonts w:ascii="Arial" w:hAnsi="Arial"/>
          <w:i/>
          <w:color w:val="000000"/>
          <w:sz w:val="18"/>
        </w:rPr>
        <w:t>Capital expenditures</w:t>
      </w:r>
      <w:r>
        <w:rPr>
          <w:rFonts w:ascii="Arial" w:hAnsi="Arial"/>
          <w:color w:val="000000"/>
          <w:sz w:val="18"/>
        </w:rPr>
        <w:t>. Capital expenditures are expected to increase from 2025 levels as we expect to expand NeXT Personal Dx test volume capacity. Going forward, our capital expenditures are expected to consist primarily of laboratory equipment and computer equipment. We currently expect capital expenditures to be between $8.0 million and $10.0 million in 2026 and between $10.0 million to $12.0 million in each of the years 2027 and 2028.</w:t>
      </w:r>
    </w:p>
    <w:p>
      <w:pPr>
        <w:pStyle w:val="TextBody"/>
        <w:bidi w:val="0"/>
        <w:spacing w:before="200" w:after="283"/>
        <w:jc w:val="both"/>
        <w:rPr>
          <w:rFonts w:ascii="Times New Roman" w:hAnsi="Times New Roman"/>
          <w:sz w:val="20"/>
        </w:rPr>
      </w:pPr>
      <w:r>
        <w:rPr>
          <w:rFonts w:ascii="Arial" w:hAnsi="Arial"/>
          <w:i/>
          <w:color w:val="000000"/>
          <w:sz w:val="18"/>
        </w:rPr>
        <w:t xml:space="preserve">Property leases. </w:t>
      </w:r>
      <w:r>
        <w:rPr>
          <w:rFonts w:ascii="Arial" w:hAnsi="Arial"/>
          <w:color w:val="000000"/>
          <w:sz w:val="18"/>
        </w:rPr>
        <w:t>Our noncancelable operating lease payments were $58.8 million as of June 30, 2026. The timing of these future payments, by year, can be found in Note 7, Leases, in Part I, Item 1 of this Form 10-Q in the Consolidated Financial Statements.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i/>
          <w:color w:val="000000"/>
          <w:sz w:val="18"/>
        </w:rPr>
        <w:t>Other.</w:t>
      </w:r>
      <w:r>
        <w:rPr>
          <w:rFonts w:ascii="Times New Roman" w:hAnsi="Times New Roman"/>
          <w:color w:val="000000"/>
          <w:sz w:val="20"/>
        </w:rPr>
        <w:t xml:space="preserve"> </w:t>
      </w:r>
      <w:r>
        <w:rPr>
          <w:rFonts w:ascii="Arial" w:hAnsi="Arial"/>
          <w:color w:val="000000"/>
          <w:sz w:val="18"/>
        </w:rPr>
        <w:t>As of June 30, 2026, we have an outstanding noninterest bearing loan that was used to finance the purchase of equipment for our laboratory. We owe a total of $0.9 million, which is payable in 2027. Further discussion of the loan can be found in Note 6, Loans, in Part I, Item 1 of this Form 10-Q in the Consolidated Financial Statements.</w:t>
      </w:r>
    </w:p>
    <w:p>
      <w:pPr>
        <w:pStyle w:val="TextBody"/>
        <w:bidi w:val="0"/>
        <w:spacing w:before="200" w:after="283"/>
        <w:jc w:val="both"/>
        <w:rPr>
          <w:rFonts w:ascii="Arial" w:hAnsi="Arial"/>
          <w:b/>
          <w:color w:val="000000"/>
          <w:sz w:val="18"/>
        </w:rPr>
      </w:pPr>
      <w:r>
        <w:rPr>
          <w:rFonts w:ascii="Arial" w:hAnsi="Arial"/>
          <w:b/>
          <w:color w:val="000000"/>
          <w:sz w:val="18"/>
        </w:rPr>
        <w:t>Critical Accounting Policies and Estimates</w:t>
      </w:r>
    </w:p>
    <w:p>
      <w:pPr>
        <w:pStyle w:val="TextBody"/>
        <w:bidi w:val="0"/>
        <w:spacing w:before="200" w:after="283"/>
        <w:jc w:val="both"/>
        <w:rPr>
          <w:rFonts w:ascii="Arial" w:hAnsi="Arial"/>
          <w:color w:val="000000"/>
          <w:sz w:val="18"/>
        </w:rPr>
      </w:pPr>
      <w:r>
        <w:rPr>
          <w:rFonts w:ascii="Arial" w:hAnsi="Arial"/>
          <w:color w:val="000000"/>
          <w:sz w:val="18"/>
        </w:rPr>
        <w:t>Our consolidated financial statements are prepared in accordance with U.S. GAAP. The preparation of our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center"/>
        <w:rPr>
          <w:rFonts w:ascii="Arial" w:hAnsi="Arial"/>
          <w:color w:val="000000"/>
          <w:sz w:val="18"/>
        </w:rPr>
      </w:pPr>
      <w:r>
        <w:rPr>
          <w:rFonts w:ascii="Arial" w:hAnsi="Arial"/>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and leases have the greatest potential impact on our consolidated financial statements. Therefore, we consider these to be our critical accounting policies and estimates.</w:t>
      </w:r>
    </w:p>
    <w:p>
      <w:pPr>
        <w:pStyle w:val="TextBody"/>
        <w:bidi w:val="0"/>
        <w:spacing w:before="200" w:after="283"/>
        <w:jc w:val="both"/>
        <w:rPr>
          <w:rFonts w:ascii="Arial" w:hAnsi="Arial"/>
          <w:color w:val="000000"/>
          <w:sz w:val="18"/>
        </w:rPr>
      </w:pPr>
      <w:r>
        <w:rPr>
          <w:rFonts w:ascii="Arial" w:hAnsi="Arial"/>
          <w:color w:val="000000"/>
          <w:sz w:val="18"/>
        </w:rPr>
        <w:t>There have been no material changes to our critical accounting policies and estimates as compared to the critical accounting policies and estimates described in our Annual Report on Form 10-K for the fiscal year ended December 31, 2025 under the caption “Critical Accounting Policies and Estimates” in Management’s Discussion and Analysis of Financial Condition and Results of Operations, set forth in Part II, Item 7.</w:t>
      </w:r>
    </w:p>
    <w:p>
      <w:pPr>
        <w:pStyle w:val="TextBody"/>
        <w:bidi w:val="0"/>
        <w:spacing w:before="200" w:after="283"/>
        <w:jc w:val="both"/>
        <w:rPr>
          <w:rFonts w:ascii="Arial" w:hAnsi="Arial"/>
          <w:b/>
          <w:color w:val="000000"/>
          <w:sz w:val="18"/>
        </w:rPr>
      </w:pPr>
      <w:r>
        <w:rPr>
          <w:rFonts w:ascii="Arial" w:hAnsi="Arial"/>
          <w:b/>
          <w:color w:val="000000"/>
          <w:sz w:val="18"/>
        </w:rPr>
        <w:t>Recent Accounting Pronouncements</w:t>
      </w:r>
    </w:p>
    <w:p>
      <w:pPr>
        <w:pStyle w:val="TextBody"/>
        <w:bidi w:val="0"/>
        <w:spacing w:before="200" w:after="200"/>
        <w:jc w:val="both"/>
        <w:rPr>
          <w:rFonts w:ascii="Arial" w:hAnsi="Arial"/>
          <w:color w:val="000000"/>
          <w:sz w:val="18"/>
        </w:rPr>
      </w:pPr>
      <w:r>
        <w:rPr>
          <w:rFonts w:ascii="Arial" w:hAnsi="Arial"/>
          <w:color w:val="000000"/>
          <w:sz w:val="18"/>
        </w:rPr>
        <w:t>See the section titled “Recent Accounting Pronouncements” in Note 2, Summary of Significant Accounting Policies, in Part I, Item 1 of this Form 10-Q in the Consolidated Financial Statements for additional information.</w:t>
      </w:r>
    </w:p>
    <w:p>
      <w:pPr>
        <w:pStyle w:val="TextBody"/>
        <w:bidi w:val="0"/>
        <w:spacing w:before="240" w:after="283"/>
        <w:jc w:val="center"/>
        <w:rPr>
          <w:rFonts w:ascii="Arial" w:hAnsi="Arial"/>
          <w:color w:val="000000"/>
          <w:sz w:val="18"/>
        </w:rPr>
      </w:pPr>
      <w:r>
        <w:rPr>
          <w:rFonts w:ascii="Arial" w:hAnsi="Arial"/>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7" w:name="item_3_quantitative_qualitative_disclosu"/>
      <w:bookmarkEnd w:id="27"/>
      <w:r>
        <w:rPr>
          <w:rFonts w:ascii="Arial" w:hAnsi="Arial"/>
          <w:b/>
          <w:color w:val="000000"/>
          <w:sz w:val="18"/>
        </w:rPr>
        <w:t>Item 3. Quantitative and Qualitative</w:t>
      </w:r>
      <w:r>
        <w:rPr>
          <w:rFonts w:ascii="Times New Roman" w:hAnsi="Times New Roman"/>
          <w:color w:val="000000"/>
          <w:sz w:val="20"/>
        </w:rPr>
        <w:t xml:space="preserve"> </w:t>
      </w:r>
      <w:r>
        <w:rPr>
          <w:rFonts w:ascii="Arial" w:hAnsi="Arial"/>
          <w:b/>
          <w:color w:val="000000"/>
          <w:sz w:val="18"/>
        </w:rPr>
        <w:t>Disclosures About Market Risk.</w:t>
      </w:r>
    </w:p>
    <w:p>
      <w:pPr>
        <w:pStyle w:val="TextBody"/>
        <w:bidi w:val="0"/>
        <w:spacing w:before="200" w:after="200"/>
        <w:jc w:val="both"/>
        <w:rPr>
          <w:rFonts w:ascii="Arial" w:hAnsi="Arial"/>
          <w:color w:val="000000"/>
          <w:sz w:val="18"/>
        </w:rPr>
      </w:pPr>
      <w:r>
        <w:rPr>
          <w:rFonts w:ascii="Arial" w:hAnsi="Arial"/>
          <w:color w:val="000000"/>
          <w:sz w:val="18"/>
        </w:rPr>
        <w:t>As a “smaller reporting company,” we are not required to provide the information under this item.</w:t>
      </w:r>
    </w:p>
    <w:p>
      <w:pPr>
        <w:pStyle w:val="TextBody"/>
        <w:bidi w:val="0"/>
        <w:jc w:val="both"/>
        <w:rPr>
          <w:rFonts w:ascii="Arial" w:hAnsi="Arial"/>
          <w:b/>
          <w:color w:val="000000"/>
          <w:sz w:val="18"/>
        </w:rPr>
      </w:pPr>
      <w:bookmarkStart w:id="28" w:name="item_4_controls_procedures"/>
      <w:bookmarkEnd w:id="28"/>
      <w:r>
        <w:rPr>
          <w:rFonts w:ascii="Arial" w:hAnsi="Arial"/>
          <w:b/>
          <w:color w:val="000000"/>
          <w:sz w:val="18"/>
        </w:rPr>
        <w:t>Item 4. Controls and Procedures.</w:t>
      </w:r>
    </w:p>
    <w:p>
      <w:pPr>
        <w:pStyle w:val="TextBody"/>
        <w:bidi w:val="0"/>
        <w:spacing w:before="200" w:after="283"/>
        <w:jc w:val="both"/>
        <w:rPr>
          <w:rFonts w:ascii="Arial" w:hAnsi="Arial"/>
          <w:b/>
          <w:color w:val="000000"/>
          <w:sz w:val="18"/>
        </w:rPr>
      </w:pPr>
      <w:r>
        <w:rPr>
          <w:rFonts w:ascii="Arial" w:hAnsi="Arial"/>
          <w:b/>
          <w:color w:val="000000"/>
          <w:sz w:val="18"/>
        </w:rPr>
        <w:t>Evaluation of Disclosure Controls and Procedures</w:t>
      </w:r>
    </w:p>
    <w:p>
      <w:pPr>
        <w:pStyle w:val="TextBody"/>
        <w:bidi w:val="0"/>
        <w:spacing w:before="200" w:after="283"/>
        <w:jc w:val="both"/>
        <w:rPr>
          <w:rFonts w:ascii="Arial" w:hAnsi="Arial"/>
          <w:color w:val="000000"/>
          <w:sz w:val="18"/>
        </w:rPr>
      </w:pPr>
      <w:r>
        <w:rPr>
          <w:rFonts w:ascii="Arial" w:hAnsi="Arial"/>
          <w:color w:val="000000"/>
          <w:sz w:val="18"/>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CEO and CFO have concluded that as of June 30, 2026,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200" w:after="283"/>
        <w:jc w:val="both"/>
        <w:rPr>
          <w:rFonts w:ascii="Arial" w:hAnsi="Arial"/>
          <w:b/>
          <w:color w:val="000000"/>
          <w:sz w:val="18"/>
        </w:rPr>
      </w:pPr>
      <w:r>
        <w:rPr>
          <w:rFonts w:ascii="Arial" w:hAnsi="Arial"/>
          <w:b/>
          <w:color w:val="000000"/>
          <w:sz w:val="18"/>
        </w:rPr>
        <w:t>Changes in Internal Control</w:t>
      </w:r>
    </w:p>
    <w:p>
      <w:pPr>
        <w:pStyle w:val="TextBody"/>
        <w:bidi w:val="0"/>
        <w:spacing w:before="200" w:after="283"/>
        <w:jc w:val="both"/>
        <w:rPr>
          <w:rFonts w:ascii="Arial" w:hAnsi="Arial"/>
          <w:color w:val="000000"/>
          <w:sz w:val="18"/>
        </w:rPr>
      </w:pPr>
      <w:r>
        <w:rPr>
          <w:rFonts w:ascii="Arial" w:hAnsi="Arial"/>
          <w:color w:val="000000"/>
          <w:sz w:val="18"/>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pStyle w:val="TextBody"/>
        <w:bidi w:val="0"/>
        <w:spacing w:before="200" w:after="283"/>
        <w:jc w:val="both"/>
        <w:rPr>
          <w:rFonts w:ascii="Arial" w:hAnsi="Arial"/>
          <w:b/>
          <w:color w:val="000000"/>
          <w:sz w:val="18"/>
        </w:rPr>
      </w:pPr>
      <w:r>
        <w:rPr>
          <w:rFonts w:ascii="Arial" w:hAnsi="Arial"/>
          <w:b/>
          <w:color w:val="000000"/>
          <w:sz w:val="18"/>
        </w:rPr>
        <w:t>Limitations on Controls</w:t>
      </w:r>
    </w:p>
    <w:p>
      <w:pPr>
        <w:pStyle w:val="TextBody"/>
        <w:bidi w:val="0"/>
        <w:spacing w:before="200" w:after="200"/>
        <w:jc w:val="both"/>
        <w:rPr>
          <w:rFonts w:ascii="Arial" w:hAnsi="Arial"/>
          <w:color w:val="000000"/>
          <w:sz w:val="18"/>
        </w:rPr>
      </w:pPr>
      <w:r>
        <w:rPr>
          <w:rFonts w:ascii="Arial" w:hAnsi="Arial"/>
          <w:color w:val="000000"/>
          <w:sz w:val="18"/>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240" w:after="283"/>
        <w:jc w:val="center"/>
        <w:rPr>
          <w:rFonts w:ascii="Arial" w:hAnsi="Arial"/>
          <w:color w:val="000000"/>
          <w:sz w:val="18"/>
        </w:rPr>
      </w:pPr>
      <w:r>
        <w:rPr>
          <w:rFonts w:ascii="Arial" w:hAnsi="Arial"/>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9" w:name="part_iior_information"/>
      <w:bookmarkEnd w:id="29"/>
      <w:r>
        <w:rPr>
          <w:rFonts w:ascii="Arial" w:hAnsi="Arial"/>
          <w:b/>
          <w:color w:val="000000"/>
          <w:sz w:val="18"/>
        </w:rPr>
        <w:t>PART II — OTHER</w:t>
      </w:r>
      <w:r>
        <w:rPr>
          <w:rFonts w:ascii="Times New Roman" w:hAnsi="Times New Roman"/>
          <w:color w:val="000000"/>
          <w:sz w:val="20"/>
        </w:rPr>
        <w:t xml:space="preserve"> </w:t>
      </w:r>
      <w:r>
        <w:rPr>
          <w:rFonts w:ascii="Arial" w:hAnsi="Arial"/>
          <w:b/>
          <w:color w:val="000000"/>
          <w:sz w:val="18"/>
        </w:rPr>
        <w:t>INFORMATION</w:t>
      </w:r>
    </w:p>
    <w:p>
      <w:pPr>
        <w:pStyle w:val="TextBody"/>
        <w:bidi w:val="0"/>
        <w:spacing w:before="240" w:after="283"/>
        <w:jc w:val="both"/>
        <w:rPr>
          <w:rFonts w:ascii="Arial" w:hAnsi="Arial"/>
          <w:b/>
          <w:color w:val="000000"/>
          <w:sz w:val="18"/>
        </w:rPr>
      </w:pPr>
      <w:bookmarkStart w:id="30" w:name="item_1_legal_proceedings"/>
      <w:bookmarkEnd w:id="30"/>
      <w:r>
        <w:rPr>
          <w:rFonts w:ascii="Arial" w:hAnsi="Arial"/>
          <w:b/>
          <w:color w:val="000000"/>
          <w:sz w:val="18"/>
        </w:rPr>
        <w:t>Item 1. Legal Proceedings.</w:t>
      </w:r>
    </w:p>
    <w:p>
      <w:pPr>
        <w:pStyle w:val="TextBody"/>
        <w:bidi w:val="0"/>
        <w:spacing w:before="200" w:after="283"/>
        <w:jc w:val="both"/>
        <w:rPr>
          <w:rFonts w:ascii="Arial" w:hAnsi="Arial"/>
          <w:color w:val="000000"/>
          <w:sz w:val="18"/>
        </w:rPr>
      </w:pPr>
      <w:r>
        <w:rPr>
          <w:rFonts w:ascii="Arial" w:hAnsi="Arial"/>
          <w:color w:val="000000"/>
          <w:sz w:val="18"/>
        </w:rPr>
        <w:t>From time to time, we may be a party or subject to various legal proceedings and claims which arise in the ordinary course of business. The outcome of any legal proceeding or claim is inherently uncertain and subject to unascertainable damages or other remedies.</w:t>
      </w:r>
    </w:p>
    <w:p>
      <w:pPr>
        <w:pStyle w:val="TextBody"/>
        <w:bidi w:val="0"/>
        <w:spacing w:before="200" w:after="283"/>
        <w:jc w:val="both"/>
        <w:rPr>
          <w:rFonts w:ascii="Arial" w:hAnsi="Arial"/>
          <w:color w:val="000000"/>
          <w:sz w:val="18"/>
        </w:rPr>
      </w:pPr>
      <w:r>
        <w:rPr>
          <w:rFonts w:ascii="Arial" w:hAnsi="Arial"/>
          <w:color w:val="000000"/>
          <w:sz w:val="18"/>
        </w:rPr>
        <w:t>See Note 11, Commitments and Contingencies, in Part I, Item 1 of this Form 10-Q in the Consolidated Financial Statements for more information.</w:t>
      </w:r>
    </w:p>
    <w:p>
      <w:pPr>
        <w:pStyle w:val="TextBody"/>
        <w:bidi w:val="0"/>
        <w:spacing w:before="200" w:after="283"/>
        <w:jc w:val="both"/>
        <w:rPr>
          <w:rFonts w:ascii="Times New Roman" w:hAnsi="Times New Roman"/>
          <w:sz w:val="20"/>
        </w:rPr>
      </w:pPr>
      <w:bookmarkStart w:id="31" w:name="item_1a_risk_factors"/>
      <w:bookmarkEnd w:id="31"/>
      <w:r>
        <w:rPr>
          <w:rFonts w:ascii="Arial" w:hAnsi="Arial"/>
          <w:b/>
          <w:color w:val="000000"/>
          <w:sz w:val="18"/>
        </w:rPr>
        <w:t>Item 1A. Risk</w:t>
      </w:r>
      <w:r>
        <w:rPr>
          <w:rFonts w:ascii="Times New Roman" w:hAnsi="Times New Roman"/>
          <w:color w:val="000000"/>
          <w:sz w:val="20"/>
        </w:rPr>
        <w:t xml:space="preserve"> </w:t>
      </w:r>
      <w:r>
        <w:rPr>
          <w:rFonts w:ascii="Arial" w:hAnsi="Arial"/>
          <w:b/>
          <w:color w:val="000000"/>
          <w:sz w:val="18"/>
        </w:rPr>
        <w:t>Factors.</w:t>
      </w:r>
      <w:r>
        <w:rPr>
          <w:rFonts w:ascii="Times New Roman" w:hAnsi="Times New Roman"/>
          <w:color w:val="000000"/>
          <w:sz w:val="20"/>
        </w:rPr>
        <w:t xml:space="preserve"> </w:t>
      </w:r>
    </w:p>
    <w:p>
      <w:pPr>
        <w:pStyle w:val="TextBody"/>
        <w:bidi w:val="0"/>
        <w:spacing w:before="200" w:after="283"/>
        <w:jc w:val="both"/>
        <w:rPr>
          <w:rFonts w:ascii="Arial" w:hAnsi="Arial"/>
          <w:i/>
          <w:color w:val="000000"/>
          <w:sz w:val="18"/>
        </w:rPr>
      </w:pPr>
      <w:r>
        <w:rPr>
          <w:rFonts w:ascii="Arial" w:hAnsi="Arial"/>
          <w:i/>
          <w:color w:val="000000"/>
          <w:sz w:val="18"/>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2025 (Annual Report), which was filed with the SEC on February 26, 2026; provided, however, no asterisk is included if the only changes are to reflect our most recently reported financial information and/or one or more insignificant changes.</w:t>
      </w:r>
    </w:p>
    <w:p>
      <w:pPr>
        <w:pStyle w:val="TextBody"/>
        <w:bidi w:val="0"/>
        <w:spacing w:before="200" w:after="283"/>
        <w:jc w:val="both"/>
        <w:rPr>
          <w:rFonts w:ascii="Arial" w:hAnsi="Arial"/>
          <w:b/>
          <w:color w:val="000000"/>
          <w:sz w:val="18"/>
        </w:rPr>
      </w:pPr>
      <w:r>
        <w:rPr>
          <w:rFonts w:ascii="Arial" w:hAnsi="Arial"/>
          <w:b/>
          <w:color w:val="000000"/>
          <w:sz w:val="18"/>
        </w:rPr>
        <w:t>Risks Related to Our Pending Acquisition by Tempus</w:t>
      </w:r>
    </w:p>
    <w:p>
      <w:pPr>
        <w:pStyle w:val="TextBody"/>
        <w:bidi w:val="0"/>
        <w:spacing w:before="200" w:after="283"/>
        <w:jc w:val="both"/>
        <w:rPr/>
      </w:pPr>
      <w:r>
        <w:rPr/>
        <w:t> </w:t>
      </w:r>
    </w:p>
    <w:p>
      <w:pPr>
        <w:pStyle w:val="TextBody"/>
        <w:bidi w:val="0"/>
        <w:jc w:val="both"/>
        <w:rPr>
          <w:rFonts w:ascii="Times New Roman" w:hAnsi="Times New Roman"/>
          <w:sz w:val="20"/>
        </w:rPr>
      </w:pPr>
      <w:r>
        <w:rPr>
          <w:rFonts w:ascii="Arial" w:hAnsi="Arial"/>
          <w:b/>
          <w:i/>
          <w:color w:val="000000"/>
          <w:sz w:val="18"/>
        </w:rPr>
        <w:t>The completion of the Merger is subject to a number of conditions, including certain conditions that are beyond our control, and may not be satisfied on a timely basis, or at all.*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The completion of the Merger is subject to a number of conditions set forth in the Merger Agreement, including: (i) the approval of the Merger and adoption of the Merger Agreement by the affirmative vote of the holders of a majority of the outstanding shares of our common stock entitled to vote thereon; (ii) the approval for listing on Nasdaq of Tempus Class A Common Stock to be issued in the Merger; (iii) the effectiveness of a registration statement on Form S-4 filed by Tempus registering the Tempus Class A Common Stock to be issued in connection with the Merger; (iv) the expiration or termination of the required waiting period applicable to the Mergers under the Hart-Scott-Rodino Antitrust Improvements Act of 1976, as amended (the “HSR Act”); (v) our receipt of an opinion to the effect that the Merger will qualify as a reorganization for U.S. federal income tax purposes; and (vi) the absence of material adverse effects impacting us or Tempus. Many of these conditions are beyond our control, resulting in uncertainty as to the timing of completion of the Merger and as to whether the Merger will be completed at all.</w:t>
      </w:r>
      <w:r>
        <w:rPr>
          <w:rFonts w:ascii="Times New Roman" w:hAnsi="Times New Roman"/>
          <w:color w:val="000000"/>
          <w:sz w:val="20"/>
        </w:rPr>
        <w:t xml:space="preserve"> </w:t>
      </w:r>
    </w:p>
    <w:p>
      <w:pPr>
        <w:pStyle w:val="TextBody"/>
        <w:bidi w:val="0"/>
        <w:jc w:val="both"/>
        <w:rPr>
          <w:rFonts w:ascii="Arial" w:hAnsi="Arial"/>
          <w:color w:val="000000"/>
          <w:sz w:val="18"/>
        </w:rPr>
      </w:pPr>
      <w:r>
        <w:rPr>
          <w:rFonts w:ascii="Arial" w:hAnsi="Arial"/>
          <w:color w:val="000000"/>
          <w:sz w:val="18"/>
        </w:rPr>
        <w:t>Failure to complete the Merger within the expected timeframe or at all could adversely affect our business and the market price of our common stock in a number of ways,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market price of our common stock may decline to the extent that the current market price reflects an assumption that the Merger will be consummated;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 xml:space="preserve">we have incurred, and will continue to incur, significant expenses for professional services in connection with the Merger for which we will have received little or no benefit if the Merger is not consummated;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 xml:space="preserve">under the Merger Agreement, we are subject to certain restrictions on the conduct of our business prior to completing the Merger which may prevent us from making desirable expenditures, including with regard to capital projects, pursuing otherwise attractive business opportunities and making other changes to our business prior to completion of the Merger or termination of the Merger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matters relating to the Merger may require substantial commitments of time and resources by our management, which could otherwise have been devoted to other opportunities that may have been beneficial to us as an independent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may experience negative publicity and/or reactions from our investors, employees, patients, customers, regulators, suppliers, collaborators, and other business partners, which could negatively impact our results of operations and business prospects.</w:t>
      </w:r>
    </w:p>
    <w:p>
      <w:pPr>
        <w:pStyle w:val="TextBody"/>
        <w:bidi w:val="0"/>
        <w:jc w:val="both"/>
        <w:rPr/>
      </w:pPr>
      <w:r>
        <w:rPr/>
        <w:t> </w:t>
      </w:r>
    </w:p>
    <w:p>
      <w:pPr>
        <w:pStyle w:val="TextBody"/>
        <w:bidi w:val="0"/>
        <w:jc w:val="both"/>
        <w:rPr/>
      </w:pPr>
      <w:r>
        <w:rPr/>
        <w:t> </w:t>
      </w:r>
    </w:p>
    <w:p>
      <w:pPr>
        <w:pStyle w:val="TextBody"/>
        <w:bidi w:val="0"/>
        <w:jc w:val="both"/>
        <w:rPr>
          <w:rFonts w:ascii="Arial" w:hAnsi="Arial"/>
          <w:b/>
          <w:i/>
          <w:color w:val="000000"/>
          <w:sz w:val="18"/>
        </w:rPr>
      </w:pPr>
      <w:r>
        <w:rPr>
          <w:rFonts w:ascii="Arial" w:hAnsi="Arial"/>
          <w:b/>
          <w:i/>
          <w:color w:val="000000"/>
          <w:sz w:val="18"/>
        </w:rPr>
        <w:t>The value of the per share stock consideration payable to our stockholders in the Merger is subject to changes based on fluctuations in the value of Tempus’ Class A Common Stock, and our stockholders may receive per share stock consideration with a value that is less than $16.25 per share in certain circumstances.*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In the Merger, each share of our issued and outstanding as of immediately prior to the Merger (other than shares owned by Tempus and shares which are held by stockholders who have exercised and perfected appraisal rights for such shares in accordance with Delaware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law) will be converted into the right to receive a number of Tempus’ Class A Common Stock equal to an Exchange Ratio (defined below), provided that Tempus may elect to pay cash for up to 50% of the aggregate number of outstanding shares of our common stock, which will be applied pro rata among shares eligible to receive the Merger consideration. See Note 13, Subsequent Events, in Part 1, Item 1 of this Quarterly Report on Form 10-Q for more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rPr>
        <w:t>If the volume-weighted average price of Tempus’ Class A Common Stock on Nasdaq for the fifteen consecutive trading days prior to the last trading day prior to the closing date of the Merger (the “Parent Stock Price”) is greater than $48.42 (the “Floor Price”), the Exchange Ratio will be equal to $16.25 divided by the Parent Stock Price. However, if the Parent Stock Price is equal to or less than the Floor Price, the Exchange Ratio will be fixed at 0.3356. Accordingly, if the Parent Stock Price is equal to or less than the Floor Price, then the value of the per share stock consideration received at the time of the closing of the Merger will likely be less than $16.25.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At the time that our stockholders cast their votes regarding approval of the Merger Agreement, they will not know the actual market value of the shares of Tempus Class A Common Stock that they will receive if and when the Merger is finally completed, including whether the Parent Stock Price will be equal to or less than the Floor Price. Fluctuations in the market value of shares of Tempus Class A Common Stock may be caused by changes in the businesses, operations, results and prospects of both Tempus and us, market expectations of the likelihood that the Merger will be completed and the timing of the completion, competition in our industry, general market and economic conditions, or other factors.</w:t>
      </w:r>
    </w:p>
    <w:p>
      <w:pPr>
        <w:pStyle w:val="TextBody"/>
        <w:bidi w:val="0"/>
        <w:jc w:val="both"/>
        <w:rPr>
          <w:rFonts w:ascii="Times New Roman" w:hAnsi="Times New Roman"/>
          <w:sz w:val="20"/>
        </w:rPr>
      </w:pPr>
      <w:r>
        <w:rPr>
          <w:rFonts w:ascii="Times New Roman" w:hAnsi="Times New Roman"/>
          <w:b/>
          <w:i/>
          <w:color w:val="000000"/>
          <w:sz w:val="20"/>
        </w:rPr>
        <w:br/>
      </w:r>
      <w:r>
        <w:rPr>
          <w:rFonts w:ascii="Arial" w:hAnsi="Arial"/>
          <w:b/>
          <w:i/>
          <w:color w:val="000000"/>
          <w:sz w:val="18"/>
        </w:rPr>
        <w:t>The announcement and pendency of the Merger, and uncertainty regarding the Merger, may adversely affect our relationships and our business.*</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The Merger will occur only if the Merger Agreement’s conditions to consummation of the Merger are satisfied or waived. Accordingly, there may be uncertainty regarding the completion of the Merger. Uncertainty as to whether the Merger will be completed may affect our ability to recruit prospective employees or to retain and motivate existing employees. Employee retention or focus may be particularly challenging while the Merger is pending because employees may experience uncertainty about their roles following consummation of the Merger. Uncertainty as to our future could adversely affect our business and our relationship with patients, customers, regulators, suppliers, collaborators, and other business partners. For example, collaborators, customers and other counterparties may defer decisions concerning contracting or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Merger could be exacerbated by any delays in completion of the Merger or termination of the Merger Agreement.</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18"/>
        </w:rPr>
        <w:t>While the Merger Agreement is in effect, we are subject to restrictions on our business activities</w:t>
      </w:r>
      <w:r>
        <w:rPr>
          <w:rFonts w:ascii="Arial" w:hAnsi="Arial"/>
          <w:b/>
          <w:color w:val="000000"/>
          <w:sz w:val="18"/>
        </w:rPr>
        <w:t>.*</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While the Merger Agreement is in effect, we are subject to restrictions on our business activities, generally requiring us to conduct our business in the ordinary course and consistent with past practice in all material respects, and subjecting us to a variety of specified restrictions absent Tempus’ prior consent. These limitations include, among other things, restrictions on our ability to acquire other businesses and assets, dispose of our assets, make investments, enter into certain contracts, repurchase or issue securities, pay dividends, make capital expenditures, take certain actions relating to intellectual property, amend our organizational documents, and incur indebtedness. These restrictions could prevent us from pursuing strategic business opportunities, taking actions with respect to our business that we may consider advantageous and responding effectively and/or timely to competitive pressures and industry developments, and may, as a result, materially and adversely affect our business, results of operations and financial condition.</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18"/>
        </w:rPr>
        <w:t>We have incurred, and will continue to incur, direct and indirect costs as a result of the pending Merger</w:t>
      </w:r>
      <w:r>
        <w:rPr>
          <w:rFonts w:ascii="Arial" w:hAnsi="Arial"/>
          <w:b/>
          <w:color w:val="000000"/>
          <w:sz w:val="18"/>
        </w:rPr>
        <w:t>.*</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We have incurred, and will continue to incur, significant costs and expenses, including fees for professional services and other transaction costs, in connection with the pending Merger. We must pay substantially all of these costs and expenses whether or not the Merger is completed.</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There are a number of factors beyond our control that could affect the total amount or the timing of these costs and expenses.</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18"/>
        </w:rPr>
        <w:t>In certain instances, the Merger Agreement requires us to pay a termination fee to Tempus, which could require us to use available cash that would have otherwise been available for general corporate purposes</w:t>
      </w:r>
      <w:r>
        <w:rPr>
          <w:rFonts w:ascii="Arial" w:hAnsi="Arial"/>
          <w:b/>
          <w:color w:val="000000"/>
          <w:sz w:val="18"/>
        </w:rPr>
        <w:t>.*</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Under the terms of the Merger Agreement, we may be required to pay Tempus a termination fee of approximately $76.8 million if the Merger Agreement is terminated under specific circumstances described in the Merger Agreement, including, but not limited to, in connection with a change in the recommendation of the Board or a termination of the Merger Agreement by us to enter into an agreement for a “Superior Proposal,” as defined in the Merger Agreement. If the Merger Agreement is terminated under such circumstances, the termination fee we would be required to pay under the Merger Agreement may require us to use available cash that would have otherwise been available for general corporate purposes and other uses. For these and other reasons, termination of the Merger Agreement could materially and adversely affect our business operations and financial condition, which in turn would materially and adversely affect the price of our common stock.</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18"/>
        </w:rPr>
        <w:t>Litigation may arise in connection with the Merger, which could be costly and divert management’s attention and otherwise materially harm our business</w:t>
      </w:r>
      <w:r>
        <w:rPr>
          <w:rFonts w:ascii="Arial" w:hAnsi="Arial"/>
          <w:b/>
          <w:color w:val="000000"/>
          <w:sz w:val="18"/>
        </w:rPr>
        <w:t>.*</w:t>
      </w:r>
    </w:p>
    <w:p>
      <w:pPr>
        <w:pStyle w:val="TextBody"/>
        <w:bidi w:val="0"/>
        <w:spacing w:before="240" w:after="283"/>
        <w:jc w:val="center"/>
        <w:rPr>
          <w:rFonts w:ascii="Arial" w:hAnsi="Arial"/>
          <w:color w:val="000000"/>
          <w:sz w:val="18"/>
        </w:rPr>
      </w:pPr>
      <w:r>
        <w:rPr>
          <w:rFonts w:ascii="Arial" w:hAnsi="Arial"/>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Lawsuits may be filed challenging the disclosures contained in the registration statement on Form S-4 and proxy statement/prospectus that will be filed with the Securities and Exchange Commission in connection with the proposed Merger and/or challenging other aspects of the proposed Merger. Regardless of the outcome of any future litigation related to the proposed Merger, such litigation may be time-consuming and expensive and may distract our management from running the day-to-day operations of our business. The litigation costs and diversion of management’s attention and resources to address the claims and counterclaims in any litigation related to the proposed Merger may materially adversely affect our business, financial condition and operating results. The outcome of any lawsuit filed or that may be filed challenging the proposed Merger is uncertain. If any lawsuit is successful in obtaining an order enjoining the Merger, then the transaction may not be consummated within the expected time frame, or at all, and could result in substantial costs, including but not limited to, costs associated with the indemnification of our directors and officers. If the Merger is not consummated for any reason, litigation could be filed in connection with the failure to consummate the Merger. Any litigation related to the proposed Merger may result in negative publicity or an unfavorable impression of us, which could adversely affect the price of our common stock, impair our ability to recruit or retain employees, damage our relationships with our investors, employees, patients, customers, regulators, suppliers, collaborators, and other business partners, or otherwise materially harm our operations and financial performance.</w:t>
      </w:r>
    </w:p>
    <w:p>
      <w:pPr>
        <w:pStyle w:val="TextBody"/>
        <w:bidi w:val="0"/>
        <w:spacing w:before="200" w:after="283"/>
        <w:jc w:val="both"/>
        <w:rPr>
          <w:rFonts w:ascii="Arial" w:hAnsi="Arial"/>
          <w:b/>
          <w:color w:val="000000"/>
          <w:sz w:val="18"/>
        </w:rPr>
      </w:pPr>
      <w:r>
        <w:rPr>
          <w:rFonts w:ascii="Arial" w:hAnsi="Arial"/>
          <w:b/>
          <w:color w:val="000000"/>
          <w:sz w:val="18"/>
        </w:rPr>
        <w:t>Operational, Strategic and Business Risks</w:t>
      </w:r>
    </w:p>
    <w:p>
      <w:pPr>
        <w:pStyle w:val="TextBody"/>
        <w:bidi w:val="0"/>
        <w:spacing w:before="200" w:after="283"/>
        <w:jc w:val="both"/>
        <w:rPr>
          <w:rFonts w:ascii="Arial" w:hAnsi="Arial"/>
          <w:b/>
          <w:i/>
          <w:color w:val="000000"/>
          <w:sz w:val="18"/>
        </w:rPr>
      </w:pPr>
      <w:r>
        <w:rPr>
          <w:rFonts w:ascii="Arial" w:hAnsi="Arial"/>
          <w:b/>
          <w:i/>
          <w:color w:val="000000"/>
          <w:sz w:val="18"/>
        </w:rPr>
        <w:t>We have a history of losses and we expect to incur significant losses for the foreseeable future and may not be able to generate sufficient revenue to achieve or sustain profitability.</w:t>
      </w:r>
    </w:p>
    <w:p>
      <w:pPr>
        <w:pStyle w:val="TextBody"/>
        <w:bidi w:val="0"/>
        <w:spacing w:before="200" w:after="283"/>
        <w:jc w:val="both"/>
        <w:rPr>
          <w:rFonts w:ascii="Times New Roman" w:hAnsi="Times New Roman"/>
          <w:sz w:val="20"/>
        </w:rPr>
      </w:pPr>
      <w:r>
        <w:rPr>
          <w:rFonts w:ascii="Arial" w:hAnsi="Arial"/>
          <w:color w:val="000000"/>
          <w:sz w:val="18"/>
        </w:rPr>
        <w:t>We have incurred net losses since our incep</w:t>
      </w:r>
      <w:r>
        <w:rPr>
          <w:rFonts w:ascii="Times New Roman" w:hAnsi="Times New Roman"/>
          <w:color w:val="000000"/>
          <w:sz w:val="20"/>
        </w:rPr>
        <w:t>tion. F</w:t>
      </w:r>
      <w:r>
        <w:rPr>
          <w:rFonts w:ascii="Arial" w:hAnsi="Arial"/>
          <w:color w:val="000000"/>
          <w:sz w:val="18"/>
        </w:rPr>
        <w:t>or the year ended December 31, 2025, we had a net loss of $81.3 million. For the six months ended June 30, 2026, we had a net loss of $61.7 million. As of June 30, 2026, we had an accumulated deficit of $693.0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pStyle w:val="TextBody"/>
        <w:bidi w:val="0"/>
        <w:spacing w:before="200" w:after="283"/>
        <w:jc w:val="both"/>
        <w:rPr>
          <w:rFonts w:ascii="Arial" w:hAnsi="Arial"/>
          <w:b/>
          <w:i/>
          <w:color w:val="000000"/>
          <w:sz w:val="18"/>
        </w:rPr>
      </w:pPr>
      <w:r>
        <w:rPr>
          <w:rFonts w:ascii="Arial" w:hAnsi="Arial"/>
          <w:b/>
          <w:i/>
          <w:color w:val="000000"/>
          <w:sz w:val="18"/>
        </w:rPr>
        <w:t>If we are unable to increase sales of our current services or successfully develop and commercialize other services, or if we are unable to execute our sales and marketing strategy for our testing services or unable to gain sufficient acceptance in the market, or if we are unable to generate sufficient reimbursement or coverage by insurance or governmental payors for our testing services, we may fail to generate sufficient revenue to achieve profitability and sustain our business.</w:t>
      </w:r>
    </w:p>
    <w:p>
      <w:pPr>
        <w:pStyle w:val="TextBody"/>
        <w:bidi w:val="0"/>
        <w:spacing w:before="200" w:after="283"/>
        <w:jc w:val="both"/>
        <w:rPr>
          <w:rFonts w:ascii="Arial" w:hAnsi="Arial"/>
          <w:color w:val="000000"/>
          <w:sz w:val="18"/>
        </w:rPr>
      </w:pPr>
      <w:r>
        <w:rPr>
          <w:rFonts w:ascii="Arial" w:hAnsi="Arial"/>
          <w:color w:val="000000"/>
          <w:sz w:val="18"/>
        </w:rPr>
        <w:t>We currently derive substantially all of our revenue from sales of our testing services. We began offering our testing services through our CLIA-certified, CAP-accredited, and state-licensed laboratory in 2013. We are in varying stages of research and development for other services that we may offer. If we are unable to increase sales of our existing services or successfully develop and commercialize other services, we will not generate sufficient revenue to become profitable.</w:t>
      </w:r>
    </w:p>
    <w:p>
      <w:pPr>
        <w:pStyle w:val="TextBody"/>
        <w:bidi w:val="0"/>
        <w:spacing w:before="200" w:after="283"/>
        <w:jc w:val="both"/>
        <w:rPr>
          <w:rFonts w:ascii="Arial" w:hAnsi="Arial"/>
          <w:color w:val="000000"/>
          <w:sz w:val="18"/>
        </w:rPr>
      </w:pPr>
      <w:r>
        <w:rPr>
          <w:rFonts w:ascii="Arial" w:hAnsi="Arial"/>
          <w:color w:val="000000"/>
          <w:sz w:val="18"/>
        </w:rPr>
        <w:t>In addition, as a growing genomics company, we have engaged in targeted sales and marketing activities for our testing services. Although we have had revenue from sales of our testing services since 2013, our testing services may never gain significant acceptance in the marketplace and therefore may never generate substantial revenue or permit us to become profitable. We will need to further establish and grow the market for our testing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testing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testing services.</w:t>
      </w:r>
    </w:p>
    <w:p>
      <w:pPr>
        <w:pStyle w:val="TextBody"/>
        <w:bidi w:val="0"/>
        <w:spacing w:before="160" w:after="283"/>
        <w:jc w:val="both"/>
        <w:rPr>
          <w:rFonts w:ascii="Arial" w:hAnsi="Arial"/>
          <w:color w:val="000000"/>
          <w:sz w:val="18"/>
        </w:rPr>
      </w:pPr>
      <w:r>
        <w:rPr>
          <w:rFonts w:ascii="Arial" w:hAnsi="Arial"/>
          <w:color w:val="000000"/>
          <w:sz w:val="18"/>
        </w:rPr>
        <w:t>Our ability to successfully market our testing services that we have developed, and may develop in the future, will depend on numerous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generation of sufficient reimbursement or coverage by insurance or governmental payors for our testing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demonstrate the utility and value of our testing services to our customers and potential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success of our commercial team, including sales and business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recruitment, hiring, and retention of our commercial team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whether our customers and potential customers accept that our testing services are sufficiently sensitive and specific;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educate our customers and potential customers of the utility of the comprehensiveness of our testing services and of testing patients at multiple time points;</w:t>
      </w:r>
    </w:p>
    <w:p>
      <w:pPr>
        <w:pStyle w:val="TextBody"/>
        <w:bidi w:val="0"/>
        <w:spacing w:before="240" w:after="283"/>
        <w:jc w:val="center"/>
        <w:rPr>
          <w:rFonts w:ascii="Arial" w:hAnsi="Arial"/>
          <w:color w:val="000000"/>
          <w:sz w:val="18"/>
        </w:rPr>
      </w:pPr>
      <w:r>
        <w:rPr>
          <w:rFonts w:ascii="Arial" w:hAnsi="Arial"/>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continue to fund sales and marketing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whether our testing services are considered superior to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any negative publicity regarding our or our competitors’ services resulting from defects or errors;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success obtaining and maintaining patent and trade secret protection for our testing services and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success enforcing and defending intellectual property rights and claims.</w:t>
      </w:r>
    </w:p>
    <w:p>
      <w:pPr>
        <w:pStyle w:val="TextBody"/>
        <w:bidi w:val="0"/>
        <w:spacing w:before="160" w:after="283"/>
        <w:jc w:val="both"/>
        <w:rPr>
          <w:rFonts w:ascii="Arial" w:hAnsi="Arial"/>
          <w:color w:val="000000"/>
          <w:sz w:val="18"/>
        </w:rPr>
      </w:pPr>
      <w:r>
        <w:rPr>
          <w:rFonts w:ascii="Arial" w:hAnsi="Arial"/>
          <w:color w:val="000000"/>
          <w:sz w:val="18"/>
        </w:rPr>
        <w:t>Failure to achieve broad market acceptance of our testing services would materially harm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cannot compete successfully with our competitors, we may be unable to increase or sustain our revenue or achieve and sustain profitability.*</w:t>
      </w:r>
    </w:p>
    <w:p>
      <w:pPr>
        <w:pStyle w:val="TextBody"/>
        <w:bidi w:val="0"/>
        <w:spacing w:before="160" w:after="283"/>
        <w:jc w:val="both"/>
        <w:rPr>
          <w:rFonts w:ascii="Arial" w:hAnsi="Arial"/>
          <w:color w:val="000000"/>
          <w:sz w:val="18"/>
        </w:rPr>
      </w:pPr>
      <w:r>
        <w:rPr>
          <w:rFonts w:ascii="Arial" w:hAnsi="Arial"/>
          <w:color w:val="000000"/>
          <w:sz w:val="18"/>
        </w:rPr>
        <w:t>Our principal competition comes from commercial and academic organizations that employ various approaches to produce information that is similar to the information that we generate for our customers. These commercial and academic organizations may not utilize our testing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testing services and features if our testing services or features are or will not be perceived as technologically superior, commercially successful or adopted as standards in the industry.</w:t>
      </w:r>
    </w:p>
    <w:p>
      <w:pPr>
        <w:pStyle w:val="TextBody"/>
        <w:bidi w:val="0"/>
        <w:spacing w:before="160" w:after="283"/>
        <w:jc w:val="both"/>
        <w:rPr>
          <w:rFonts w:ascii="Arial" w:hAnsi="Arial"/>
          <w:color w:val="000000"/>
          <w:sz w:val="18"/>
        </w:rPr>
      </w:pPr>
      <w:r>
        <w:rPr>
          <w:rFonts w:ascii="Arial" w:hAnsi="Arial"/>
          <w:color w:val="000000"/>
          <w:sz w:val="18"/>
        </w:rPr>
        <w:t>Some of our present or potential competitors, including Adela, Inc., Caris Life Sciences, Inc., DELFI Diagnostics, Inc., Exact Sciences Corporation which was acquired by Abbott Laboratories, Inc., in March 2026, Foresight Diagnostics Inc. (“Foresight”), which was acquired by Natera in December 2025. Foundation Medicine, Inc., GRAIL, Inc., Guardant Health, Inc., Haystack Oncology, Inc., which was acquired by Quest Diagnostics Incorporated in June 2023, Laboratory Corporation of America Holdings, MedGenome Inc., Myriad Genetics, Inc., Natera, NeoGenomics, Inc., Predicine, Inc., SAGA Diagnostics AB which is expected to be acquired by Foundation Medicine, Inc. in the third quarter of 2026, Veracyte, Inc. and BillionToOne,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 During the year ended December 31, 2025, revenue under our agreement accounted for 8% of our total revenue. See “—We have historically derived a substantial portion of our revenue from DNA sequencing and data analysis services that we provided to Natera. We no longer have a commercial relationship with Natera and, if we are unable to grow our customer base and diversify our revenue concentration, our business, financial condition, revenue and other operating results, and cash flows may be materially harmed.” Further, we have partnered with Tempus to expand the sales and marketing of our NeXT Personal Dx tests in four indications and Tempus could in the future develop tests that compete directly or indirectly with our tests or partner with our competitors. If Tempus were to develop competitive tests or partner with our competitors, we or Tempus may terminate the agreement and, upon termination of the agreement, we may be unable to expand our sales force timely to replace the Tempus sales and marketing efforts, which could adversely impact our business or affect our ability to commercialize our testing services. In addition, our present or potential competitors have been or may be acquired by, receive investments from, or enter into other commercial relationships with larger, more well-established and well-financed companies. We may also have disputes with our present or potential competitors.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pStyle w:val="TextBody"/>
        <w:bidi w:val="0"/>
        <w:spacing w:before="160" w:after="283"/>
        <w:jc w:val="both"/>
        <w:rPr>
          <w:rFonts w:ascii="Arial" w:hAnsi="Arial"/>
          <w:color w:val="000000"/>
          <w:sz w:val="18"/>
        </w:rPr>
      </w:pPr>
      <w:r>
        <w:rPr>
          <w:rFonts w:ascii="Arial" w:hAnsi="Arial"/>
          <w:color w:val="000000"/>
          <w:sz w:val="18"/>
        </w:rPr>
        <w:t>Others may develop lower-priced, less complex products and services that pharmaceutical companies could view as functionally equivalent to our current or planned future services, and our competitors may develop services with the same attributes and features as our testing services, which could force us to lower the price of our testing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services or diagnostic tools that are more sensitive or specific than ours may enable other clinical laboratories, hospitals, physicians, or medical providers to provide specialized services similar to ours in a more patient-friendly, efficient, or cost-effective manner than is currently possible. If we cannot compete successfully against current or future competitors, or if we cannot maintain successful customer or supply relationships with Moderna,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pStyle w:val="TextBody"/>
        <w:bidi w:val="0"/>
        <w:spacing w:before="160" w:after="283"/>
        <w:jc w:val="both"/>
        <w:rPr>
          <w:rFonts w:ascii="Times New Roman" w:hAnsi="Times New Roman"/>
          <w:sz w:val="20"/>
        </w:rPr>
      </w:pPr>
      <w:r>
        <w:rPr>
          <w:rFonts w:ascii="Arial" w:hAnsi="Arial"/>
          <w:color w:val="000000"/>
          <w:sz w:val="18"/>
        </w:rPr>
        <w:t>We expect that biopharmaceutical companies will increasingly focus attention and resources on the targeted and personalized cancer diagnostic sector as the potential and prevalence of molecularly targeted oncology therapies approved by the FDA along with</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Arial" w:hAnsi="Arial"/>
          <w:color w:val="000000"/>
          <w:sz w:val="18"/>
        </w:rPr>
        <w:t>companion diagnostics increases. For example, the FDA has approved several such targeted oncology therapies that use companion diagnostics, including the anaplastic lymphoma kinase FISH test from Abbott Laboratories, Inc. for use with Xalkori</w:t>
      </w:r>
      <w:r>
        <w:rPr>
          <w:rFonts w:ascii="sans-serif" w:hAnsi="sans-serif"/>
          <w:color w:val="000000"/>
          <w:sz w:val="22"/>
        </w:rPr>
        <w:t>®</w:t>
      </w:r>
      <w:r>
        <w:rPr>
          <w:rFonts w:ascii="Times New Roman" w:hAnsi="Times New Roman"/>
          <w:color w:val="000000"/>
          <w:sz w:val="20"/>
        </w:rPr>
        <w:t xml:space="preserve"> </w:t>
      </w:r>
      <w:r>
        <w:rPr>
          <w:rFonts w:ascii="Arial" w:hAnsi="Arial"/>
          <w:color w:val="000000"/>
          <w:sz w:val="18"/>
        </w:rPr>
        <w:t>from Pfizer Inc., the BRAF kinase V600 mutation test from Roche Molecular Systems, Inc. for use with Zelboraf</w:t>
      </w:r>
      <w:r>
        <w:rPr>
          <w:rFonts w:ascii="sans-serif" w:hAnsi="sans-serif"/>
          <w:color w:val="000000"/>
          <w:sz w:val="22"/>
        </w:rPr>
        <w:t>®</w:t>
      </w:r>
      <w:r>
        <w:rPr>
          <w:rFonts w:ascii="Times New Roman" w:hAnsi="Times New Roman"/>
          <w:color w:val="000000"/>
          <w:sz w:val="20"/>
        </w:rPr>
        <w:t xml:space="preserve"> </w:t>
      </w:r>
      <w:r>
        <w:rPr>
          <w:rFonts w:ascii="Arial" w:hAnsi="Arial"/>
          <w:color w:val="000000"/>
          <w:sz w:val="18"/>
        </w:rPr>
        <w:t>from Daiichi-Sankyo/Genentech/Roche, and the BRAF kinase V600 mutation test from bioMerieux for use with Tafinlar</w:t>
      </w:r>
      <w:r>
        <w:rPr>
          <w:rFonts w:ascii="sans-serif" w:hAnsi="sans-serif"/>
          <w:color w:val="000000"/>
          <w:sz w:val="22"/>
        </w:rPr>
        <w:t>®</w:t>
      </w:r>
      <w:r>
        <w:rPr>
          <w:rFonts w:ascii="Times New Roman" w:hAnsi="Times New Roman"/>
          <w:color w:val="000000"/>
          <w:sz w:val="20"/>
        </w:rPr>
        <w:t xml:space="preserve"> </w:t>
      </w:r>
      <w:r>
        <w:rPr>
          <w:rFonts w:ascii="Arial" w:hAnsi="Arial"/>
          <w:color w:val="000000"/>
          <w:sz w:val="18"/>
        </w:rPr>
        <w:t>from GlaxoSmithKline. Since companion diagnostic tests are part of FDA labeling, non-FDA cleared tests, such as the ones we currently offer as part of our testing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pStyle w:val="TextBody"/>
        <w:bidi w:val="0"/>
        <w:spacing w:before="160" w:after="283"/>
        <w:jc w:val="both"/>
        <w:rPr>
          <w:rFonts w:ascii="Arial" w:hAnsi="Arial"/>
          <w:color w:val="000000"/>
          <w:sz w:val="18"/>
        </w:rPr>
      </w:pPr>
      <w:r>
        <w:rPr>
          <w:rFonts w:ascii="Arial" w:hAnsi="Arial"/>
          <w:color w:val="000000"/>
          <w:sz w:val="18"/>
        </w:rPr>
        <w:t>Additionally, projects related to cancer diagnostics and particularly genomics have in the past received, and may in the future receive,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testing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pStyle w:val="TextBody"/>
        <w:bidi w:val="0"/>
        <w:spacing w:before="200" w:after="283"/>
        <w:jc w:val="both"/>
        <w:rPr>
          <w:rFonts w:ascii="Arial" w:hAnsi="Arial"/>
          <w:b/>
          <w:i/>
          <w:color w:val="000000"/>
          <w:sz w:val="18"/>
        </w:rPr>
      </w:pPr>
      <w:r>
        <w:rPr>
          <w:rFonts w:ascii="Arial" w:hAnsi="Arial"/>
          <w:b/>
          <w:i/>
          <w:color w:val="000000"/>
          <w:sz w:val="18"/>
        </w:rPr>
        <w:t>We have substantial customer concentration, with a limited number of customers accounting for a substantial portion of our revenue and accounts receivable; in particular, we currently derive a substantial portion of our revenue from three of our largest customers, Moderna, the VA MVP and Merck, and in the past have derived a substantial portion of our revenue from other large customers. *</w:t>
      </w:r>
    </w:p>
    <w:p>
      <w:pPr>
        <w:pStyle w:val="TextBody"/>
        <w:bidi w:val="0"/>
        <w:spacing w:before="200" w:after="283"/>
        <w:jc w:val="both"/>
        <w:rPr>
          <w:rFonts w:ascii="Times New Roman" w:hAnsi="Times New Roman"/>
          <w:sz w:val="20"/>
        </w:rPr>
      </w:pPr>
      <w:r>
        <w:rPr>
          <w:rFonts w:ascii="Arial" w:hAnsi="Arial"/>
          <w:color w:val="000000"/>
          <w:sz w:val="18"/>
        </w:rPr>
        <w:t>Like other genomic profiling companies that sell to the pharmaceutical industry, we have substantial customer concentration. We currently derive a significant portion of our revenue from Moderna, which accounted for 14% of our revenue for the six months ended June 30, 2026, and 22% and 28% of our revenue for the years ended December 31, 2025 and 2024, respectively. We derive a significant portion of our revenue from the VA MVP, which accounted for 15% of our revenue for the six months ended June 30, 2026, and 17% and 9% of our revenue for the years ended December 31, 2025 and 2024, respectively. We also derive a significant portion of our revenue from Merck, which accounted for 30% and 7% of our revenue for the six months ended June 30, 2026 and each of the years ended December 31, 2025 and 2024, respectively. We previously derived a significant portion of our revenue from Natera, which accounted for 8% and 30% of our revenue for the years ended December 31, 2025 and 2024, respectively. Our top five customers, including Moderna, the VA MVP, Merck and Natera, accounted for 62% and 81% of our revenue for the years ended December 31, 2025 and 2024, respectively. Our top five customers, including Moderna, the VA MVP and Merck accounted for 67% of our revenue for the six months ended June 30, 2026. There are inherent risks whenever a large percentage of revenue is concentrated with a limited number of customers. While we have attempted to grow our customer base and diversify our revenue concentration beyond Moderna, VA MVP and Merck, we may not be able to successfully do so in the future. Our predictions regarding the future level of demand for our testing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testing services, and these and other customers may also do so in the future. As a result, we could be pressured to reduce the prices we charge for our testing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See “—We derive a substantial portion of our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Moderna or any of our other significant customers were to reduce or cease their use of our testing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customers to pay their balances, or any customer to pay future outstanding balances, would result in an operating expense and reduce our cash flows.</w:t>
      </w:r>
    </w:p>
    <w:p>
      <w:pPr>
        <w:pStyle w:val="TextBody"/>
        <w:bidi w:val="0"/>
        <w:spacing w:before="200" w:after="283"/>
        <w:jc w:val="both"/>
        <w:rPr>
          <w:rFonts w:ascii="Arial" w:hAnsi="Arial"/>
          <w:b/>
          <w:i/>
          <w:color w:val="000000"/>
          <w:sz w:val="18"/>
        </w:rPr>
      </w:pPr>
      <w:r>
        <w:rPr>
          <w:rFonts w:ascii="Arial" w:hAnsi="Arial"/>
          <w:b/>
          <w:i/>
          <w:color w:val="000000"/>
          <w:sz w:val="18"/>
        </w:rPr>
        <w:t>We have historically derived a substantial portion of our revenue from DNA sequencing and data analysis services provided to Natera. We no longer have a commercial relationship with Natera and, if we are unable to grow our customer base and diversify our revenue concentration, our business, financial condition, revenue and other operating results, and cash flows may be materially harmed.*</w:t>
      </w:r>
    </w:p>
    <w:p>
      <w:pPr>
        <w:pStyle w:val="TextBody"/>
        <w:bidi w:val="0"/>
        <w:spacing w:before="200" w:after="283"/>
        <w:jc w:val="both"/>
        <w:rPr>
          <w:rFonts w:ascii="Arial" w:hAnsi="Arial"/>
          <w:color w:val="000000"/>
          <w:sz w:val="18"/>
        </w:rPr>
      </w:pPr>
      <w:r>
        <w:rPr>
          <w:rFonts w:ascii="Arial" w:hAnsi="Arial"/>
          <w:color w:val="000000"/>
          <w:sz w:val="18"/>
        </w:rPr>
        <w:t>In February 2021, we entered into a commercial relationship in the field of personalized oncology with Natera, pairing our NeXT tumor profiling and diagnostic services with Natera’s personalized ctDNA test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revenue under our agreement with Natera accounted for 30% of our total revenue for the year ended December 31, 2024 and only 8% of our total revenue for the year ended December 31, 2025. In December 2024, we amended our agreement with Natera to extend minimum volume commitments through the second quarter of 2025, after which such commitments expired and were not renewed. We no longer have a commercial relationship with Natera and do not expect to have one going forward, as we are aware that Natera brought such services in-house in lieu of purchasing such services from us. We are also aware of at least one third party supplier of DNA sequencing and analysis services, such that Natera has elected, and may continue to elect in the future, to send a portion (or all) of its samples to its other supplier(s) instead of us. If we are unable to grow our customer base and diversify our revenue concentration timely, our business, financial condition, revenue and other operating results, and cash flows may be materially harmed.</w:t>
      </w:r>
    </w:p>
    <w:p>
      <w:pPr>
        <w:pStyle w:val="TextBody"/>
        <w:bidi w:val="0"/>
        <w:spacing w:before="200" w:after="283"/>
        <w:jc w:val="both"/>
        <w:rPr>
          <w:rFonts w:ascii="Arial" w:hAnsi="Arial"/>
          <w:b/>
          <w:i/>
          <w:color w:val="000000"/>
          <w:sz w:val="18"/>
        </w:rPr>
      </w:pPr>
      <w:r>
        <w:rPr>
          <w:rFonts w:ascii="Arial" w:hAnsi="Arial"/>
          <w:b/>
          <w:i/>
          <w:color w:val="000000"/>
          <w:sz w:val="18"/>
        </w:rPr>
        <w:t>We derive a substantial portion of our revenue from DNA sequencing and data analysis services that we provide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pStyle w:val="TextBody"/>
        <w:bidi w:val="0"/>
        <w:spacing w:before="200" w:after="283"/>
        <w:jc w:val="both"/>
        <w:rPr>
          <w:rFonts w:ascii="Arial" w:hAnsi="Arial"/>
          <w:color w:val="000000"/>
          <w:sz w:val="18"/>
        </w:rPr>
      </w:pPr>
      <w:r>
        <w:rPr>
          <w:rFonts w:ascii="Arial" w:hAnsi="Arial"/>
          <w:color w:val="000000"/>
          <w:sz w:val="18"/>
        </w:rPr>
        <w:t>We derive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"2022 VA MVP Agreement"). The performance period under the new contract includes a base period of one year, with four one-year renewal option periods that may be exercised upon discretion of the VA MVP. In August 2025, we received a fourth task order with a value of up to $13.5 million. There is no guarantee that the VA MVP will exercise any subsequent renewal option.</w:t>
      </w:r>
    </w:p>
    <w:p>
      <w:pPr>
        <w:pStyle w:val="TextBody"/>
        <w:bidi w:val="0"/>
        <w:spacing w:before="200" w:after="283"/>
        <w:jc w:val="both"/>
        <w:rPr>
          <w:rFonts w:ascii="Arial" w:hAnsi="Arial"/>
          <w:color w:val="000000"/>
          <w:sz w:val="18"/>
        </w:rPr>
      </w:pPr>
      <w:r>
        <w:rPr>
          <w:rFonts w:ascii="Arial" w:hAnsi="Arial"/>
          <w:color w:val="000000"/>
          <w:sz w:val="18"/>
        </w:rPr>
        <w:t>The VA MVP’s contracted orders for DNA sequencing and data analysis services have fluctuated significantly in value over time and are subject to the availability of funding, enrollment of veterans in the VA MVP study, and the VA MVP’s continued demand, if any, for our testing services among other factors. For example, the VA MVP contracted order received in September 2020 had a value of $30.9 million, whereas annual orders (other than 2025) received in subsequent years had values of $10.0 million, or less, which represents a substantial decline. We have no certainty that funding will be made available for our testing services, or that the VA MVP will honor its payment obligations under the current contract and task order, or award any future contracts, contract renewals or contracted orders to us. The priorities of the VA, the VA MVP, or the U.S. government may change, including in response to a health epidemic pandemic or federal cost-cutting initiatives such as those recently announced and enacted by the current administration. Future task orders from the VA MVP for our DNA sequencing and data analysis services may be reduced or eliminated as a result of reductions in government research spending and federal cost-cutting initiatives. For example, funding for our testing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pStyle w:val="TextBody"/>
        <w:bidi w:val="0"/>
        <w:spacing w:before="200" w:after="283"/>
        <w:jc w:val="both"/>
        <w:rPr>
          <w:rFonts w:ascii="Arial" w:hAnsi="Arial"/>
          <w:color w:val="000000"/>
          <w:sz w:val="18"/>
        </w:rPr>
      </w:pPr>
      <w:r>
        <w:rPr>
          <w:rFonts w:ascii="Arial" w:hAnsi="Arial"/>
          <w:color w:val="000000"/>
          <w:sz w:val="18"/>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contracted orders received in 2021 and later years compared to the September 2020 contract order, as the VA MVP delayed new enrollment and also may have needed to divert resources to respond to the pandemic. Another health epidemic or pandemic may negatively impact the value of any potential new VA MVP contract or order.</w:t>
      </w:r>
    </w:p>
    <w:p>
      <w:pPr>
        <w:pStyle w:val="TextBody"/>
        <w:bidi w:val="0"/>
        <w:spacing w:before="240" w:after="283"/>
        <w:jc w:val="center"/>
        <w:rPr>
          <w:rFonts w:ascii="Arial" w:hAnsi="Arial"/>
          <w:color w:val="000000"/>
          <w:sz w:val="18"/>
        </w:rPr>
      </w:pPr>
      <w:r>
        <w:rPr>
          <w:rFonts w:ascii="Arial" w:hAnsi="Arial"/>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pStyle w:val="TextBody"/>
        <w:bidi w:val="0"/>
        <w:spacing w:before="200" w:after="283"/>
        <w:jc w:val="both"/>
        <w:rPr>
          <w:rFonts w:ascii="Arial" w:hAnsi="Arial"/>
          <w:color w:val="000000"/>
          <w:sz w:val="18"/>
        </w:rPr>
      </w:pPr>
      <w:r>
        <w:rPr>
          <w:rFonts w:ascii="Arial" w:hAnsi="Arial"/>
          <w:color w:val="000000"/>
          <w:sz w:val="18"/>
        </w:rPr>
        <w:t>Our corporate customers are primarily biopharmaceutical companies that use our testing services to support clinical trials, including Moderna. Our future success is substantially dependent on our ability to maintain our customer relationships and to establish new ones. Many factors have the potential to impact our customer relationships, including the type of support our customers and potential customers require and our ability to deliver it, our customers’ satisfaction with our testing services, and other factors that may be beyond our control. Furthermore, our customers may decide to decrease or discontinue their use of our testing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pStyle w:val="TextBody"/>
        <w:bidi w:val="0"/>
        <w:spacing w:before="200" w:after="283"/>
        <w:jc w:val="both"/>
        <w:rPr>
          <w:rFonts w:ascii="Arial" w:hAnsi="Arial"/>
          <w:color w:val="000000"/>
          <w:sz w:val="18"/>
        </w:rPr>
      </w:pPr>
      <w:r>
        <w:rPr>
          <w:rFonts w:ascii="Arial" w:hAnsi="Arial"/>
          <w:color w:val="000000"/>
          <w:sz w:val="18"/>
        </w:rPr>
        <w:t>We engage in conversations with corporate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testing services, and our technology, which can adversely affect our reputation and our business. In addition, the termination of these relationships could result in a temporary or permanent loss of revenue.</w:t>
      </w:r>
    </w:p>
    <w:p>
      <w:pPr>
        <w:pStyle w:val="TextBody"/>
        <w:bidi w:val="0"/>
        <w:spacing w:before="200" w:after="283"/>
        <w:jc w:val="both"/>
        <w:rPr>
          <w:rFonts w:ascii="Arial" w:hAnsi="Arial"/>
          <w:color w:val="000000"/>
          <w:sz w:val="18"/>
        </w:rPr>
      </w:pPr>
      <w:r>
        <w:rPr>
          <w:rFonts w:ascii="Arial" w:hAnsi="Arial"/>
          <w:color w:val="000000"/>
          <w:sz w:val="18"/>
        </w:rPr>
        <w:t>Our activities under our agreements with our corporate customers have had, and may in the future have, an impact on our business, including expenses in connection with our scale-up activities, diversion of our resources and the attention of our management, including with respect to our internal research and development objectives and projects for our other customers, collaborators and/or partners. If there is a need to increase our laboratory’s capacity for orders from a corporate customer and we are unable to successfully do so and manage any such competing objectives and/or projects for our other customers, we may be unable to meet the quality and timing requirements of our agreements with our customers, collaborators and/or partners and such customers, collaborators and/or partners may allege a breach of our agreement with them and seek to terminate such agreement prior to its expiration and/or pursue any remedies available to it under the agreement, at law or in equity. We may also be unable to successfully research, develop, launch and/or commercialize our testing services or service capabilities with current or future customers, collaborators and/or partners. If the volume of samples received under our agreements with our corporate customers were to be significantly reduced or eliminated, or if our agreements with our corporate customers were to be terminated or not renewed after expiration, and we are unable to grow our customer base and diversify our revenue concentration timely, our business, financial condition, revenue and other operating results, and cash flows may be materially harmed.</w:t>
      </w:r>
    </w:p>
    <w:p>
      <w:pPr>
        <w:pStyle w:val="TextBody"/>
        <w:bidi w:val="0"/>
        <w:spacing w:before="200" w:after="283"/>
        <w:jc w:val="both"/>
        <w:rPr>
          <w:rFonts w:ascii="Arial" w:hAnsi="Arial"/>
          <w:color w:val="000000"/>
          <w:sz w:val="18"/>
        </w:rPr>
      </w:pPr>
      <w:r>
        <w:rPr>
          <w:rFonts w:ascii="Arial" w:hAnsi="Arial"/>
          <w:color w:val="000000"/>
          <w:sz w:val="18"/>
        </w:rPr>
        <w:t>Our corporate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testing services as a companion diagnostic with their drug or they may impose additional customization requirements for commercialization, thereby limiting our potential revenue.</w:t>
      </w:r>
    </w:p>
    <w:p>
      <w:pPr>
        <w:pStyle w:val="TextBody"/>
        <w:bidi w:val="0"/>
        <w:spacing w:before="200" w:after="283"/>
        <w:jc w:val="both"/>
        <w:rPr>
          <w:rFonts w:ascii="Arial" w:hAnsi="Arial"/>
          <w:b/>
          <w:i/>
          <w:color w:val="000000"/>
          <w:sz w:val="18"/>
        </w:rPr>
      </w:pPr>
      <w:r>
        <w:rPr>
          <w:rFonts w:ascii="Arial" w:hAnsi="Arial"/>
          <w:b/>
          <w:i/>
          <w:color w:val="000000"/>
          <w:sz w:val="18"/>
        </w:rPr>
        <w:t>Building our clinical laboratory business is subject to a number of reimbursement challenges and we may not be able to establish the medical necessity of our tests for coverage or reimbursement rates that cover our costs.*</w:t>
      </w:r>
    </w:p>
    <w:p>
      <w:pPr>
        <w:pStyle w:val="TextBody"/>
        <w:bidi w:val="0"/>
        <w:spacing w:before="200" w:after="283"/>
        <w:jc w:val="both"/>
        <w:rPr>
          <w:rFonts w:ascii="Arial" w:hAnsi="Arial"/>
          <w:color w:val="000000"/>
          <w:sz w:val="18"/>
        </w:rPr>
      </w:pPr>
      <w:r>
        <w:rPr>
          <w:rFonts w:ascii="Arial" w:hAnsi="Arial"/>
          <w:color w:val="000000"/>
          <w:sz w:val="18"/>
        </w:rPr>
        <w:t>The coverage and reimbursement status of newly-approved or cleared laboratory developed tests, including our NeXT Dx and NeXT Personal Dx testing services,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testing services are not medically necessary, or are less safe, less effective, or less cost-effective than existing or later-introduced services.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pStyle w:val="TextBody"/>
        <w:bidi w:val="0"/>
        <w:spacing w:before="200" w:after="160"/>
        <w:jc w:val="both"/>
        <w:rPr>
          <w:rFonts w:ascii="Times New Roman" w:hAnsi="Times New Roman"/>
          <w:sz w:val="20"/>
        </w:rPr>
      </w:pPr>
      <w:r>
        <w:rPr>
          <w:rFonts w:ascii="Arial" w:hAnsi="Arial"/>
          <w:color w:val="000000"/>
          <w:sz w:val="18"/>
        </w:rPr>
        <w:t>In January 2024, we announced that we received a final Medicare coverage determination for our NeXT Dx offering, extended retroactively to August 29, 2023. In November 2025, we announced that we received Medicare coverage for NeXT Personal Dx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160"/>
        <w:jc w:val="both"/>
        <w:rPr>
          <w:rFonts w:ascii="Arial" w:hAnsi="Arial"/>
          <w:color w:val="000000"/>
          <w:sz w:val="18"/>
        </w:rPr>
      </w:pPr>
      <w:r>
        <w:rPr>
          <w:rFonts w:ascii="Arial" w:hAnsi="Arial"/>
          <w:color w:val="000000"/>
          <w:sz w:val="18"/>
        </w:rPr>
        <w:t>post-treatment surveillance of cancer recurrence in patients with Stage II and III breast cancer, with an effective date of October 7, 2025. In February 2026, we announced that we received Medicare coverage for NeXT Personal Dx for surveillance of patients with Stage I to III NSCLC with an effective date of January 9, 2026. In May 2026, we announced that we received Medicare coverage for NeXT Personal Dx for immunotherapy monitoring for patients with late-stage solid tumors with an effective date of March 16, 2026. In May 2026, we also announced that we received Medicare coverage for NeXT Personal Dx for monitoring treatment response to neoadjuvant therapy (NAT) in patients diagnosed with Stage II-III Triple-Negative Breast Cancer (TNBC) or HER2-positive (HER2+) breast cancer, with an effective date of April 6, 2026.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testing services, less favorable coverage policies and reimbursement rates may be implemented in the future.</w:t>
      </w:r>
    </w:p>
    <w:p>
      <w:pPr>
        <w:pStyle w:val="TextBody"/>
        <w:bidi w:val="0"/>
        <w:spacing w:before="40" w:after="283"/>
        <w:jc w:val="both"/>
        <w:rPr>
          <w:rFonts w:ascii="Arial" w:hAnsi="Arial"/>
          <w:b/>
          <w:i/>
          <w:color w:val="000000"/>
          <w:sz w:val="18"/>
        </w:rPr>
      </w:pPr>
      <w:r>
        <w:rPr>
          <w:rFonts w:ascii="Arial" w:hAnsi="Arial"/>
          <w:b/>
          <w:i/>
          <w:color w:val="000000"/>
          <w:sz w:val="18"/>
        </w:rPr>
        <w:t>We are pursuing a partner-centric strategy and have key relationships with Tempus, Myriad, Moderna and Merck, among others. These and any other partnering and/or collaboration arrangements that we have entered into or may enter into in the future may not be successful, or may terminate, which could adversely impact our business or affect our ability to develop and commercialize our testing services.</w:t>
      </w:r>
    </w:p>
    <w:p>
      <w:pPr>
        <w:pStyle w:val="TextBody"/>
        <w:bidi w:val="0"/>
        <w:spacing w:before="200" w:after="283"/>
        <w:jc w:val="both"/>
        <w:rPr>
          <w:rFonts w:ascii="Arial" w:hAnsi="Arial"/>
          <w:color w:val="000000"/>
          <w:sz w:val="18"/>
        </w:rPr>
      </w:pPr>
      <w:r>
        <w:rPr>
          <w:rFonts w:ascii="Arial" w:hAnsi="Arial"/>
          <w:color w:val="000000"/>
          <w:sz w:val="18"/>
        </w:rPr>
        <w:t>Any current or future collaborations, including any strategic alliances or any collaborations to develop companion diagnostic tests, that we have entered (for example, our strategic alliances with Moderna and Merck; and our collaborations with Tempus; Myriad; ClearNote Health, Inc.;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UKE);Criterium and the Academic Breast Cancer Consortium; Yale Cancer Center; Aarhus University; British Columbia Cancer; and University Health Network), or may enter into may not be successful. The success of our collaboration arrangements will depend heavily on the efforts and activities of our collaborators. Collaborations are subject to numerous risks, which include that: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have significant discretion in determining the efforts and resources that they will apply to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may not pursue development and commercialization of our testing services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could independently develop, or develop with third parties, services or products that compete directly or indirectly with our testing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with marketing, manufacturing, and distribution rights to one or more services or products may not commit sufficient resources to or otherwise not perform satisfactorily in carrying out these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could grant exclusive rights to our collaborators that would prevent us from collaborating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 large percentage of our revenue may be concentrated with the collaborators if the collaborations are successful and we may experience further losses if they are or later become unsuccessful;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disputes may arise between us and a collaborator that causes the delay or termination of the research, development, or commercialization of our current or future services or that results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collaborations may be terminated, and, if terminated, may result in a need for additional capital to pursue further development or commercialization of the applicable current or future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may own or co-own intellectual property covering our testing services that results from our collaborating with them, and in such cases, we would not have the exclusive right to develop or commercialize such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activities or use of our testing services or deliverables may create additional regulatory obligations and could lead to side effects or adverse events in patients, exposing us to potential liability or regulatory review;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sales and marketing activities or other operations may not be in compliance with applicable laws resulting in civil or criminal proceedings;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 xml:space="preserve">we may choose or our collaborators may request or require us to expand our facilities and/or establish new facilities domestically and/or internationally, which may significantly increase our expenses and divert resources and management’s </w:t>
      </w:r>
    </w:p>
    <w:p>
      <w:pPr>
        <w:pStyle w:val="TextBody"/>
        <w:bidi w:val="0"/>
        <w:spacing w:before="240" w:after="283"/>
        <w:jc w:val="center"/>
        <w:rPr>
          <w:rFonts w:ascii="Arial" w:hAnsi="Arial"/>
          <w:color w:val="000000"/>
          <w:sz w:val="18"/>
        </w:rPr>
      </w:pPr>
      <w:r>
        <w:rPr>
          <w:rFonts w:ascii="Arial" w:hAnsi="Arial"/>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pPr>
      <w:r>
        <w:rPr>
          <w:rFonts w:ascii="Arial" w:hAnsi="Arial"/>
          <w:color w:val="000000"/>
          <w:sz w:val="18"/>
        </w:rPr>
        <w:t>attention. See “</w:t>
      </w:r>
      <w:r>
        <w:rPr>
          <w:color w:val="000000"/>
        </w:rPr>
        <w:t>—</w:t>
      </w:r>
      <w:r>
        <w:rPr>
          <w:rFonts w:ascii="Arial" w:hAnsi="Arial"/>
          <w:color w:val="000000"/>
          <w:sz w:val="18"/>
        </w:rPr>
        <w:t>We may need to continue to invest in our infrastructure in advance of increased demand for our testing services; our failure to accurately forecast demand would have a negative impact on our business and our ability to achieve and sustain profitability.” and “</w:t>
      </w:r>
      <w:r>
        <w:rPr>
          <w:color w:val="000000"/>
        </w:rPr>
        <w:t>—</w:t>
      </w:r>
      <w:r>
        <w:rPr>
          <w:rFonts w:ascii="Arial" w:hAnsi="Arial"/>
          <w:color w:val="000000"/>
          <w:sz w:val="18"/>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pStyle w:val="TextBody"/>
        <w:bidi w:val="0"/>
        <w:spacing w:before="200" w:after="283"/>
        <w:jc w:val="both"/>
        <w:rPr>
          <w:rFonts w:ascii="Arial" w:hAnsi="Arial"/>
          <w:color w:val="000000"/>
          <w:sz w:val="18"/>
        </w:rPr>
      </w:pPr>
      <w:r>
        <w:rPr>
          <w:rFonts w:ascii="Arial" w:hAnsi="Arial"/>
          <w:color w:val="000000"/>
          <w:sz w:val="18"/>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bidi w:val="0"/>
        <w:spacing w:before="200" w:after="283"/>
        <w:jc w:val="both"/>
        <w:rPr>
          <w:rFonts w:ascii="Arial" w:hAnsi="Arial"/>
          <w:b/>
          <w:i/>
          <w:color w:val="000000"/>
          <w:sz w:val="18"/>
        </w:rPr>
      </w:pPr>
      <w:r>
        <w:rPr>
          <w:rFonts w:ascii="Arial" w:hAnsi="Arial"/>
          <w:b/>
          <w:i/>
          <w:color w:val="000000"/>
          <w:sz w:val="18"/>
        </w:rPr>
        <w:t>We rely on a limited number of suppliers, or in some cases, a sole supplier, for some of our laboratory instruments and materials, and we may not be able to find replacements or immediately transition to alternative suppliers should we need to do so.</w:t>
      </w:r>
    </w:p>
    <w:p>
      <w:pPr>
        <w:pStyle w:val="TextBody"/>
        <w:bidi w:val="0"/>
        <w:spacing w:before="200" w:after="283"/>
        <w:jc w:val="both"/>
        <w:rPr>
          <w:rFonts w:ascii="Arial" w:hAnsi="Arial"/>
          <w:color w:val="000000"/>
          <w:sz w:val="18"/>
        </w:rPr>
      </w:pPr>
      <w:r>
        <w:rPr>
          <w:rFonts w:ascii="Arial" w:hAnsi="Arial"/>
          <w:color w:val="000000"/>
          <w:sz w:val="18"/>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pStyle w:val="TextBody"/>
        <w:bidi w:val="0"/>
        <w:spacing w:before="200" w:after="283"/>
        <w:jc w:val="both"/>
        <w:rPr>
          <w:rFonts w:ascii="Arial" w:hAnsi="Arial"/>
          <w:color w:val="000000"/>
          <w:sz w:val="18"/>
        </w:rPr>
      </w:pPr>
      <w:r>
        <w:rPr>
          <w:rFonts w:ascii="Arial" w:hAnsi="Arial"/>
          <w:color w:val="000000"/>
          <w:sz w:val="18"/>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testing services, our business, financial condition, results of operations, and reputation could be adversely affected,</w:t>
      </w:r>
    </w:p>
    <w:p>
      <w:pPr>
        <w:pStyle w:val="TextBody"/>
        <w:bidi w:val="0"/>
        <w:spacing w:before="200" w:after="283"/>
        <w:jc w:val="both"/>
        <w:rPr>
          <w:rFonts w:ascii="Arial" w:hAnsi="Arial"/>
          <w:color w:val="000000"/>
          <w:sz w:val="18"/>
        </w:rPr>
      </w:pPr>
      <w:r>
        <w:rPr>
          <w:rFonts w:ascii="Arial" w:hAnsi="Arial"/>
          <w:color w:val="000000"/>
          <w:sz w:val="18"/>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pStyle w:val="TextBody"/>
        <w:bidi w:val="0"/>
        <w:spacing w:before="200" w:after="283"/>
        <w:jc w:val="both"/>
        <w:rPr>
          <w:rFonts w:ascii="Arial" w:hAnsi="Arial"/>
          <w:b/>
          <w:i/>
          <w:color w:val="000000"/>
          <w:sz w:val="18"/>
        </w:rPr>
      </w:pPr>
      <w:r>
        <w:rPr>
          <w:rFonts w:ascii="Arial" w:hAnsi="Arial"/>
          <w:b/>
          <w:i/>
          <w:color w:val="000000"/>
          <w:sz w:val="18"/>
        </w:rPr>
        <w:t>International trade policies, including tariffs, sanctions and trade barriers may adversely affect our business, financial condition, results of operations and prospects.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We operate in a global economy, which includes partners and suppliers in certain countries outside the United States. There is inherent risk, based on the complex relationships among the U.S. and the countries in which our partners and suppliers reside, that political, diplomatic, and national security factors can lead to global trade restrictions and changes in trade policies and export regulations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that may adversely affect our business and operations. The current international trade and regulatory environment is subject to significant ongoing uncertainty. The U.S. government has announced substantial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We do not own or operate, and currently have no plans to establish any manufacturing facilities. We currently rely, and expect to continue to rely, on third parties for the manufacture of the specialized laboratory equipment, raw materials and other supplies we use in our business. Currently, certain of our direct suppliers are located outside of the United States. In addition, our suppliers in the United States source or may source components of the products we purchase from them from sources outside the United States. Current or new tariffs may adversely impact our supply chain.</w:t>
      </w:r>
    </w:p>
    <w:p>
      <w:pPr>
        <w:pStyle w:val="TextBody"/>
        <w:bidi w:val="0"/>
        <w:spacing w:before="200" w:after="283"/>
        <w:jc w:val="both"/>
        <w:rPr>
          <w:rFonts w:ascii="Arial" w:hAnsi="Arial"/>
          <w:color w:val="000000"/>
          <w:sz w:val="18"/>
        </w:rPr>
      </w:pPr>
      <w:r>
        <w:rPr>
          <w:rFonts w:ascii="Arial" w:hAnsi="Arial"/>
          <w:color w:val="000000"/>
          <w:sz w:val="18"/>
        </w:rPr>
        <w:t>Unlike many industries, our ability to pass increased costs to customers is limited by the structure of reimbursement systems and, if the FDA determines our tests are subject to enforcement as medical devices, medical device pricing. The pricing of many of our testing services are, or will be, established through annual or multi-year contracts with commercial, third-party payors, customers, and group purchasing organizations, and reimbursement methodologies established by government programs, such as Medicare. These arrangements typically include fixed pricing terms that may be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years away.</w:t>
      </w:r>
    </w:p>
    <w:p>
      <w:pPr>
        <w:pStyle w:val="TextBody"/>
        <w:bidi w:val="0"/>
        <w:spacing w:before="200" w:after="283"/>
        <w:jc w:val="both"/>
        <w:rPr>
          <w:rFonts w:ascii="Arial" w:hAnsi="Arial"/>
          <w:color w:val="000000"/>
          <w:sz w:val="18"/>
        </w:rPr>
      </w:pPr>
      <w:r>
        <w:rPr>
          <w:rFonts w:ascii="Arial" w:hAnsi="Arial"/>
          <w:color w:val="000000"/>
          <w:sz w:val="18"/>
        </w:rPr>
        <w:t>Current or future tariffs may also result in increased research and development expenses, including with respect to increased costs associated with raw materials, laboratory equipment and research materials and components. Trade restrictions affecting the import of materials necessary for our tests could result in increased costs to process tests and delays to delivery of our testing services. Increased costs and extended delivery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pStyle w:val="TextBody"/>
        <w:bidi w:val="0"/>
        <w:spacing w:before="200" w:after="283"/>
        <w:jc w:val="both"/>
        <w:rPr>
          <w:rFonts w:ascii="Arial" w:hAnsi="Arial"/>
          <w:color w:val="000000"/>
          <w:sz w:val="18"/>
        </w:rPr>
      </w:pPr>
      <w:r>
        <w:rPr>
          <w:rFonts w:ascii="Arial" w:hAnsi="Arial"/>
          <w:color w:val="000000"/>
          <w:sz w:val="18"/>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200" w:after="283"/>
        <w:jc w:val="both"/>
        <w:rPr>
          <w:rFonts w:ascii="Arial" w:hAnsi="Arial"/>
          <w:color w:val="000000"/>
          <w:sz w:val="18"/>
        </w:rPr>
      </w:pPr>
      <w:r>
        <w:rPr>
          <w:rFonts w:ascii="Arial" w:hAnsi="Arial"/>
          <w:color w:val="000000"/>
          <w:sz w:val="18"/>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pStyle w:val="TextBody"/>
        <w:bidi w:val="0"/>
        <w:spacing w:before="200" w:after="283"/>
        <w:jc w:val="both"/>
        <w:rPr>
          <w:rFonts w:ascii="Arial" w:hAnsi="Arial"/>
          <w:b/>
          <w:i/>
          <w:color w:val="000000"/>
          <w:sz w:val="18"/>
        </w:rPr>
      </w:pPr>
      <w:r>
        <w:rPr>
          <w:rFonts w:ascii="Arial" w:hAnsi="Arial"/>
          <w:b/>
          <w:i/>
          <w:color w:val="000000"/>
          <w:sz w:val="18"/>
        </w:rPr>
        <w:t>We have a single facility and if it becomes damaged or inoperable, or we are required to vacate our facility, our ability to sell and provide our testing services and pursue research and development efforts may be jeopardized.</w:t>
      </w:r>
    </w:p>
    <w:p>
      <w:pPr>
        <w:pStyle w:val="TextBody"/>
        <w:bidi w:val="0"/>
        <w:spacing w:before="200" w:after="283"/>
        <w:jc w:val="both"/>
        <w:rPr>
          <w:rFonts w:ascii="Arial" w:hAnsi="Arial"/>
          <w:color w:val="000000"/>
          <w:sz w:val="18"/>
        </w:rPr>
      </w:pPr>
      <w:r>
        <w:rPr>
          <w:rFonts w:ascii="Arial" w:hAnsi="Arial"/>
          <w:color w:val="000000"/>
          <w:sz w:val="18"/>
        </w:rPr>
        <w:t>We currently derive our revenue from our genomic analysis conducted in our laboratories. Currently, our only clinical reference or research and development laboratory facility is in Fremont, California. Our laboratory facility and equipment could be harmed or rendered inoperable by natural or man-made disasters, including fires, earthquakes, flooding, and power outages, which may render it difficult or impossible for us to sell or perform our testing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laboratory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use of our laboratory facility due to a failure of an electrical bus duct serving that facility. Furthermore, our laboratory facility and the equipment we use to perform our testing services and our research and development work could be costly and time-consuming to repair or replace.</w:t>
      </w:r>
    </w:p>
    <w:p>
      <w:pPr>
        <w:pStyle w:val="TextBody"/>
        <w:bidi w:val="0"/>
        <w:spacing w:before="200" w:after="283"/>
        <w:jc w:val="both"/>
        <w:rPr>
          <w:rFonts w:ascii="Times New Roman" w:hAnsi="Times New Roman"/>
          <w:sz w:val="20"/>
        </w:rPr>
      </w:pPr>
      <w:r>
        <w:rPr>
          <w:rFonts w:ascii="Arial" w:hAnsi="Arial"/>
          <w:color w:val="000000"/>
          <w:sz w:val="18"/>
        </w:rPr>
        <w:t>Additionally, a key component of our research and development process involves using biological samples as the basis for the development of our testing services, and our testing services typically involve using biological samples provided by or on behalf of our customers or collaborators. In some cases, these samples are difficult to obtain. If the parts of our laboratory facility where we store these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biological samples were damaged or compromised, or if these biological samples or the resulting data were otherwise lost, damaged or compromised due to equipment malfunction, human error or other causes, our ability to pursue our research and development projects or provide our testing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pStyle w:val="TextBody"/>
        <w:bidi w:val="0"/>
        <w:spacing w:before="200" w:after="283"/>
        <w:jc w:val="both"/>
        <w:rPr>
          <w:rFonts w:ascii="Arial" w:hAnsi="Arial"/>
          <w:color w:val="000000"/>
          <w:sz w:val="18"/>
        </w:rPr>
      </w:pPr>
      <w:r>
        <w:rPr>
          <w:rFonts w:ascii="Arial" w:hAnsi="Arial"/>
          <w:color w:val="000000"/>
          <w:sz w:val="18"/>
        </w:rPr>
        <w:t>Further, if our laboratory facility becomes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testing services, they may not be available to us on commercially reasonable terms.</w:t>
      </w:r>
    </w:p>
    <w:p>
      <w:pPr>
        <w:pStyle w:val="TextBody"/>
        <w:bidi w:val="0"/>
        <w:spacing w:before="200" w:after="283"/>
        <w:jc w:val="both"/>
        <w:rPr>
          <w:rFonts w:ascii="Arial" w:hAnsi="Arial"/>
          <w:b/>
          <w:i/>
          <w:color w:val="000000"/>
          <w:sz w:val="18"/>
        </w:rPr>
      </w:pPr>
      <w:r>
        <w:rPr>
          <w:rFonts w:ascii="Arial" w:hAnsi="Arial"/>
          <w:b/>
          <w:i/>
          <w:color w:val="000000"/>
          <w:sz w:val="18"/>
        </w:rPr>
        <w:t>Our success depends on our ability to provide reliable and timely, high-quality genomic data and analyses and to rapidly evolve to meet our customers’ needs.</w:t>
      </w:r>
    </w:p>
    <w:p>
      <w:pPr>
        <w:pStyle w:val="TextBody"/>
        <w:bidi w:val="0"/>
        <w:spacing w:before="200" w:after="283"/>
        <w:jc w:val="both"/>
        <w:rPr>
          <w:rFonts w:ascii="Arial" w:hAnsi="Arial"/>
          <w:color w:val="000000"/>
          <w:sz w:val="18"/>
        </w:rPr>
      </w:pPr>
      <w:r>
        <w:rPr>
          <w:rFonts w:ascii="Arial" w:hAnsi="Arial"/>
          <w:color w:val="000000"/>
          <w:sz w:val="18"/>
        </w:rPr>
        <w:t>Errors, including if our tests fail to accurately detect gene variants, or mistakes, or any other quality issues,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including our customers returning our tests. In addition, our customers require timely turnaround of high-quality genomic data and analyses, and if we were not able to meet our customers’ specific requirements, it could also have a significant adverse effect on our business. Many of our agreements with our customers grant our customers the right to audit our quality assurance processes. If we fail to meet the standards required by these audits, or if we are unable to remediate any deficient findings from these audits, in a timely manner our customers may terminate their agreements with us and it could have an adverse effect on our business, reputation, and results of operations.</w:t>
      </w:r>
    </w:p>
    <w:p>
      <w:pPr>
        <w:pStyle w:val="TextBody"/>
        <w:bidi w:val="0"/>
        <w:spacing w:before="200" w:after="283"/>
        <w:jc w:val="both"/>
        <w:rPr>
          <w:rFonts w:ascii="Arial" w:hAnsi="Arial"/>
          <w:color w:val="000000"/>
          <w:sz w:val="18"/>
        </w:rPr>
      </w:pPr>
      <w:r>
        <w:rPr>
          <w:rFonts w:ascii="Arial" w:hAnsi="Arial"/>
          <w:color w:val="000000"/>
          <w:sz w:val="18"/>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testing services or result in claims against us. A product liability or professional liability claim could result in substantial damages and be costly and time-consuming for us to defend.</w:t>
      </w:r>
    </w:p>
    <w:p>
      <w:pPr>
        <w:pStyle w:val="TextBody"/>
        <w:bidi w:val="0"/>
        <w:spacing w:before="200" w:after="283"/>
        <w:jc w:val="both"/>
        <w:rPr>
          <w:rFonts w:ascii="Arial" w:hAnsi="Arial"/>
          <w:color w:val="000000"/>
          <w:sz w:val="18"/>
        </w:rPr>
      </w:pPr>
      <w:r>
        <w:rPr>
          <w:rFonts w:ascii="Arial" w:hAnsi="Arial"/>
          <w:color w:val="000000"/>
          <w:sz w:val="18"/>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cannot develop services to keep pace with rapid advances in technology, medicine, and science, or if we experience delays in developing such services, our operating results and competitive position could be harmed.</w:t>
      </w:r>
    </w:p>
    <w:p>
      <w:pPr>
        <w:pStyle w:val="TextBody"/>
        <w:bidi w:val="0"/>
        <w:spacing w:before="200" w:after="283"/>
        <w:jc w:val="both"/>
        <w:rPr>
          <w:rFonts w:ascii="Arial" w:hAnsi="Arial"/>
          <w:color w:val="000000"/>
          <w:sz w:val="18"/>
        </w:rPr>
      </w:pPr>
      <w:r>
        <w:rPr>
          <w:rFonts w:ascii="Arial" w:hAnsi="Arial"/>
          <w:color w:val="000000"/>
          <w:sz w:val="18"/>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enhance any existing services, and avoid delays in such developments and enhancements to keep pace with evolving technologies on a timely and cost-effective basis. Our current services and our planned future services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based on, for example, biomarker analysis related to the appearance or development of resistance to those therapies. If we cannot adequately demonstrate the clinical utility of our testing services and our planned future services to new treatments, sales of our testing services could decline, which would have a material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pStyle w:val="TextBody"/>
        <w:bidi w:val="0"/>
        <w:spacing w:before="200" w:after="283"/>
        <w:jc w:val="both"/>
        <w:rPr>
          <w:rFonts w:ascii="Times New Roman" w:hAnsi="Times New Roman"/>
          <w:sz w:val="20"/>
        </w:rPr>
      </w:pPr>
      <w:r>
        <w:rPr>
          <w:rFonts w:ascii="Arial" w:hAnsi="Arial"/>
          <w:color w:val="000000"/>
          <w:sz w:val="18"/>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pStyle w:val="TextBody"/>
        <w:bidi w:val="0"/>
        <w:spacing w:before="200" w:after="283"/>
        <w:jc w:val="both"/>
        <w:rPr>
          <w:rFonts w:ascii="Arial" w:hAnsi="Arial"/>
          <w:color w:val="000000"/>
          <w:sz w:val="18"/>
        </w:rPr>
      </w:pPr>
      <w:r>
        <w:rPr>
          <w:rFonts w:ascii="Arial" w:hAnsi="Arial"/>
          <w:color w:val="000000"/>
          <w:sz w:val="18"/>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pStyle w:val="TextBody"/>
        <w:bidi w:val="0"/>
        <w:spacing w:before="200" w:after="283"/>
        <w:jc w:val="both"/>
        <w:rPr>
          <w:rFonts w:ascii="Arial" w:hAnsi="Arial"/>
          <w:color w:val="000000"/>
          <w:sz w:val="18"/>
        </w:rPr>
      </w:pPr>
      <w:r>
        <w:rPr>
          <w:rFonts w:ascii="Arial" w:hAnsi="Arial"/>
          <w:color w:val="000000"/>
          <w:sz w:val="18"/>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testing services may emerge at any time prior to or after regulatory approval.</w:t>
      </w:r>
    </w:p>
    <w:p>
      <w:pPr>
        <w:pStyle w:val="TextBody"/>
        <w:bidi w:val="0"/>
        <w:spacing w:before="200" w:after="283"/>
        <w:jc w:val="both"/>
        <w:rPr>
          <w:rFonts w:ascii="Arial" w:hAnsi="Arial"/>
          <w:color w:val="000000"/>
          <w:sz w:val="18"/>
        </w:rPr>
      </w:pPr>
      <w:r>
        <w:rPr>
          <w:rFonts w:ascii="Arial" w:hAnsi="Arial"/>
          <w:color w:val="000000"/>
          <w:sz w:val="18"/>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set out in Annex I of the IVDR. Compliance with these requirements is a prerequisite to be able to affix the CE Mark to IVDs, without which they cannot be marketed or sold in the EEA.</w:t>
      </w:r>
    </w:p>
    <w:p>
      <w:pPr>
        <w:pStyle w:val="TextBody"/>
        <w:bidi w:val="0"/>
        <w:spacing w:before="200" w:after="283"/>
        <w:jc w:val="both"/>
        <w:rPr>
          <w:rFonts w:ascii="Arial" w:hAnsi="Arial"/>
          <w:color w:val="000000"/>
          <w:sz w:val="18"/>
        </w:rPr>
      </w:pPr>
      <w:r>
        <w:rPr>
          <w:rFonts w:ascii="Arial" w:hAnsi="Arial"/>
          <w:color w:val="000000"/>
          <w:sz w:val="18"/>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pStyle w:val="TextBody"/>
        <w:bidi w:val="0"/>
        <w:spacing w:before="200" w:after="283"/>
        <w:jc w:val="both"/>
        <w:rPr>
          <w:rFonts w:ascii="Arial" w:hAnsi="Arial"/>
          <w:color w:val="000000"/>
          <w:sz w:val="18"/>
        </w:rPr>
      </w:pPr>
      <w:r>
        <w:rPr>
          <w:rFonts w:ascii="Arial" w:hAnsi="Arial"/>
          <w:color w:val="000000"/>
          <w:sz w:val="18"/>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pStyle w:val="TextBody"/>
        <w:bidi w:val="0"/>
        <w:spacing w:before="200" w:after="283"/>
        <w:jc w:val="both"/>
        <w:rPr>
          <w:rFonts w:ascii="Arial" w:hAnsi="Arial"/>
          <w:color w:val="000000"/>
          <w:sz w:val="18"/>
        </w:rPr>
      </w:pPr>
      <w:r>
        <w:rPr>
          <w:rFonts w:ascii="Arial" w:hAnsi="Arial"/>
          <w:color w:val="000000"/>
          <w:sz w:val="18"/>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pStyle w:val="TextBody"/>
        <w:bidi w:val="0"/>
        <w:spacing w:before="200" w:after="283"/>
        <w:jc w:val="both"/>
        <w:rPr>
          <w:rFonts w:ascii="Arial" w:hAnsi="Arial"/>
          <w:b/>
          <w:i/>
          <w:color w:val="000000"/>
          <w:sz w:val="18"/>
        </w:rPr>
      </w:pPr>
      <w:r>
        <w:rPr>
          <w:rFonts w:ascii="Arial" w:hAnsi="Arial"/>
          <w:b/>
          <w:i/>
          <w:color w:val="000000"/>
          <w:sz w:val="18"/>
        </w:rPr>
        <w:t>The loss of key members of our executive management team could adversely affect our business.</w:t>
      </w:r>
    </w:p>
    <w:p>
      <w:pPr>
        <w:pStyle w:val="TextBody"/>
        <w:bidi w:val="0"/>
        <w:spacing w:before="200" w:after="283"/>
        <w:jc w:val="both"/>
        <w:rPr>
          <w:rFonts w:ascii="Times New Roman" w:hAnsi="Times New Roman"/>
          <w:sz w:val="20"/>
        </w:rPr>
      </w:pPr>
      <w:r>
        <w:rPr>
          <w:rFonts w:ascii="Arial" w:hAnsi="Arial"/>
          <w:color w:val="000000"/>
          <w:sz w:val="18"/>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If there are changes to our leadership team, there is a risk to organizational effectiveness and employee retention as well as the potential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pStyle w:val="TextBody"/>
        <w:bidi w:val="0"/>
        <w:spacing w:before="200" w:after="283"/>
        <w:jc w:val="both"/>
        <w:rPr>
          <w:rFonts w:ascii="Arial" w:hAnsi="Arial"/>
          <w:color w:val="000000"/>
          <w:sz w:val="18"/>
        </w:rPr>
      </w:pPr>
      <w:r>
        <w:rPr>
          <w:rFonts w:ascii="Arial" w:hAnsi="Arial"/>
          <w:color w:val="000000"/>
          <w:sz w:val="18"/>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pStyle w:val="TextBody"/>
        <w:bidi w:val="0"/>
        <w:spacing w:before="200" w:after="283"/>
        <w:jc w:val="both"/>
        <w:rPr>
          <w:rFonts w:ascii="Arial" w:hAnsi="Arial"/>
          <w:color w:val="000000"/>
          <w:sz w:val="18"/>
        </w:rPr>
      </w:pPr>
      <w:r>
        <w:rPr>
          <w:rFonts w:ascii="Arial" w:hAnsi="Arial"/>
          <w:color w:val="000000"/>
          <w:sz w:val="18"/>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pStyle w:val="TextBody"/>
        <w:bidi w:val="0"/>
        <w:spacing w:before="200" w:after="283"/>
        <w:jc w:val="both"/>
        <w:rPr>
          <w:rFonts w:ascii="Arial" w:hAnsi="Arial"/>
          <w:b/>
          <w:i/>
          <w:color w:val="000000"/>
          <w:sz w:val="18"/>
        </w:rPr>
      </w:pPr>
      <w:r>
        <w:rPr>
          <w:rFonts w:ascii="Arial" w:hAnsi="Arial"/>
          <w:b/>
          <w:i/>
          <w:color w:val="000000"/>
          <w:sz w:val="18"/>
        </w:rPr>
        <w:t>We rely on highly skilled personnel in a broad array of disciplines and if we are unable to hire, retain, or motivate these individuals, or maintain our corporate culture, we may not be able to maintain the quality of our testing services or grow effectively.</w:t>
      </w:r>
    </w:p>
    <w:p>
      <w:pPr>
        <w:pStyle w:val="TextBody"/>
        <w:bidi w:val="0"/>
        <w:spacing w:before="200" w:after="283"/>
        <w:jc w:val="both"/>
        <w:rPr>
          <w:rFonts w:ascii="Arial" w:hAnsi="Arial"/>
          <w:color w:val="000000"/>
          <w:sz w:val="18"/>
        </w:rPr>
      </w:pPr>
      <w:r>
        <w:rPr>
          <w:rFonts w:ascii="Arial" w:hAnsi="Arial"/>
          <w:color w:val="000000"/>
          <w:sz w:val="18"/>
        </w:rPr>
        <w:t>Our performance, including our research and development programs and laboratory operations and the quality of our testing services,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bidi w:val="0"/>
        <w:spacing w:before="200" w:after="283"/>
        <w:jc w:val="both"/>
        <w:rPr>
          <w:rFonts w:ascii="Arial" w:hAnsi="Arial"/>
          <w:b/>
          <w:i/>
          <w:color w:val="000000"/>
          <w:sz w:val="18"/>
        </w:rPr>
      </w:pPr>
      <w:r>
        <w:rPr>
          <w:rFonts w:ascii="Arial" w:hAnsi="Arial"/>
          <w:b/>
          <w:i/>
          <w:color w:val="000000"/>
          <w:sz w:val="18"/>
        </w:rPr>
        <w:t>We may not be able to manage our future growth effectively, which could make it difficult to execute our business strategy.</w:t>
      </w:r>
    </w:p>
    <w:p>
      <w:pPr>
        <w:pStyle w:val="TextBody"/>
        <w:bidi w:val="0"/>
        <w:spacing w:before="200" w:after="283"/>
        <w:jc w:val="both"/>
        <w:rPr>
          <w:rFonts w:ascii="Arial" w:hAnsi="Arial"/>
          <w:color w:val="000000"/>
          <w:sz w:val="18"/>
        </w:rPr>
      </w:pPr>
      <w:r>
        <w:rPr>
          <w:rFonts w:ascii="Arial" w:hAnsi="Arial"/>
          <w:color w:val="000000"/>
          <w:sz w:val="18"/>
        </w:rPr>
        <w:t>Our expected future growth could create a strain on our organizational, administrative, and operational infrastructure, including facilities, information technology systems,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pStyle w:val="TextBody"/>
        <w:bidi w:val="0"/>
        <w:spacing w:before="200" w:after="283"/>
        <w:jc w:val="both"/>
        <w:rPr>
          <w:rFonts w:ascii="Arial" w:hAnsi="Arial"/>
          <w:b/>
          <w:i/>
          <w:color w:val="000000"/>
          <w:sz w:val="18"/>
        </w:rPr>
      </w:pPr>
      <w:r>
        <w:rPr>
          <w:rFonts w:ascii="Arial" w:hAnsi="Arial"/>
          <w:b/>
          <w:i/>
          <w:color w:val="000000"/>
          <w:sz w:val="18"/>
        </w:rPr>
        <w:t>We may need to continue to invest in our infrastructure in advance of increased demand for our testing services; our failure to accurately forecast demand would have a negative impact on our business and our ability to achieve and sustain profitability.</w:t>
      </w:r>
    </w:p>
    <w:p>
      <w:pPr>
        <w:pStyle w:val="TextBody"/>
        <w:bidi w:val="0"/>
        <w:spacing w:before="200" w:after="283"/>
        <w:jc w:val="both"/>
        <w:rPr>
          <w:rFonts w:ascii="Arial" w:hAnsi="Arial"/>
          <w:color w:val="000000"/>
          <w:sz w:val="18"/>
        </w:rPr>
      </w:pPr>
      <w:r>
        <w:rPr>
          <w:rFonts w:ascii="Arial" w:hAnsi="Arial"/>
          <w:color w:val="000000"/>
          <w:sz w:val="18"/>
        </w:rPr>
        <w:t>Our Fremont facility expanded our laboratory capacity and, in order to execute our business model, we will need to make additional investments to further scale our infrastructure, including purchases of additional equipment and applications,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 In addition, we have experienced, and expect to continue to experience, significant fluctuations in the timing of receipt and volume of samples from our customers and collaborators, including as a result of factors outside our control, such as health epidemics or pandemics and government shutdowns. These fluctuations have in the past adversely impacted, and may in the future adversely impact, our ability to process samples timely and in an efficient fashion, particularly when the sample volume at any given time exceeds our then current capacity.</w:t>
      </w:r>
    </w:p>
    <w:p>
      <w:pPr>
        <w:pStyle w:val="TextBody"/>
        <w:bidi w:val="0"/>
        <w:spacing w:before="200" w:after="283"/>
        <w:jc w:val="both"/>
        <w:rPr>
          <w:rFonts w:ascii="Times New Roman" w:hAnsi="Times New Roman"/>
          <w:sz w:val="20"/>
        </w:rPr>
      </w:pPr>
      <w:r>
        <w:rPr>
          <w:rFonts w:ascii="Arial" w:hAnsi="Arial"/>
          <w:color w:val="000000"/>
          <w:sz w:val="18"/>
        </w:rPr>
        <w:t>We expanded our laboratory facility in advance of increased demand for our testing services. Our current and projected future expense levels are to a large extent fixed and are largely based on our current investment plans and our estimates of future test volume.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pStyle w:val="TextBody"/>
        <w:bidi w:val="0"/>
        <w:spacing w:before="200" w:after="283"/>
        <w:jc w:val="both"/>
        <w:rPr>
          <w:rFonts w:ascii="Arial" w:hAnsi="Arial"/>
          <w:color w:val="000000"/>
          <w:sz w:val="18"/>
        </w:rPr>
      </w:pPr>
      <w:r>
        <w:rPr>
          <w:rFonts w:ascii="Arial" w:hAnsi="Arial"/>
          <w:color w:val="000000"/>
          <w:sz w:val="18"/>
        </w:rPr>
        <w:t>As we commercialize additional services, we may need to incorporate new equipment, implement new technology systems and laboratory processes, or hire new personnel with different qualifications. Failure to manage this growth or transition could result in turnaround time delays, higher costs, declining service and/or quality, deteriorating customer service, and slower responses to competitive challenges. A failure in any one of these areas could make it difficult for us to meet market expectations for our testing services and could damage our reputation and the prospects for our business.</w:t>
      </w:r>
    </w:p>
    <w:p>
      <w:pPr>
        <w:pStyle w:val="TextBody"/>
        <w:bidi w:val="0"/>
        <w:spacing w:before="200" w:after="283"/>
        <w:jc w:val="both"/>
        <w:rPr>
          <w:rFonts w:ascii="Arial" w:hAnsi="Arial"/>
          <w:b/>
          <w:i/>
          <w:color w:val="000000"/>
          <w:sz w:val="18"/>
        </w:rPr>
      </w:pPr>
      <w:r>
        <w:rPr>
          <w:rFonts w:ascii="Arial" w:hAnsi="Arial"/>
          <w:b/>
          <w:i/>
          <w:color w:val="000000"/>
          <w:sz w:val="18"/>
        </w:rPr>
        <w:t>We may acquire businesses or assets, form joint ventures, or make investments in other companies or technologies that could harm our operating results, dilute our stockholders’ ownership, or cause us to incur debt or significant expense.</w:t>
      </w:r>
    </w:p>
    <w:p>
      <w:pPr>
        <w:pStyle w:val="TextBody"/>
        <w:bidi w:val="0"/>
        <w:spacing w:before="200" w:after="283"/>
        <w:jc w:val="both"/>
        <w:rPr>
          <w:rFonts w:ascii="Arial" w:hAnsi="Arial"/>
          <w:color w:val="000000"/>
          <w:sz w:val="18"/>
        </w:rPr>
      </w:pPr>
      <w:r>
        <w:rPr>
          <w:rFonts w:ascii="Arial" w:hAnsi="Arial"/>
          <w:color w:val="000000"/>
          <w:sz w:val="18"/>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pStyle w:val="TextBody"/>
        <w:bidi w:val="0"/>
        <w:spacing w:before="200" w:after="283"/>
        <w:jc w:val="both"/>
        <w:rPr>
          <w:rFonts w:ascii="Arial" w:hAnsi="Arial"/>
          <w:color w:val="000000"/>
          <w:sz w:val="18"/>
        </w:rPr>
      </w:pPr>
      <w:r>
        <w:rPr>
          <w:rFonts w:ascii="Arial" w:hAnsi="Arial"/>
          <w:color w:val="000000"/>
          <w:sz w:val="18"/>
        </w:rPr>
        <w:t>To finance any acquisitions or investments, we may choose to raise additional funds. The various ways we could raise additional funds carry potential risks. See “—Our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pStyle w:val="TextBody"/>
        <w:bidi w:val="0"/>
        <w:spacing w:before="200" w:after="283"/>
        <w:jc w:val="both"/>
        <w:rPr>
          <w:rFonts w:ascii="Arial" w:hAnsi="Arial"/>
          <w:b/>
          <w:i/>
          <w:color w:val="000000"/>
          <w:sz w:val="18"/>
        </w:rPr>
      </w:pPr>
      <w:r>
        <w:rPr>
          <w:rFonts w:ascii="Arial" w:hAnsi="Arial"/>
          <w:b/>
          <w:i/>
          <w:color w:val="000000"/>
          <w:sz w:val="18"/>
        </w:rPr>
        <w:t>Ethical, legal, and social concerns related to the use of genetic information could reduce demand for our tests.</w:t>
      </w:r>
    </w:p>
    <w:p>
      <w:pPr>
        <w:pStyle w:val="TextBody"/>
        <w:bidi w:val="0"/>
        <w:spacing w:before="200" w:after="283"/>
        <w:jc w:val="both"/>
        <w:rPr>
          <w:rFonts w:ascii="Arial" w:hAnsi="Arial"/>
          <w:color w:val="000000"/>
          <w:sz w:val="18"/>
        </w:rPr>
      </w:pPr>
      <w:r>
        <w:rPr>
          <w:rFonts w:ascii="Arial" w:hAnsi="Arial"/>
          <w:color w:val="000000"/>
          <w:sz w:val="18"/>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pStyle w:val="TextBody"/>
        <w:bidi w:val="0"/>
        <w:spacing w:before="200" w:after="283"/>
        <w:jc w:val="both"/>
        <w:rPr>
          <w:rFonts w:ascii="Arial" w:hAnsi="Arial"/>
          <w:b/>
          <w:i/>
          <w:color w:val="000000"/>
          <w:sz w:val="18"/>
        </w:rPr>
      </w:pPr>
      <w:r>
        <w:rPr>
          <w:rFonts w:ascii="Arial" w:hAnsi="Arial"/>
          <w:b/>
          <w:i/>
          <w:color w:val="000000"/>
          <w:sz w:val="18"/>
        </w:rPr>
        <w:t>Our operations and employees face risks related to health crises that could adversely affect our operations, our financial condition, and the business or operations of our customers or other third parties with whom we conduct business.</w:t>
      </w:r>
    </w:p>
    <w:p>
      <w:pPr>
        <w:pStyle w:val="TextBody"/>
        <w:bidi w:val="0"/>
        <w:spacing w:before="200" w:after="283"/>
        <w:jc w:val="both"/>
        <w:rPr>
          <w:rFonts w:ascii="Arial" w:hAnsi="Arial"/>
          <w:color w:val="000000"/>
          <w:sz w:val="18"/>
        </w:rPr>
      </w:pPr>
      <w:r>
        <w:rPr>
          <w:rFonts w:ascii="Arial" w:hAnsi="Arial"/>
          <w:color w:val="000000"/>
          <w:sz w:val="18"/>
        </w:rPr>
        <w:t>Our business could be adversely impacted by the effects of a health crisis that could cause significant disruption in the operations of our customers and third-party suppliers upon whom we rely. Our laboratory facility,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pStyle w:val="TextBody"/>
        <w:bidi w:val="0"/>
        <w:spacing w:before="200" w:after="283"/>
        <w:jc w:val="both"/>
        <w:rPr>
          <w:rFonts w:ascii="Times New Roman" w:hAnsi="Times New Roman"/>
          <w:sz w:val="20"/>
        </w:rPr>
      </w:pPr>
      <w:r>
        <w:rPr>
          <w:rFonts w:ascii="Arial" w:hAnsi="Arial"/>
          <w:color w:val="000000"/>
          <w:sz w:val="18"/>
        </w:rPr>
        <w:t>For example, our operations were previously impacted by the COVID-19 pandemic. The previous shelter-in-place order and health orders during the COVID-19 pandemic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a health epidemic or pandemic or if other supply chain issues arise as a result of such a public health crisis. Several of our customers were delayed in sending us samples due to their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pStyle w:val="TextBody"/>
        <w:bidi w:val="0"/>
        <w:spacing w:before="200" w:after="283"/>
        <w:jc w:val="both"/>
        <w:rPr>
          <w:rFonts w:ascii="Arial" w:hAnsi="Arial"/>
          <w:color w:val="000000"/>
          <w:sz w:val="18"/>
        </w:rPr>
      </w:pPr>
      <w:r>
        <w:rPr>
          <w:rFonts w:ascii="Arial" w:hAnsi="Arial"/>
          <w:color w:val="000000"/>
          <w:sz w:val="18"/>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pStyle w:val="TextBody"/>
        <w:bidi w:val="0"/>
        <w:spacing w:before="200" w:after="283"/>
        <w:jc w:val="both"/>
        <w:rPr>
          <w:rFonts w:ascii="Arial" w:hAnsi="Arial"/>
          <w:b/>
          <w:i/>
          <w:color w:val="000000"/>
          <w:sz w:val="18"/>
        </w:rPr>
      </w:pPr>
      <w:r>
        <w:rPr>
          <w:rFonts w:ascii="Arial" w:hAnsi="Arial"/>
          <w:b/>
          <w:i/>
          <w:color w:val="000000"/>
          <w:sz w:val="18"/>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pStyle w:val="TextBody"/>
        <w:bidi w:val="0"/>
        <w:spacing w:before="200" w:after="283"/>
        <w:jc w:val="both"/>
        <w:rPr>
          <w:rFonts w:ascii="Arial" w:hAnsi="Arial"/>
          <w:color w:val="000000"/>
          <w:sz w:val="18"/>
        </w:rPr>
      </w:pPr>
      <w:r>
        <w:rPr>
          <w:rFonts w:ascii="Arial" w:hAnsi="Arial"/>
          <w:color w:val="000000"/>
          <w:sz w:val="18"/>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pStyle w:val="TextBody"/>
        <w:bidi w:val="0"/>
        <w:spacing w:before="200" w:after="283"/>
        <w:jc w:val="both"/>
        <w:rPr>
          <w:rFonts w:ascii="Arial" w:hAnsi="Arial"/>
          <w:b/>
          <w:color w:val="000000"/>
          <w:sz w:val="18"/>
        </w:rPr>
      </w:pPr>
      <w:r>
        <w:rPr>
          <w:rFonts w:ascii="Arial" w:hAnsi="Arial"/>
          <w:b/>
          <w:color w:val="000000"/>
          <w:sz w:val="18"/>
        </w:rPr>
        <w:t>Regulatory, Legal and Cybersecurity Risks</w:t>
      </w:r>
    </w:p>
    <w:p>
      <w:pPr>
        <w:pStyle w:val="TextBody"/>
        <w:bidi w:val="0"/>
        <w:spacing w:before="200" w:after="283"/>
        <w:jc w:val="both"/>
        <w:rPr>
          <w:rFonts w:ascii="Arial" w:hAnsi="Arial"/>
          <w:b/>
          <w:i/>
          <w:color w:val="000000"/>
          <w:sz w:val="18"/>
        </w:rPr>
      </w:pPr>
      <w:r>
        <w:rPr>
          <w:rFonts w:ascii="Arial" w:hAnsi="Arial"/>
          <w:b/>
          <w:i/>
          <w:color w:val="000000"/>
          <w:sz w:val="18"/>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pStyle w:val="TextBody"/>
        <w:bidi w:val="0"/>
        <w:spacing w:before="200" w:after="283"/>
        <w:jc w:val="both"/>
        <w:rPr>
          <w:rFonts w:ascii="Arial" w:hAnsi="Arial"/>
          <w:color w:val="000000"/>
          <w:sz w:val="18"/>
        </w:rPr>
      </w:pPr>
      <w:r>
        <w:rPr>
          <w:rFonts w:ascii="Arial" w:hAnsi="Arial"/>
          <w:color w:val="000000"/>
          <w:sz w:val="18"/>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and which does not achieve its primary intended purposes via chemical or metabolic means.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authorization, marketing and promotion, and sales and distribution of medical devices in the U.S. to provide reasonable assurance that medical devices distributed domestically are safe and effective for their intended uses. In addition, the FDA regulates the import and export of medical devices.</w:t>
      </w:r>
    </w:p>
    <w:p>
      <w:pPr>
        <w:pStyle w:val="TextBody"/>
        <w:bidi w:val="0"/>
        <w:spacing w:before="200" w:after="283"/>
        <w:jc w:val="both"/>
        <w:rPr>
          <w:rFonts w:ascii="Arial" w:hAnsi="Arial"/>
          <w:color w:val="000000"/>
          <w:sz w:val="18"/>
        </w:rPr>
      </w:pPr>
      <w:r>
        <w:rPr>
          <w:rFonts w:ascii="Arial" w:hAnsi="Arial"/>
          <w:color w:val="000000"/>
          <w:sz w:val="18"/>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used in our testing services as LDTs and, therefore, we believe that they are not currently subject to the FDA’s enforcement of its medical device regulations and the applicable FDC Act provisions.</w:t>
      </w:r>
    </w:p>
    <w:p>
      <w:pPr>
        <w:pStyle w:val="TextBody"/>
        <w:bidi w:val="0"/>
        <w:spacing w:before="200" w:after="283"/>
        <w:jc w:val="both"/>
        <w:rPr>
          <w:rFonts w:ascii="Arial" w:hAnsi="Arial"/>
          <w:color w:val="000000"/>
          <w:sz w:val="18"/>
        </w:rPr>
      </w:pPr>
      <w:r>
        <w:rPr>
          <w:rFonts w:ascii="Arial" w:hAnsi="Arial"/>
          <w:color w:val="000000"/>
          <w:sz w:val="18"/>
        </w:rPr>
        <w:t>In addition, we cannot be certain that the FDA will not enact rules or guidance documents that could impact our ability to purchase certain materials necessary for the performance of our testing services, such as products labeled for research use only. Should any of the reagents obtained by us from suppliers and used in providing our testing services, be affected by future regulatory actions, our business could be adversely affected by those actions, including increasing the cost of testing or delaying, limiting, or prohibiting the purchase of reagents necessary to perform testing.</w:t>
      </w:r>
    </w:p>
    <w:p>
      <w:pPr>
        <w:pStyle w:val="TextBody"/>
        <w:bidi w:val="0"/>
        <w:spacing w:before="200" w:after="283"/>
        <w:jc w:val="both"/>
        <w:rPr>
          <w:rFonts w:ascii="Times New Roman" w:hAnsi="Times New Roman"/>
          <w:sz w:val="20"/>
        </w:rPr>
      </w:pPr>
      <w:r>
        <w:rPr>
          <w:rFonts w:ascii="Arial" w:hAnsi="Arial"/>
          <w:color w:val="000000"/>
          <w:sz w:val="18"/>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facility in the U.S.) would not fall within the scope of such exemptions. We believe that we do not currently offer tests or services to customers established in the EEA which would fall within the scope of the IVDR. If, in the future, we offer tests or services to customers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pStyle w:val="TextBody"/>
        <w:bidi w:val="0"/>
        <w:spacing w:before="200" w:after="283"/>
        <w:jc w:val="both"/>
        <w:rPr>
          <w:rFonts w:ascii="Arial" w:hAnsi="Arial"/>
          <w:b/>
          <w:i/>
          <w:color w:val="000000"/>
          <w:sz w:val="18"/>
        </w:rPr>
      </w:pPr>
      <w:r>
        <w:rPr>
          <w:rFonts w:ascii="Arial" w:hAnsi="Arial"/>
          <w:b/>
          <w:i/>
          <w:color w:val="000000"/>
          <w:sz w:val="18"/>
        </w:rPr>
        <w:t>If the FDA determines that our tests are subject to enforcement as medical devices, or if foreign regulatory authorities regulate our tests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pStyle w:val="TextBody"/>
        <w:bidi w:val="0"/>
        <w:spacing w:before="200" w:after="283"/>
        <w:jc w:val="both"/>
        <w:rPr>
          <w:rFonts w:ascii="Arial" w:hAnsi="Arial"/>
          <w:color w:val="000000"/>
          <w:sz w:val="18"/>
        </w:rPr>
      </w:pPr>
      <w:r>
        <w:rPr>
          <w:rFonts w:ascii="Arial" w:hAnsi="Arial"/>
          <w:color w:val="000000"/>
          <w:sz w:val="18"/>
        </w:rPr>
        <w:t>If the FDA determines that our tests and associated software do not fall within the definition of an LDT, or if we voluntarily submit one or more of our tests for premarket authorization from the FDA as medical devices, we may be required to obtain premarket clearance for our tests and associated software under Section 510(k) of the FDC Act, granting of a De Novo authorization request under Section 513(f)(2) of the FDC Act, or approval of a premarket approval application (“PMA”) under Section 515(c) of the FDC Act. We would also be subject to ongoing regulatory requirements such as registration and listing requirements, labeling requirements, medical device reporting requirements, and current good manufacturing practice requirements. If our tests are considered medical devices not subject to enforcement discretion, or if we voluntarily submit one or more of our tests for marketing authorization from the FDA as medical devices, the regulatory requirements to which our tests are subject would depend on the FDA’s classification of our tests. The FDA has issued regulations classifying generic types of medical devices into one of three classes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with special controls.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pStyle w:val="TextBody"/>
        <w:bidi w:val="0"/>
        <w:spacing w:before="200" w:after="283"/>
        <w:jc w:val="both"/>
        <w:rPr>
          <w:rFonts w:ascii="Arial" w:hAnsi="Arial"/>
          <w:color w:val="000000"/>
          <w:sz w:val="18"/>
        </w:rPr>
      </w:pPr>
      <w:r>
        <w:rPr>
          <w:rFonts w:ascii="Arial" w:hAnsi="Arial"/>
          <w:color w:val="000000"/>
          <w:sz w:val="18"/>
        </w:rPr>
        <w:t>Generally, Class I devices do not require premarket authorization, but are subject to a comprehensive set of regulatory requirements referred to as general controls. Class II devices, in addition to general controls, generally require special controls and premarket authorization through either the submission of a section 510(k) premarket notification or the submission of a De Novo authorization request under Section 513(f)(2) of the FDC Act.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of a device of a new type to obtain a Class I or Class II designation, if there is no appropriate predicate and the device is low to moderate risk by submitting a De Novo request for reclassification.</w:t>
      </w:r>
    </w:p>
    <w:p>
      <w:pPr>
        <w:pStyle w:val="TextBody"/>
        <w:bidi w:val="0"/>
        <w:spacing w:before="200" w:after="283"/>
        <w:jc w:val="both"/>
        <w:rPr>
          <w:rFonts w:ascii="Arial" w:hAnsi="Arial"/>
          <w:color w:val="000000"/>
          <w:sz w:val="18"/>
        </w:rPr>
      </w:pPr>
      <w:r>
        <w:rPr>
          <w:rFonts w:ascii="Arial" w:hAnsi="Arial"/>
          <w:color w:val="000000"/>
          <w:sz w:val="18"/>
        </w:rPr>
        <w:t>The process for submitting a 510(k) premarket notification and receiving FDA clearance usually takes from three to 12 months, but it can take significantly longer and clearance is never guaranteed. Similarly, the process for submitting a De Novo authorization request and receiving FDA’s granting of the request usually takes from four to 18 months, but it can take significantly longer and such granting of the request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De Novo authorization or 510(k) clearance process. Despite the time, effort and expense expended, there can be no assurance that a particular device ultimately will receive marketing authorization from the FDA.</w:t>
      </w:r>
    </w:p>
    <w:p>
      <w:pPr>
        <w:pStyle w:val="TextBody"/>
        <w:bidi w:val="0"/>
        <w:spacing w:before="200" w:after="283"/>
        <w:jc w:val="both"/>
        <w:rPr>
          <w:rFonts w:ascii="Arial" w:hAnsi="Arial"/>
          <w:color w:val="000000"/>
          <w:sz w:val="18"/>
        </w:rPr>
      </w:pPr>
      <w:r>
        <w:rPr>
          <w:rFonts w:ascii="Arial" w:hAnsi="Arial"/>
          <w:color w:val="000000"/>
          <w:sz w:val="18"/>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and interrupt sales of our current testing services.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pStyle w:val="TextBody"/>
        <w:bidi w:val="0"/>
        <w:spacing w:before="200" w:after="283"/>
        <w:jc w:val="both"/>
        <w:rPr>
          <w:rFonts w:ascii="Times New Roman" w:hAnsi="Times New Roman"/>
          <w:sz w:val="20"/>
        </w:rPr>
      </w:pPr>
      <w:r>
        <w:rPr>
          <w:rFonts w:ascii="Arial" w:hAnsi="Arial"/>
          <w:color w:val="000000"/>
          <w:sz w:val="18"/>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 European Union ("EU") Member State, or a foreign regulatory authority.</w:t>
      </w:r>
    </w:p>
    <w:p>
      <w:pPr>
        <w:pStyle w:val="TextBody"/>
        <w:bidi w:val="0"/>
        <w:spacing w:before="200" w:after="283"/>
        <w:jc w:val="both"/>
        <w:rPr>
          <w:rFonts w:ascii="Arial" w:hAnsi="Arial"/>
          <w:color w:val="000000"/>
          <w:sz w:val="18"/>
        </w:rPr>
      </w:pPr>
      <w:r>
        <w:rPr>
          <w:rFonts w:ascii="Arial" w:hAnsi="Arial"/>
          <w:color w:val="000000"/>
          <w:sz w:val="18"/>
        </w:rPr>
        <w:t>The FDA requires medical device manufacturers to comply with, among other things, current good manufacturing practices for medical devices, set forth in the Quality Management System Regulation at 21 C.F.R. Part 820, which took effect on February 2, 2026, and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pStyle w:val="TextBody"/>
        <w:bidi w:val="0"/>
        <w:spacing w:before="200" w:after="283"/>
        <w:jc w:val="both"/>
        <w:rPr>
          <w:rFonts w:ascii="Arial" w:hAnsi="Arial"/>
          <w:color w:val="000000"/>
          <w:sz w:val="18"/>
        </w:rPr>
      </w:pPr>
      <w:r>
        <w:rPr>
          <w:rFonts w:ascii="Arial" w:hAnsi="Arial"/>
          <w:color w:val="000000"/>
          <w:sz w:val="18"/>
        </w:rPr>
        <w:t>Moreover, there can be no assurance that any authorized claims will be consistent with our current claims or adequate to support continued adoption of our testing services. If premarket review is required for some or all of our tests, the FDA may require that we stop using such tests in our testing services pending marketing authorization, which would negatively impact our business. Even if our testing services are allowed to remain on the market prior to marketing authorization of our tests, demand for our testing services may decline if there is uncertainty about our tests, if we are required to label tests as investigational by the FDA, or if the FDA limits the labeling claims we are permitted to make for our testing services. As a result, we could experience significantly increased development costs and a delay in generating additional revenue from our testing services or from other services now in development.</w:t>
      </w:r>
    </w:p>
    <w:p>
      <w:pPr>
        <w:pStyle w:val="TextBody"/>
        <w:bidi w:val="0"/>
        <w:spacing w:before="200" w:after="283"/>
        <w:jc w:val="both"/>
        <w:rPr>
          <w:rFonts w:ascii="Arial" w:hAnsi="Arial"/>
          <w:color w:val="000000"/>
          <w:sz w:val="18"/>
        </w:rPr>
      </w:pPr>
      <w:r>
        <w:rPr>
          <w:rFonts w:ascii="Arial" w:hAnsi="Arial"/>
          <w:color w:val="000000"/>
          <w:sz w:val="18"/>
        </w:rPr>
        <w:t>In addition, any marketing authorization that we may obtain for our tests may contain requirements for costly post-market testing and surveillance to monitor the safety or effectiveness of the tests. The FDA has broad post-market enforcement powers, and if unanticipated problems with our tests arise, or if we or our suppliers fail to comply with regulatory requirements following FDA marketing authorization, we may become subject to enforcement actions such as: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restrictions on manufacturing processes;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restrictions on marketing of our tests;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warning letters;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withdrawal or recall of our tests from the market;</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refusal to provide marketing authorization for pending PMAs, De Novo requests, or 510(k)s, or supplements to approved PMAs, granted De Novo authorization requests, or cleared 510(k)s that we submit;</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fines, restitution, or disgorgement of profits or revenue;</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suspension or withdrawal of regulatory clearances or approvals;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limitation on, or refusal to permit, import or export of our tests;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seizures;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injunctions; or</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imposition of civil or criminal penalties.</w:t>
      </w:r>
    </w:p>
    <w:p>
      <w:pPr>
        <w:pStyle w:val="TextBody"/>
        <w:bidi w:val="0"/>
        <w:spacing w:before="200" w:after="283"/>
        <w:jc w:val="both"/>
        <w:rPr>
          <w:rFonts w:ascii="Arial" w:hAnsi="Arial"/>
          <w:color w:val="000000"/>
          <w:sz w:val="18"/>
        </w:rPr>
      </w:pPr>
      <w:r>
        <w:rPr>
          <w:rFonts w:ascii="Arial" w:hAnsi="Arial"/>
          <w:color w:val="000000"/>
          <w:sz w:val="18"/>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200" w:after="283"/>
        <w:jc w:val="both"/>
        <w:rPr>
          <w:rFonts w:ascii="Times New Roman" w:hAnsi="Times New Roman"/>
          <w:sz w:val="20"/>
        </w:rPr>
      </w:pPr>
      <w:r>
        <w:rPr>
          <w:rFonts w:ascii="Arial" w:hAnsi="Arial"/>
          <w:color w:val="000000"/>
          <w:sz w:val="18"/>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testing services to the market and adversely affect our operations.</w:t>
      </w:r>
    </w:p>
    <w:p>
      <w:pPr>
        <w:pStyle w:val="TextBody"/>
        <w:bidi w:val="0"/>
        <w:spacing w:before="200" w:after="283"/>
        <w:jc w:val="both"/>
        <w:rPr>
          <w:rFonts w:ascii="Arial" w:hAnsi="Arial"/>
          <w:color w:val="000000"/>
          <w:sz w:val="18"/>
        </w:rPr>
      </w:pPr>
      <w:r>
        <w:rPr>
          <w:rFonts w:ascii="Arial" w:hAnsi="Arial"/>
          <w:color w:val="000000"/>
          <w:sz w:val="18"/>
        </w:rPr>
        <w:t>In addition, if we offer tests or services to customers within the EEA (and Northern Ireland) (whether directly or via intermediaries) that fall within the scope of the IVDR, we would be required to comply with strict requirements in order to affix the CE mark to our products related to our testing services, including requirements for clinical evidence, pre-market assessment of safety and performance, quality management system, traceability of products, promotion and advertising, and conduct costly post-market testing and surveillance to monitor the safety or effectiveness of the tests related to our testing services in the EEA and detailed reporting obligations.</w:t>
      </w:r>
    </w:p>
    <w:p>
      <w:pPr>
        <w:pStyle w:val="TextBody"/>
        <w:bidi w:val="0"/>
        <w:spacing w:before="200" w:after="283"/>
        <w:jc w:val="both"/>
        <w:rPr>
          <w:rFonts w:ascii="Arial" w:hAnsi="Arial"/>
          <w:b/>
          <w:i/>
          <w:color w:val="000000"/>
          <w:sz w:val="18"/>
        </w:rPr>
      </w:pPr>
      <w:r>
        <w:rPr>
          <w:rFonts w:ascii="Arial" w:hAnsi="Arial"/>
          <w:b/>
          <w:i/>
          <w:color w:val="000000"/>
          <w:sz w:val="18"/>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pStyle w:val="TextBody"/>
        <w:bidi w:val="0"/>
        <w:spacing w:before="200" w:after="283"/>
        <w:jc w:val="both"/>
        <w:rPr>
          <w:rFonts w:ascii="Arial" w:hAnsi="Arial"/>
          <w:color w:val="000000"/>
          <w:sz w:val="18"/>
        </w:rPr>
      </w:pPr>
      <w:r>
        <w:rPr>
          <w:rFonts w:ascii="Arial" w:hAnsi="Arial"/>
          <w:color w:val="000000"/>
          <w:sz w:val="18"/>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pStyle w:val="TextBody"/>
        <w:bidi w:val="0"/>
        <w:spacing w:before="200" w:after="283"/>
        <w:jc w:val="both"/>
        <w:rPr>
          <w:rFonts w:ascii="Arial" w:hAnsi="Arial"/>
          <w:color w:val="000000"/>
          <w:sz w:val="18"/>
        </w:rPr>
      </w:pPr>
      <w:r>
        <w:rPr>
          <w:rFonts w:ascii="Arial" w:hAnsi="Arial"/>
          <w:color w:val="000000"/>
          <w:sz w:val="18"/>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pStyle w:val="TextBody"/>
        <w:bidi w:val="0"/>
        <w:spacing w:before="200" w:after="283"/>
        <w:jc w:val="both"/>
        <w:rPr>
          <w:rFonts w:ascii="Arial" w:hAnsi="Arial"/>
          <w:color w:val="000000"/>
          <w:sz w:val="18"/>
        </w:rPr>
      </w:pPr>
      <w:r>
        <w:rPr>
          <w:rFonts w:ascii="Arial" w:hAnsi="Arial"/>
          <w:color w:val="000000"/>
          <w:sz w:val="18"/>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bidi w:val="0"/>
        <w:spacing w:before="200" w:after="283"/>
        <w:jc w:val="both"/>
        <w:rPr>
          <w:rFonts w:ascii="Arial" w:hAnsi="Arial"/>
          <w:color w:val="000000"/>
          <w:sz w:val="18"/>
        </w:rPr>
      </w:pPr>
      <w:r>
        <w:rPr>
          <w:rFonts w:ascii="Arial" w:hAnsi="Arial"/>
          <w:color w:val="000000"/>
          <w:sz w:val="18"/>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pStyle w:val="TextBody"/>
        <w:bidi w:val="0"/>
        <w:spacing w:before="200" w:after="283"/>
        <w:jc w:val="both"/>
        <w:rPr>
          <w:rFonts w:ascii="Times New Roman" w:hAnsi="Times New Roman"/>
          <w:sz w:val="20"/>
        </w:rPr>
      </w:pPr>
      <w:r>
        <w:rPr>
          <w:rFonts w:ascii="Arial" w:hAnsi="Arial"/>
          <w:color w:val="000000"/>
          <w:sz w:val="18"/>
        </w:rPr>
        <w:t>Although we market our test services as LDTs that are currently subject to the FDA’s exercise of enforcement discretion, if any of our testing services fail to comply with FDA regulatory requirements as enforced, or if we are required or voluntarily submit one or more of our test services for marketing authorization from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testing services have defects that call into question the accuracy of their results, we may be required to undertake a retest of all results and analyses provided during the period relevant to the defect, or recall the affected services. The direct costs incurred in connection with such a recall in terms of management time, administrative, and legal expenses and lost revenue, together with the indirect costs to our reputation, could harm our business, financial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Disruptions to the operations of the FDA, the SEC and other government agencies, including those caused by funding shortages or executive branch policies, in addition to substantial uncertainty regarding the current administration’s initiatives and staffing cuts and how these might impact the FDA, the SEC and other governmental agencies implementation of laws, regulations, policies and guidance, and its personnel,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and our business partners may rely, which could negatively impact our business.</w:t>
      </w:r>
    </w:p>
    <w:p>
      <w:pPr>
        <w:pStyle w:val="TextBody"/>
        <w:bidi w:val="0"/>
        <w:spacing w:before="200" w:after="283"/>
        <w:jc w:val="both"/>
        <w:rPr>
          <w:rFonts w:ascii="Arial" w:hAnsi="Arial"/>
          <w:color w:val="000000"/>
          <w:sz w:val="18"/>
        </w:rPr>
      </w:pPr>
      <w:r>
        <w:rPr>
          <w:rFonts w:ascii="Arial" w:hAnsi="Arial"/>
          <w:color w:val="000000"/>
          <w:sz w:val="18"/>
        </w:rPr>
        <w:t>The ability of the FDA to review and approve new products or take action with respect to other regulatory matters can be affected by a variety of factors, including government budget and funding levels, the ability to hire and retain key personnel and accept payment of user fees, the availability of personnel and other resources, statutory, regulatory and policy changes that may otherwise affect the FDA’s or comparable foreign regulatory authorities’ ability to perform routine functions, and business disruptions, such as those caused by the COVID-19 pandemic. Average review times at the agency have fluctuated in recent years as a result. In addition, government funding of the SEC and other government agencies on which our operations may rely, including grants that fund research and development activities by academic institutions, is subject to the political process, which is inherently fluid and unpredictable.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Disruptions at the FDA and other agencies, including substantial leadership departures, personnel cuts, and policy changes, may also slow the time necessary for new drugs to be reviewed and/or approved by necessary government agencies, which would adversely affect our business through our commercial relationships with pharmaceutical companies and collaborations with academic institutions. For example, over the last several years, the U.S. government has shut down several times and certain regulatory agencies, such as the FDA and the SEC, have had to furlough FDA, SEC and other government employees and stop activities. In addition, there have recently been terminations of large numbers of federal employees at various federal agencies, including the FDA. Changes and cuts in FDA staffing could result in delays in the FDA’s responsiveness or in its ability to review submissions or applications, issue regulations or guidance, or implement or enforce regulatory requirements in a timely fashion or at all. If a subsequent prolonged government shutdown occurs, it and/or employee terminations or resignations could significantly impact the ability of the FDA or other federal agencies to timely review and process regulatory submissions of our pharma customers or collaboration partners, which could have a material adverse effect on our business. Further, future government shutdowns and/or employee terminations or resignations or could impact our ability to access the public markets and obtain necessary capital in order to properly capitalize and continue our operations, or to timely obtain patent protection in the U.S. to protect our technology. Moreover, federal funding under the current administration of certain activities such as research and development grants to academic institutions has been, and may continue to be, more limited than recent historical funding.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There is substantial uncertainty as to whether and how the current administration will seek to modify or revise the requirements and policies of the FDA and other regulatory agencies with jurisdiction over the product candidates of our customers and collaboration partners and any products for which they obtain approval. This uncertainty could present new challenges to navigating development and approval of product candidates. Some of these efforts have manifested to date in the form of personnel cuts and measures that could impact the FDA’s ability to hire and retain key personnel, which could result in delays or limitations on the ability of our pharma customers or collaboration partners to obtain guidance from the FDA on their product candidates in development and obtain the requisite regulatory approvals in the future. There remains general uncertainty regarding future activities. The current administration could issue or promulgate executive orders, regulations, policies or guidance that adversely affect us or our customers or collaboration partners, or create a more challenging or costly environment to pursue the development of new products.</w:t>
      </w:r>
    </w:p>
    <w:p>
      <w:pPr>
        <w:pStyle w:val="TextBody"/>
        <w:bidi w:val="0"/>
        <w:spacing w:before="200" w:after="283"/>
        <w:jc w:val="both"/>
        <w:rPr>
          <w:rFonts w:ascii="Arial" w:hAnsi="Arial"/>
          <w:b/>
          <w:i/>
          <w:color w:val="000000"/>
          <w:sz w:val="18"/>
        </w:rPr>
      </w:pPr>
      <w:r>
        <w:rPr>
          <w:rFonts w:ascii="Arial" w:hAnsi="Arial"/>
          <w:b/>
          <w:i/>
          <w:color w:val="000000"/>
          <w:sz w:val="18"/>
        </w:rPr>
        <w:t>If our information technology systems or data,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00" w:after="283"/>
        <w:jc w:val="both"/>
        <w:rPr>
          <w:rFonts w:ascii="Arial" w:hAnsi="Arial"/>
          <w:color w:val="000000"/>
          <w:sz w:val="18"/>
        </w:rPr>
      </w:pPr>
      <w:r>
        <w:rPr>
          <w:rFonts w:ascii="Arial" w:hAnsi="Arial"/>
          <w:color w:val="000000"/>
          <w:sz w:val="18"/>
        </w:rPr>
        <w:t>In the ordinary course of our business, we, and the third parties with whom we work,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pStyle w:val="TextBody"/>
        <w:bidi w:val="0"/>
        <w:spacing w:before="200" w:after="283"/>
        <w:jc w:val="both"/>
        <w:rPr>
          <w:rFonts w:ascii="Times New Roman" w:hAnsi="Times New Roman"/>
          <w:sz w:val="20"/>
        </w:rPr>
      </w:pPr>
      <w:r>
        <w:rPr>
          <w:rFonts w:ascii="Arial" w:hAnsi="Arial"/>
          <w:color w:val="000000"/>
          <w:sz w:val="18"/>
        </w:rPr>
        <w:t>Cyberattacks, malicious internet-based activity, and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be vulnerable to a heightened risk of these attacks, including retaliatory cyberattacks, that could materially disrupt our systems and operations, supply chain, and ability to produce, sell, and distribute our testing services.</w:t>
      </w:r>
    </w:p>
    <w:p>
      <w:pPr>
        <w:pStyle w:val="TextBody"/>
        <w:bidi w:val="0"/>
        <w:spacing w:before="200" w:after="283"/>
        <w:jc w:val="both"/>
        <w:rPr>
          <w:rFonts w:ascii="Arial" w:hAnsi="Arial"/>
          <w:color w:val="000000"/>
          <w:sz w:val="18"/>
        </w:rPr>
      </w:pPr>
      <w:r>
        <w:rPr>
          <w:rFonts w:ascii="Arial" w:hAnsi="Arial"/>
          <w:color w:val="000000"/>
          <w:sz w:val="18"/>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testing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It may be difficult and/or costly to detect, investigate, mitigate, contain, and remediate a security incident. Our efforts to do so may not be successful.</w:t>
      </w:r>
    </w:p>
    <w:p>
      <w:pPr>
        <w:pStyle w:val="TextBody"/>
        <w:bidi w:val="0"/>
        <w:spacing w:before="200" w:after="283"/>
        <w:jc w:val="both"/>
        <w:rPr>
          <w:rFonts w:ascii="Arial" w:hAnsi="Arial"/>
          <w:color w:val="000000"/>
          <w:sz w:val="18"/>
        </w:rPr>
      </w:pPr>
      <w:r>
        <w:rPr>
          <w:rFonts w:ascii="Arial" w:hAnsi="Arial"/>
          <w:color w:val="000000"/>
          <w:sz w:val="18"/>
        </w:rPr>
        <w:t>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Most of our employees are working remotely at least part of the time and such 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00" w:after="283"/>
        <w:jc w:val="both"/>
        <w:rPr>
          <w:rFonts w:ascii="Arial" w:hAnsi="Arial"/>
          <w:color w:val="000000"/>
          <w:sz w:val="18"/>
        </w:rPr>
      </w:pPr>
      <w:r>
        <w:rPr>
          <w:rFonts w:ascii="Arial" w:hAnsi="Arial"/>
          <w:color w:val="000000"/>
          <w:sz w:val="18"/>
        </w:rPr>
        <w:t>We rely on third parties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For example, in December 2025, we received notice from our e-mail service provider about certain suspicious Personalis email account activity. Upon notification of this incident, we conducted a thorough investigation and determined that a threat actor had gained access to a small number of user accounts and some patients’ PHI may have been accessed. We are not aware of any unauthorized access to our financial systems or records or any impact to our test processing systems. While we have taken steps to (a) notify the affected patients and the U.S. Department of Health and Human Services ("HHS"), Office of Civil Rights of the incident, as required by law, and (b) mitigate the potential for incidents to occur in the future, there can be no assurance that these measures will be effective.</w:t>
      </w:r>
    </w:p>
    <w:p>
      <w:pPr>
        <w:pStyle w:val="TextBody"/>
        <w:bidi w:val="0"/>
        <w:spacing w:before="200" w:after="283"/>
        <w:jc w:val="both"/>
        <w:rPr>
          <w:rFonts w:ascii="Arial" w:hAnsi="Arial"/>
          <w:color w:val="000000"/>
          <w:sz w:val="18"/>
        </w:rPr>
      </w:pPr>
      <w:r>
        <w:rPr>
          <w:rFonts w:ascii="Arial" w:hAnsi="Arial"/>
          <w:color w:val="000000"/>
          <w:sz w:val="18"/>
        </w:rPr>
        <w:t>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that of the third parties with whom we work have not been compromised or that they do not contain exploitable defects or bugs that could result in a breach of or disruption to our information technology systems or the third-party information technology systems that support us and our testing services.</w:t>
      </w:r>
    </w:p>
    <w:p>
      <w:pPr>
        <w:pStyle w:val="TextBody"/>
        <w:bidi w:val="0"/>
        <w:spacing w:before="200" w:after="283"/>
        <w:jc w:val="both"/>
        <w:rPr>
          <w:rFonts w:ascii="Arial" w:hAnsi="Arial"/>
          <w:color w:val="000000"/>
          <w:sz w:val="18"/>
        </w:rPr>
      </w:pPr>
      <w:r>
        <w:rPr>
          <w:rFonts w:ascii="Arial" w:hAnsi="Arial"/>
          <w:color w:val="000000"/>
          <w:sz w:val="18"/>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new information technology, and our results of operations in the first and second quarters of 2018 were adversely affected as a result. In 2024, we experienced downtime in our information technology systems due to human error in connection with an upgrade by one of our third-party vendors to one of our information technology systems. Our results of operations were not materially adversely affected in the case of the latter downtime.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with whom we work) to provide our testing services.</w:t>
      </w:r>
    </w:p>
    <w:p>
      <w:pPr>
        <w:pStyle w:val="TextBody"/>
        <w:bidi w:val="0"/>
        <w:spacing w:before="240" w:after="283"/>
        <w:jc w:val="center"/>
        <w:rPr>
          <w:rFonts w:ascii="Arial" w:hAnsi="Arial"/>
          <w:color w:val="000000"/>
          <w:sz w:val="18"/>
        </w:rPr>
      </w:pPr>
      <w:r>
        <w:rPr>
          <w:rFonts w:ascii="Arial" w:hAnsi="Arial"/>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pStyle w:val="TextBody"/>
        <w:bidi w:val="0"/>
        <w:spacing w:before="200" w:after="283"/>
        <w:jc w:val="both"/>
        <w:rPr>
          <w:rFonts w:ascii="Arial" w:hAnsi="Arial"/>
          <w:color w:val="000000"/>
          <w:sz w:val="18"/>
        </w:rPr>
      </w:pPr>
      <w:r>
        <w:rPr>
          <w:rFonts w:ascii="Arial" w:hAnsi="Arial"/>
          <w:color w:val="000000"/>
          <w:sz w:val="18"/>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However, we have not detected, and may not in the future, detect, and remediate all such vulnerabilities, including on a timely basis. Further, we have experienced, and may in the future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with whom we work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00" w:after="283"/>
        <w:jc w:val="both"/>
        <w:rPr>
          <w:rFonts w:ascii="Arial" w:hAnsi="Arial"/>
          <w:color w:val="000000"/>
          <w:sz w:val="18"/>
        </w:rPr>
      </w:pPr>
      <w:r>
        <w:rPr>
          <w:rFonts w:ascii="Arial" w:hAnsi="Arial"/>
          <w:color w:val="000000"/>
          <w:sz w:val="18"/>
        </w:rPr>
        <w:t>We employ a shared responsibility model where our customers and partners are responsible for configuring and implementing security measures related to our platform. As part of this model, we make certain security features available to users that can be implemented at their discretion or identify security areas or measures for which they are responsible. For example, users can choose whether to implement and enforce multifactor authentication to access their accounts. In certain cases where users choose not to implement, or incorrectly implement, those features or measures, misuse our testing services, or otherwise experience their own vulnerabilities, policy violations, credential exposure or security incidents, even if we are not the cause of a resulting customer security issue or incident, our customer and partner relationships, reputation, and revenue may be adversely impacted.</w:t>
      </w:r>
    </w:p>
    <w:p>
      <w:pPr>
        <w:pStyle w:val="TextBody"/>
        <w:bidi w:val="0"/>
        <w:spacing w:before="200" w:after="283"/>
        <w:jc w:val="both"/>
        <w:rPr>
          <w:rFonts w:ascii="Arial" w:hAnsi="Arial"/>
          <w:color w:val="000000"/>
          <w:sz w:val="18"/>
        </w:rPr>
      </w:pPr>
      <w:r>
        <w:rPr>
          <w:rFonts w:ascii="Arial" w:hAnsi="Arial"/>
          <w:color w:val="000000"/>
          <w:sz w:val="18"/>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testing services and otherwise conduct our business in the ordinary course.</w:t>
      </w:r>
    </w:p>
    <w:p>
      <w:pPr>
        <w:pStyle w:val="TextBody"/>
        <w:bidi w:val="0"/>
        <w:spacing w:before="200" w:after="283"/>
        <w:jc w:val="both"/>
        <w:rPr>
          <w:rFonts w:ascii="Arial" w:hAnsi="Arial"/>
          <w:color w:val="000000"/>
          <w:sz w:val="18"/>
        </w:rPr>
      </w:pPr>
      <w:r>
        <w:rPr>
          <w:rFonts w:ascii="Arial" w:hAnsi="Arial"/>
          <w:color w:val="000000"/>
          <w:sz w:val="18"/>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 In December 2025, we received notice from our e-mail service provider about certain Personalis suspicious account email activity. See “— If our information technology systems or data,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We are not aware of any unauthorized access to our financial systems or records.</w:t>
      </w:r>
    </w:p>
    <w:p>
      <w:pPr>
        <w:pStyle w:val="TextBody"/>
        <w:bidi w:val="0"/>
        <w:spacing w:before="200" w:after="283"/>
        <w:jc w:val="both"/>
        <w:rPr>
          <w:rFonts w:ascii="Arial" w:hAnsi="Arial"/>
          <w:color w:val="000000"/>
          <w:sz w:val="18"/>
        </w:rPr>
      </w:pPr>
      <w:r>
        <w:rPr>
          <w:rFonts w:ascii="Arial" w:hAnsi="Arial"/>
          <w:color w:val="000000"/>
          <w:sz w:val="18"/>
        </w:rPr>
        <w:t>Applicable data privacy and security obligations, including applicable federal and/or state breach notification laws and foreign equivalents, as well as public company disclosure obligations, may require us, or we may voluntarily choose, to notify relevant stakeholders, including affected individuals, regulatory authorities and our stockholders, of certain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testing services, deter new customers or partners from using our testing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pStyle w:val="TextBody"/>
        <w:bidi w:val="0"/>
        <w:spacing w:before="200" w:after="283"/>
        <w:jc w:val="both"/>
        <w:rPr>
          <w:rFonts w:ascii="Arial" w:hAnsi="Arial"/>
          <w:color w:val="000000"/>
          <w:sz w:val="18"/>
        </w:rPr>
      </w:pPr>
      <w:r>
        <w:rPr>
          <w:rFonts w:ascii="Arial" w:hAnsi="Arial"/>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pStyle w:val="TextBody"/>
        <w:bidi w:val="0"/>
        <w:spacing w:before="240" w:after="283"/>
        <w:jc w:val="center"/>
        <w:rPr>
          <w:rFonts w:ascii="Arial" w:hAnsi="Arial"/>
          <w:color w:val="000000"/>
          <w:sz w:val="18"/>
        </w:rPr>
      </w:pPr>
      <w:r>
        <w:rPr>
          <w:rFonts w:ascii="Arial" w:hAnsi="Arial"/>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AI technologies.</w:t>
      </w:r>
    </w:p>
    <w:p>
      <w:pPr>
        <w:pStyle w:val="TextBody"/>
        <w:bidi w:val="0"/>
        <w:spacing w:before="200" w:after="283"/>
        <w:jc w:val="both"/>
        <w:rPr>
          <w:rFonts w:ascii="Arial" w:hAnsi="Arial"/>
          <w:b/>
          <w:i/>
          <w:color w:val="000000"/>
          <w:sz w:val="18"/>
        </w:rPr>
      </w:pPr>
      <w:r>
        <w:rPr>
          <w:rFonts w:ascii="Arial" w:hAnsi="Arial"/>
          <w:b/>
          <w:i/>
          <w:color w:val="000000"/>
          <w:sz w:val="18"/>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200" w:after="283"/>
        <w:jc w:val="both"/>
        <w:rPr>
          <w:rFonts w:ascii="Arial" w:hAnsi="Arial"/>
          <w:color w:val="000000"/>
          <w:sz w:val="18"/>
        </w:rPr>
      </w:pPr>
      <w:r>
        <w:rPr>
          <w:rFonts w:ascii="Arial" w:hAnsi="Arial"/>
          <w:color w:val="000000"/>
          <w:sz w:val="18"/>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200" w:after="283"/>
        <w:jc w:val="both"/>
        <w:rPr>
          <w:rFonts w:ascii="Arial" w:hAnsi="Arial"/>
          <w:color w:val="000000"/>
          <w:sz w:val="18"/>
        </w:rPr>
      </w:pPr>
      <w:r>
        <w:rPr>
          <w:rFonts w:ascii="Arial" w:hAnsi="Arial"/>
          <w:color w:val="000000"/>
          <w:sz w:val="18"/>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 establishing a new regulatory agency to implement and enforce the law. Other states, such as Virginia, Colorado, Connecticut and Utah have also enacted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testing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pStyle w:val="TextBody"/>
        <w:bidi w:val="0"/>
        <w:spacing w:before="200" w:after="283"/>
        <w:jc w:val="both"/>
        <w:rPr>
          <w:rFonts w:ascii="Arial" w:hAnsi="Arial"/>
          <w:color w:val="000000"/>
          <w:sz w:val="18"/>
        </w:rPr>
      </w:pPr>
      <w:r>
        <w:rPr>
          <w:rFonts w:ascii="Arial" w:hAnsi="Arial"/>
          <w:color w:val="000000"/>
          <w:sz w:val="18"/>
        </w:rPr>
        <w:t>We may be subject to new laws governing the privacy of consumer health data, including reproductive, sexual orientation, and gender identity privacy rights.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California also recently passed a law protecting privacy of abortion-related records and other reproductive healthcare services.</w:t>
      </w:r>
    </w:p>
    <w:p>
      <w:pPr>
        <w:pStyle w:val="TextBody"/>
        <w:bidi w:val="0"/>
        <w:spacing w:before="200" w:after="283"/>
        <w:jc w:val="both"/>
        <w:rPr>
          <w:rFonts w:ascii="Arial" w:hAnsi="Arial"/>
          <w:color w:val="000000"/>
          <w:sz w:val="18"/>
        </w:rPr>
      </w:pPr>
      <w:r>
        <w:rPr>
          <w:rFonts w:ascii="Arial" w:hAnsi="Arial"/>
          <w:color w:val="000000"/>
          <w:sz w:val="18"/>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and various related provincial laws, as well as Canada’s Anti-Spam Legislation,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pStyle w:val="TextBody"/>
        <w:bidi w:val="0"/>
        <w:spacing w:before="240" w:after="283"/>
        <w:jc w:val="center"/>
        <w:rPr>
          <w:rFonts w:ascii="Arial" w:hAnsi="Arial"/>
          <w:color w:val="000000"/>
          <w:sz w:val="18"/>
        </w:rPr>
      </w:pPr>
      <w:r>
        <w:rPr>
          <w:rFonts w:ascii="Arial" w:hAnsi="Arial"/>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 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 The U.S. is also increasingly scrutinizing certain personal data transfers and may impose data localization requirements, for example, the U.S. Department of Justice’s rule entitled the Preventing Access to U.S. Sensitive Personal Data and Government-Related Data by Countries of Concern or Covered Persons.</w:t>
      </w:r>
    </w:p>
    <w:p>
      <w:pPr>
        <w:pStyle w:val="TextBody"/>
        <w:bidi w:val="0"/>
        <w:spacing w:before="200" w:after="283"/>
        <w:jc w:val="both"/>
        <w:rPr>
          <w:rFonts w:ascii="Arial" w:hAnsi="Arial"/>
          <w:color w:val="000000"/>
          <w:sz w:val="18"/>
        </w:rPr>
      </w:pPr>
      <w:r>
        <w:rPr>
          <w:rFonts w:ascii="Arial" w:hAnsi="Arial"/>
          <w:color w:val="000000"/>
          <w:sz w:val="18"/>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also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pStyle w:val="TextBody"/>
        <w:bidi w:val="0"/>
        <w:spacing w:before="200" w:after="283"/>
        <w:jc w:val="both"/>
        <w:rPr>
          <w:rFonts w:ascii="Arial" w:hAnsi="Arial"/>
          <w:color w:val="000000"/>
          <w:sz w:val="18"/>
        </w:rPr>
      </w:pPr>
      <w:r>
        <w:rPr>
          <w:rFonts w:ascii="Arial" w:hAnsi="Arial"/>
          <w:color w:val="000000"/>
          <w:sz w:val="18"/>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00" w:after="283"/>
        <w:jc w:val="both"/>
        <w:rPr>
          <w:rFonts w:ascii="Arial" w:hAnsi="Arial"/>
          <w:color w:val="000000"/>
          <w:sz w:val="18"/>
        </w:rPr>
      </w:pPr>
      <w:r>
        <w:rPr>
          <w:rFonts w:ascii="Arial" w:hAnsi="Arial"/>
          <w:color w:val="000000"/>
          <w:sz w:val="18"/>
        </w:rPr>
        <w:t>Our employees and personnel may use generative AI, agentic AI, and/or automated decision-making technologies (collectively, “AI”) to perform their work, and the disclosure and use of personal information in AI technologies is subject to various data privacy laws and other privacy obligations. Governments have passed and are likely to pass additional laws regulating AI. Our use of this technology could result in additional compliance costs, regulatory investigations and actions, and consumer lawsuits. If we are unable to use AI, it could make our business less efficient and result in competitive disadvantages.</w:t>
      </w:r>
    </w:p>
    <w:p>
      <w:pPr>
        <w:pStyle w:val="TextBody"/>
        <w:bidi w:val="0"/>
        <w:spacing w:before="200" w:after="283"/>
        <w:jc w:val="both"/>
        <w:rPr>
          <w:rFonts w:ascii="Times New Roman" w:hAnsi="Times New Roman"/>
          <w:sz w:val="20"/>
        </w:rPr>
      </w:pPr>
      <w:r>
        <w:rPr>
          <w:rFonts w:ascii="Arial" w:hAnsi="Arial"/>
          <w:color w:val="000000"/>
          <w:sz w:val="18"/>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bidi w:val="0"/>
        <w:spacing w:before="200" w:after="283"/>
        <w:jc w:val="both"/>
        <w:rPr>
          <w:rFonts w:ascii="Arial" w:hAnsi="Arial"/>
          <w:color w:val="000000"/>
          <w:sz w:val="18"/>
        </w:rPr>
      </w:pPr>
      <w:r>
        <w:rPr>
          <w:rFonts w:ascii="Arial" w:hAnsi="Arial"/>
          <w:color w:val="000000"/>
          <w:sz w:val="18"/>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testing services; expenditure of time and resources to defend any claim or inquiry; adverse publicity; or substantial changes to our business model or operations.</w:t>
      </w:r>
    </w:p>
    <w:p>
      <w:pPr>
        <w:pStyle w:val="TextBody"/>
        <w:bidi w:val="0"/>
        <w:spacing w:before="200" w:after="283"/>
        <w:jc w:val="both"/>
        <w:rPr>
          <w:rFonts w:ascii="Arial" w:hAnsi="Arial"/>
          <w:b/>
          <w:i/>
          <w:color w:val="000000"/>
          <w:sz w:val="18"/>
        </w:rPr>
      </w:pPr>
      <w:r>
        <w:rPr>
          <w:rFonts w:ascii="Arial" w:hAnsi="Arial"/>
          <w:b/>
          <w:i/>
          <w:color w:val="000000"/>
          <w:sz w:val="18"/>
        </w:rPr>
        <w:t>Our employees may engage in misconduct or other improper activities, including noncompliance with regulatory standards and requirements, which could cause significant liability for us and harm our reputation.</w:t>
      </w:r>
    </w:p>
    <w:p>
      <w:pPr>
        <w:pStyle w:val="TextBody"/>
        <w:bidi w:val="0"/>
        <w:spacing w:before="200" w:after="283"/>
        <w:jc w:val="both"/>
        <w:rPr>
          <w:rFonts w:ascii="Arial" w:hAnsi="Arial"/>
          <w:color w:val="000000"/>
          <w:sz w:val="18"/>
        </w:rPr>
      </w:pPr>
      <w:r>
        <w:rPr>
          <w:rFonts w:ascii="Arial" w:hAnsi="Arial"/>
          <w:color w:val="000000"/>
          <w:sz w:val="18"/>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pStyle w:val="TextBody"/>
        <w:bidi w:val="0"/>
        <w:spacing w:before="200" w:after="283"/>
        <w:jc w:val="both"/>
        <w:rPr>
          <w:rFonts w:ascii="Arial" w:hAnsi="Arial"/>
          <w:color w:val="000000"/>
          <w:sz w:val="18"/>
        </w:rPr>
      </w:pPr>
      <w:r>
        <w:rPr>
          <w:rFonts w:ascii="Arial" w:hAnsi="Arial"/>
          <w:color w:val="000000"/>
          <w:sz w:val="18"/>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200" w:after="283"/>
        <w:jc w:val="both"/>
        <w:rPr>
          <w:rFonts w:ascii="Arial" w:hAnsi="Arial"/>
          <w:b/>
          <w:i/>
          <w:color w:val="000000"/>
          <w:sz w:val="18"/>
        </w:rPr>
      </w:pPr>
      <w:r>
        <w:rPr>
          <w:rFonts w:ascii="Arial" w:hAnsi="Arial"/>
          <w:b/>
          <w:i/>
          <w:color w:val="000000"/>
          <w:sz w:val="18"/>
        </w:rPr>
        <w:t>Complying with numerous statutes and regulations pertaining to our business is an expensive and time-consuming process, and any failure to comply could result in substantial penalties.</w:t>
      </w:r>
    </w:p>
    <w:p>
      <w:pPr>
        <w:pStyle w:val="TextBody"/>
        <w:bidi w:val="0"/>
        <w:spacing w:before="200" w:after="283"/>
        <w:jc w:val="both"/>
        <w:rPr>
          <w:rFonts w:ascii="Arial" w:hAnsi="Arial"/>
          <w:color w:val="000000"/>
          <w:sz w:val="18"/>
        </w:rPr>
      </w:pPr>
      <w:r>
        <w:rPr>
          <w:rFonts w:ascii="Arial" w:hAnsi="Arial"/>
          <w:color w:val="000000"/>
          <w:sz w:val="18"/>
        </w:rPr>
        <w:t>Our operations are or may be subject to other extensive federal, state, local, and foreign laws and regulations, all of which are subject to change. These laws and regulations currently include, among others: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pStyle w:val="TextBody"/>
        <w:bidi w:val="0"/>
        <w:spacing w:before="240" w:after="283"/>
        <w:jc w:val="center"/>
        <w:rPr>
          <w:rFonts w:ascii="Arial" w:hAnsi="Arial"/>
          <w:color w:val="000000"/>
          <w:sz w:val="18"/>
        </w:rPr>
      </w:pPr>
      <w:r>
        <w:rPr>
          <w:rFonts w:ascii="Arial" w:hAnsi="Arial"/>
          <w:color w:val="000000"/>
          <w:sz w:val="18"/>
        </w:rPr>
        <w:t>62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 xml:space="preserve">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 xml:space="preserve">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w:t>
      </w:r>
    </w:p>
    <w:p>
      <w:pPr>
        <w:pStyle w:val="TextBody"/>
        <w:bidi w:val="0"/>
        <w:spacing w:before="240" w:after="283"/>
        <w:jc w:val="center"/>
        <w:rPr>
          <w:rFonts w:ascii="Arial" w:hAnsi="Arial"/>
          <w:color w:val="000000"/>
          <w:sz w:val="18"/>
        </w:rPr>
      </w:pPr>
      <w:r>
        <w:rPr>
          <w:rFonts w:ascii="Arial" w:hAnsi="Arial"/>
          <w:color w:val="000000"/>
          <w:sz w:val="18"/>
        </w:rPr>
        <w:t>63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extent it will be interpreted, applied and enforced by the government. Currently, there is no proposed regulation interpreting or implementing EKRA, nor any public guidance released by a federal agency concerning EKRA;</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prohibition on reassignment of Medicare claims, which, subject to certain exceptions, precludes the reassignment of Medicare claims to any other party;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similar foreign laws and regulations that apply to us in the countries in which we operate or may operate in the future.</w:t>
      </w:r>
    </w:p>
    <w:p>
      <w:pPr>
        <w:pStyle w:val="TextBody"/>
        <w:bidi w:val="0"/>
        <w:spacing w:before="200" w:after="283"/>
        <w:jc w:val="both"/>
        <w:rPr>
          <w:rFonts w:ascii="Arial" w:hAnsi="Arial"/>
          <w:color w:val="000000"/>
          <w:sz w:val="18"/>
        </w:rPr>
      </w:pPr>
      <w:r>
        <w:rPr>
          <w:rFonts w:ascii="Arial" w:hAnsi="Arial"/>
          <w:color w:val="000000"/>
          <w:sz w:val="18"/>
        </w:rPr>
        <w:t>As a clinical laboratory, our business practices may face additional scrutiny from government regulatory agencies and authorities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pStyle w:val="TextBody"/>
        <w:bidi w:val="0"/>
        <w:spacing w:before="200" w:after="283"/>
        <w:jc w:val="both"/>
        <w:rPr>
          <w:rFonts w:ascii="Arial" w:hAnsi="Arial"/>
          <w:color w:val="000000"/>
          <w:sz w:val="18"/>
        </w:rPr>
      </w:pPr>
      <w:r>
        <w:rPr>
          <w:rFonts w:ascii="Arial" w:hAnsi="Arial"/>
          <w:color w:val="000000"/>
          <w:sz w:val="18"/>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pStyle w:val="TextBody"/>
        <w:bidi w:val="0"/>
        <w:spacing w:before="200" w:after="283"/>
        <w:jc w:val="both"/>
        <w:rPr>
          <w:rFonts w:ascii="Arial" w:hAnsi="Arial"/>
          <w:b/>
          <w:i/>
          <w:color w:val="000000"/>
          <w:sz w:val="18"/>
        </w:rPr>
      </w:pPr>
      <w:r>
        <w:rPr>
          <w:rFonts w:ascii="Arial" w:hAnsi="Arial"/>
          <w:b/>
          <w:i/>
          <w:color w:val="000000"/>
          <w:sz w:val="18"/>
        </w:rPr>
        <w:t>We could be adversely affected by violations of the FCPA and other worldwide anti-bribery laws.</w:t>
      </w:r>
    </w:p>
    <w:p>
      <w:pPr>
        <w:pStyle w:val="TextBody"/>
        <w:bidi w:val="0"/>
        <w:spacing w:before="200" w:after="283"/>
        <w:jc w:val="both"/>
        <w:rPr>
          <w:rFonts w:ascii="Arial" w:hAnsi="Arial"/>
          <w:color w:val="000000"/>
          <w:sz w:val="18"/>
        </w:rPr>
      </w:pPr>
      <w:r>
        <w:rPr>
          <w:rFonts w:ascii="Arial" w:hAnsi="Arial"/>
          <w:color w:val="000000"/>
          <w:sz w:val="18"/>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pStyle w:val="TextBody"/>
        <w:bidi w:val="0"/>
        <w:spacing w:before="200" w:after="283"/>
        <w:jc w:val="both"/>
        <w:rPr>
          <w:rFonts w:ascii="Arial" w:hAnsi="Arial"/>
          <w:b/>
          <w:i/>
          <w:color w:val="000000"/>
          <w:sz w:val="18"/>
        </w:rPr>
      </w:pPr>
      <w:r>
        <w:rPr>
          <w:rFonts w:ascii="Arial" w:hAnsi="Arial"/>
          <w:b/>
          <w:i/>
          <w:color w:val="000000"/>
          <w:sz w:val="18"/>
        </w:rPr>
        <w:t>Changes in health care policy could increase our costs, decrease our revenue, and impact sales of and reimbursement for our tests.</w:t>
      </w:r>
    </w:p>
    <w:p>
      <w:pPr>
        <w:pStyle w:val="TextBody"/>
        <w:bidi w:val="0"/>
        <w:spacing w:before="200" w:after="283"/>
        <w:jc w:val="both"/>
        <w:rPr>
          <w:rFonts w:ascii="Arial" w:hAnsi="Arial"/>
          <w:color w:val="000000"/>
          <w:sz w:val="18"/>
        </w:rPr>
      </w:pPr>
      <w:r>
        <w:rPr>
          <w:rFonts w:ascii="Arial" w:hAnsi="Arial"/>
          <w:color w:val="000000"/>
          <w:sz w:val="18"/>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pStyle w:val="TextBody"/>
        <w:bidi w:val="0"/>
        <w:spacing w:before="200" w:after="283"/>
        <w:jc w:val="both"/>
        <w:rPr>
          <w:rFonts w:ascii="Times New Roman" w:hAnsi="Times New Roman"/>
          <w:sz w:val="20"/>
        </w:rPr>
      </w:pPr>
      <w:r>
        <w:rPr>
          <w:rFonts w:ascii="Arial" w:hAnsi="Arial"/>
          <w:color w:val="000000"/>
          <w:sz w:val="18"/>
        </w:rPr>
        <w:t>There have been executive,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 The current administration is also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and our customers. Recent actions, for example, include directing agencies to reduce agency workforce and cut programs and imposing tariffs on imported products. Additionally, the current administration recently called on Congress to enact “The Great Healthcare Plan,” to codify and expand Most-Favored Nation pricing, lower government subsidies to private insurance companies, increase healthcare price transparency, and enact restrictions on pharmacy benefit manager payment methodologies, among other things. These actions and policies may significantly reduce U.S. prices for certain health care products and services, potentially impacting manufacturers’ global pricing strategies and profitability, while increasing their operational costs and compliance risks.</w:t>
      </w:r>
    </w:p>
    <w:p>
      <w:pPr>
        <w:pStyle w:val="TextBody"/>
        <w:bidi w:val="0"/>
        <w:spacing w:before="200" w:after="283"/>
        <w:jc w:val="both"/>
        <w:rPr>
          <w:rFonts w:ascii="Arial" w:hAnsi="Arial"/>
          <w:color w:val="000000"/>
          <w:sz w:val="18"/>
        </w:rPr>
      </w:pPr>
      <w:r>
        <w:rPr>
          <w:rFonts w:ascii="Arial" w:hAnsi="Arial"/>
          <w:color w:val="000000"/>
          <w:sz w:val="18"/>
        </w:rPr>
        <w:t>In addition,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Under both APMs and MIPS, performance data collected each performance year will affect Medicare payments in later years, including potentially reducing payments.</w:t>
      </w:r>
    </w:p>
    <w:p>
      <w:pPr>
        <w:pStyle w:val="TextBody"/>
        <w:bidi w:val="0"/>
        <w:spacing w:before="200" w:after="283"/>
        <w:jc w:val="both"/>
        <w:rPr>
          <w:rFonts w:ascii="Arial" w:hAnsi="Arial"/>
          <w:color w:val="000000"/>
          <w:sz w:val="18"/>
        </w:rPr>
      </w:pPr>
      <w:r>
        <w:rPr>
          <w:rFonts w:ascii="Arial" w:hAnsi="Arial"/>
          <w:color w:val="000000"/>
          <w:sz w:val="18"/>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pStyle w:val="TextBody"/>
        <w:bidi w:val="0"/>
        <w:spacing w:before="200" w:after="283"/>
        <w:jc w:val="both"/>
        <w:rPr>
          <w:rFonts w:ascii="Arial" w:hAnsi="Arial"/>
          <w:color w:val="000000"/>
          <w:sz w:val="18"/>
        </w:rPr>
      </w:pPr>
      <w:r>
        <w:rPr>
          <w:rFonts w:ascii="Arial" w:hAnsi="Arial"/>
          <w:color w:val="000000"/>
          <w:sz w:val="18"/>
        </w:rPr>
        <w:t>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pStyle w:val="TextBody"/>
        <w:bidi w:val="0"/>
        <w:spacing w:before="200" w:after="283"/>
        <w:jc w:val="both"/>
        <w:rPr>
          <w:rFonts w:ascii="Arial" w:hAnsi="Arial"/>
          <w:b/>
          <w:i/>
          <w:color w:val="000000"/>
          <w:sz w:val="18"/>
        </w:rPr>
      </w:pPr>
      <w:r>
        <w:rPr>
          <w:rFonts w:ascii="Arial" w:hAnsi="Arial"/>
          <w:b/>
          <w:i/>
          <w:color w:val="000000"/>
          <w:sz w:val="18"/>
        </w:rPr>
        <w:t>If we use hazardous materials in a manner that causes injury, we could be liable for resulting damages.</w:t>
      </w:r>
    </w:p>
    <w:p>
      <w:pPr>
        <w:pStyle w:val="TextBody"/>
        <w:bidi w:val="0"/>
        <w:spacing w:before="200" w:after="283"/>
        <w:jc w:val="both"/>
        <w:rPr>
          <w:rFonts w:ascii="Arial" w:hAnsi="Arial"/>
          <w:color w:val="000000"/>
          <w:sz w:val="18"/>
        </w:rPr>
      </w:pPr>
      <w:r>
        <w:rPr>
          <w:rFonts w:ascii="Arial" w:hAnsi="Arial"/>
          <w:color w:val="000000"/>
          <w:sz w:val="18"/>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pStyle w:val="TextBody"/>
        <w:bidi w:val="0"/>
        <w:spacing w:before="200" w:after="283"/>
        <w:jc w:val="both"/>
        <w:rPr>
          <w:rFonts w:ascii="Arial" w:hAnsi="Arial"/>
          <w:b/>
          <w:i/>
          <w:color w:val="000000"/>
          <w:sz w:val="18"/>
        </w:rPr>
      </w:pPr>
      <w:r>
        <w:rPr>
          <w:rFonts w:ascii="Arial" w:hAnsi="Arial"/>
          <w:b/>
          <w:i/>
          <w:color w:val="000000"/>
          <w:sz w:val="18"/>
        </w:rPr>
        <w:t>Changes in tax laws or regulations could adversely affect our business and financial condition.</w:t>
      </w:r>
    </w:p>
    <w:p>
      <w:pPr>
        <w:pStyle w:val="TextBody"/>
        <w:bidi w:val="0"/>
        <w:spacing w:before="200" w:after="283"/>
        <w:jc w:val="both"/>
        <w:rPr>
          <w:rFonts w:ascii="Times New Roman" w:hAnsi="Times New Roman"/>
          <w:sz w:val="20"/>
        </w:rPr>
      </w:pPr>
      <w:r>
        <w:rPr>
          <w:rFonts w:ascii="Arial" w:hAnsi="Arial"/>
          <w:color w:val="000000"/>
          <w:sz w:val="18"/>
        </w:rPr>
        <w:t>The OBBBA includes significant tax provisions that may materially affect our tax position. Key elements of the OBBBA include the permanent extension of certain expiring tax provisions, modifications to the international tax framework, and the restoration of favorable tax treatment for select business incentives. Changes introduced by the OBBBA—as well as any future federal tax reform—may impact corporate tax rates, the realization of our U.S. deferred tax assets, the taxation of foreign earnings, and the deductibility of certain expenses. These changes could materially affect the value of our deferred tax assets, result in significant one</w:t>
        <w:noBreakHyphen/>
        <w:t>time charges in current or future periods, or increase our future U.S. tax expense. In addition, the extent to which individual states will conform to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OBBBA or future federal tax legislation remains uncertain. Any such developments could have a material adverse effect on our business, cash flows, financial condition, or results of operations.</w:t>
      </w:r>
    </w:p>
    <w:p>
      <w:pPr>
        <w:pStyle w:val="TextBody"/>
        <w:bidi w:val="0"/>
        <w:spacing w:before="200" w:after="283"/>
        <w:jc w:val="both"/>
        <w:rPr>
          <w:rFonts w:ascii="Arial" w:hAnsi="Arial"/>
          <w:b/>
          <w:i/>
          <w:color w:val="000000"/>
          <w:sz w:val="18"/>
        </w:rPr>
      </w:pPr>
      <w:r>
        <w:rPr>
          <w:rFonts w:ascii="Arial" w:hAnsi="Arial"/>
          <w:b/>
          <w:i/>
          <w:color w:val="000000"/>
          <w:sz w:val="18"/>
        </w:rPr>
        <w:t>Our effective tax rate may fluctuate, and we may incur obligations in tax jurisdictions in excess of accrued amounts. *</w:t>
      </w:r>
    </w:p>
    <w:p>
      <w:pPr>
        <w:pStyle w:val="TextBody"/>
        <w:bidi w:val="0"/>
        <w:spacing w:before="200" w:after="283"/>
        <w:jc w:val="both"/>
        <w:rPr>
          <w:rFonts w:ascii="Arial" w:hAnsi="Arial"/>
          <w:color w:val="000000"/>
          <w:sz w:val="18"/>
        </w:rPr>
      </w:pPr>
      <w:r>
        <w:rPr>
          <w:rFonts w:ascii="Arial" w:hAnsi="Arial"/>
          <w:color w:val="000000"/>
          <w:sz w:val="18"/>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OBBBA,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pStyle w:val="TextBody"/>
        <w:bidi w:val="0"/>
        <w:spacing w:before="200" w:after="283"/>
        <w:jc w:val="both"/>
        <w:rPr>
          <w:rFonts w:ascii="Arial" w:hAnsi="Arial"/>
          <w:b/>
          <w:i/>
          <w:color w:val="000000"/>
          <w:sz w:val="18"/>
        </w:rPr>
      </w:pPr>
      <w:r>
        <w:rPr>
          <w:rFonts w:ascii="Arial" w:hAnsi="Arial"/>
          <w:b/>
          <w:i/>
          <w:color w:val="000000"/>
          <w:sz w:val="18"/>
        </w:rPr>
        <w:t>Our business could be negatively impacted by environmental, social and corporate governance ("ESG") matters or our reporting of such matters.</w:t>
      </w:r>
    </w:p>
    <w:p>
      <w:pPr>
        <w:pStyle w:val="TextBody"/>
        <w:bidi w:val="0"/>
        <w:spacing w:before="200" w:after="283"/>
        <w:jc w:val="both"/>
        <w:rPr>
          <w:rFonts w:ascii="Arial" w:hAnsi="Arial"/>
          <w:color w:val="000000"/>
          <w:sz w:val="18"/>
        </w:rPr>
      </w:pPr>
      <w:r>
        <w:rPr>
          <w:rFonts w:ascii="Arial" w:hAnsi="Arial"/>
          <w:color w:val="000000"/>
          <w:sz w:val="18"/>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enacted Assembly Bill 1305 (“AB 1305”) in 2024 which created new annual disclosure requirements regarding substantiation of certain climate-related statements, and, if we report climate related statements in the future, could increase our compliance and reporting costs. Additionally, the SEC adopted rules designed to enhance and standardize climate-related disclosures, which have been stayed pending judicial review. If these rules or other climate-related disclosures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pStyle w:val="TextBody"/>
        <w:bidi w:val="0"/>
        <w:spacing w:before="200" w:after="283"/>
        <w:jc w:val="both"/>
        <w:rPr>
          <w:rFonts w:ascii="Arial" w:hAnsi="Arial"/>
          <w:b/>
          <w:color w:val="000000"/>
          <w:sz w:val="18"/>
        </w:rPr>
      </w:pPr>
      <w:r>
        <w:rPr>
          <w:rFonts w:ascii="Arial" w:hAnsi="Arial"/>
          <w:b/>
          <w:color w:val="000000"/>
          <w:sz w:val="18"/>
        </w:rPr>
        <w:t>Intellectual Property Risks</w:t>
      </w:r>
    </w:p>
    <w:p>
      <w:pPr>
        <w:pStyle w:val="TextBody"/>
        <w:bidi w:val="0"/>
        <w:spacing w:before="200" w:after="283"/>
        <w:jc w:val="both"/>
        <w:rPr>
          <w:rFonts w:ascii="Arial" w:hAnsi="Arial"/>
          <w:b/>
          <w:i/>
          <w:color w:val="000000"/>
          <w:sz w:val="18"/>
        </w:rPr>
      </w:pPr>
      <w:r>
        <w:rPr>
          <w:rFonts w:ascii="Arial" w:hAnsi="Arial"/>
          <w:b/>
          <w:i/>
          <w:color w:val="000000"/>
          <w:sz w:val="18"/>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pStyle w:val="TextBody"/>
        <w:bidi w:val="0"/>
        <w:spacing w:before="200" w:after="283"/>
        <w:jc w:val="both"/>
        <w:rPr>
          <w:rFonts w:ascii="Times New Roman" w:hAnsi="Times New Roman"/>
          <w:sz w:val="20"/>
        </w:rPr>
      </w:pPr>
      <w:r>
        <w:rPr>
          <w:rFonts w:ascii="Arial" w:hAnsi="Arial"/>
          <w:color w:val="000000"/>
          <w:sz w:val="18"/>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testing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testing services or technologies could have been filed by third parties without our knowledge. Additionally, pending patent applications that have been published can, subject to certain limitations, be later amended in a manner that could cover our testing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testing services. Further, we may incorrectly determine that our technologies or services are not covered by a third-party patent or may incorrectly predict whether a third party’s pending patent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application will issue with claims of relevant scope. Our determination of the expiration date of any patent in the U.S. or abroad that we consider relevant may be incorrect, which may negatively impact our ability to develop and market our testing services.</w:t>
      </w:r>
    </w:p>
    <w:p>
      <w:pPr>
        <w:pStyle w:val="TextBody"/>
        <w:bidi w:val="0"/>
        <w:spacing w:before="200" w:after="283"/>
        <w:jc w:val="both"/>
        <w:rPr>
          <w:rFonts w:ascii="Arial" w:hAnsi="Arial"/>
          <w:color w:val="000000"/>
          <w:sz w:val="18"/>
        </w:rPr>
      </w:pPr>
      <w:r>
        <w:rPr>
          <w:rFonts w:ascii="Arial" w:hAnsi="Arial"/>
          <w:color w:val="000000"/>
          <w:sz w:val="18"/>
        </w:rPr>
        <w:t>Third-party intellectual property right holders may also actively bring infringement or other intellectual property-related claims against us, even if we have received patent protection for our technologies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bidi w:val="0"/>
        <w:spacing w:before="200" w:after="283"/>
        <w:jc w:val="both"/>
        <w:rPr>
          <w:rFonts w:ascii="Arial" w:hAnsi="Arial"/>
          <w:color w:val="000000"/>
          <w:sz w:val="18"/>
        </w:rPr>
      </w:pPr>
      <w:r>
        <w:rPr>
          <w:rFonts w:ascii="Arial" w:hAnsi="Arial"/>
          <w:color w:val="000000"/>
          <w:sz w:val="18"/>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testing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pStyle w:val="TextBody"/>
        <w:bidi w:val="0"/>
        <w:spacing w:before="200" w:after="283"/>
        <w:jc w:val="both"/>
        <w:rPr>
          <w:rFonts w:ascii="Arial" w:hAnsi="Arial"/>
          <w:color w:val="000000"/>
          <w:sz w:val="18"/>
        </w:rPr>
      </w:pPr>
      <w:r>
        <w:rPr>
          <w:rFonts w:ascii="Arial" w:hAnsi="Arial"/>
          <w:color w:val="000000"/>
          <w:sz w:val="18"/>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pStyle w:val="TextBody"/>
        <w:bidi w:val="0"/>
        <w:spacing w:before="200" w:after="283"/>
        <w:jc w:val="both"/>
        <w:rPr>
          <w:rFonts w:ascii="Arial" w:hAnsi="Arial"/>
          <w:b/>
          <w:i/>
          <w:color w:val="000000"/>
          <w:sz w:val="18"/>
        </w:rPr>
      </w:pPr>
      <w:r>
        <w:rPr>
          <w:rFonts w:ascii="Arial" w:hAnsi="Arial"/>
          <w:b/>
          <w:i/>
          <w:color w:val="000000"/>
          <w:sz w:val="18"/>
        </w:rPr>
        <w:t>If we cannot license rights to use technologies on reasonable terms, we may not be able to commercialize new services in the future.</w:t>
      </w:r>
    </w:p>
    <w:p>
      <w:pPr>
        <w:pStyle w:val="TextBody"/>
        <w:bidi w:val="0"/>
        <w:spacing w:before="200" w:after="283"/>
        <w:jc w:val="both"/>
        <w:rPr>
          <w:rFonts w:ascii="Arial" w:hAnsi="Arial"/>
          <w:color w:val="000000"/>
          <w:sz w:val="18"/>
        </w:rPr>
      </w:pPr>
      <w:r>
        <w:rPr>
          <w:rFonts w:ascii="Arial" w:hAnsi="Arial"/>
          <w:color w:val="000000"/>
          <w:sz w:val="18"/>
        </w:rPr>
        <w:t>In the future, we may identify additional third-party intellectual property we may need to license in order to engage in our business, including to develop or commercialize new services. However, such licenses may not be available on acceptable terms, or at all. Even if such licenses are available, we may be required to pay the licensor substantial royalties based on sales of our testing services. Such royalties are a component of the cost of our testing services and may affect the margins on our testing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pStyle w:val="TextBody"/>
        <w:bidi w:val="0"/>
        <w:spacing w:before="200" w:after="283"/>
        <w:jc w:val="both"/>
        <w:rPr>
          <w:rFonts w:ascii="Arial" w:hAnsi="Arial"/>
          <w:color w:val="000000"/>
          <w:sz w:val="18"/>
        </w:rPr>
      </w:pPr>
      <w:r>
        <w:rPr>
          <w:rFonts w:ascii="Arial" w:hAnsi="Arial"/>
          <w:color w:val="000000"/>
          <w:sz w:val="18"/>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pStyle w:val="TextBody"/>
        <w:bidi w:val="0"/>
        <w:spacing w:before="200" w:after="283"/>
        <w:jc w:val="both"/>
        <w:rPr>
          <w:rFonts w:ascii="Arial" w:hAnsi="Arial"/>
          <w:b/>
          <w:i/>
          <w:color w:val="000000"/>
          <w:sz w:val="18"/>
        </w:rPr>
      </w:pPr>
      <w:r>
        <w:rPr>
          <w:rFonts w:ascii="Arial" w:hAnsi="Arial"/>
          <w:b/>
          <w:i/>
          <w:color w:val="000000"/>
          <w:sz w:val="18"/>
        </w:rPr>
        <w:t>Developments or uncertainty in the patent statute, patent case law, or U.S. Patent and Trademark Office (“USPTO”), rules and regulations may impact the validity, scope or enforceability of our patent rights, thereby impairing our ability to protect our testing services.</w:t>
      </w:r>
    </w:p>
    <w:p>
      <w:pPr>
        <w:pStyle w:val="TextBody"/>
        <w:bidi w:val="0"/>
        <w:spacing w:before="200" w:after="283"/>
        <w:jc w:val="both"/>
        <w:rPr>
          <w:rFonts w:ascii="Arial" w:hAnsi="Arial"/>
          <w:color w:val="000000"/>
          <w:sz w:val="18"/>
        </w:rPr>
      </w:pPr>
      <w:r>
        <w:rPr>
          <w:rFonts w:ascii="Arial" w:hAnsi="Arial"/>
          <w:color w:val="000000"/>
          <w:sz w:val="18"/>
        </w:rPr>
        <w:t>Our patent rights, their associated costs, and the enforcement or defense of such patent rights may be affected by developments or uncertainty in the patent statute, patent case law, or USPTO rules and regulations.</w:t>
      </w:r>
    </w:p>
    <w:p>
      <w:pPr>
        <w:pStyle w:val="TextBody"/>
        <w:bidi w:val="0"/>
        <w:spacing w:before="240" w:after="283"/>
        <w:jc w:val="center"/>
        <w:rPr>
          <w:rFonts w:ascii="Arial" w:hAnsi="Arial"/>
          <w:color w:val="000000"/>
          <w:sz w:val="18"/>
        </w:rPr>
      </w:pPr>
      <w:r>
        <w:rPr>
          <w:rFonts w:ascii="Arial" w:hAnsi="Arial"/>
          <w:color w:val="000000"/>
          <w:sz w:val="18"/>
        </w:rPr>
        <w:t>67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and services. While we will endeavor to try to protect our technologies, and services with intellectual property rights such as patents, as appropriate, the process of obtaining patents is time-consuming, expensive, and sometimes unpredictable.</w:t>
      </w:r>
    </w:p>
    <w:p>
      <w:pPr>
        <w:pStyle w:val="TextBody"/>
        <w:bidi w:val="0"/>
        <w:spacing w:before="200" w:after="283"/>
        <w:jc w:val="both"/>
        <w:rPr>
          <w:rFonts w:ascii="Arial" w:hAnsi="Arial"/>
          <w:color w:val="000000"/>
          <w:sz w:val="18"/>
        </w:rPr>
      </w:pPr>
      <w:r>
        <w:rPr>
          <w:rFonts w:ascii="Arial" w:hAnsi="Arial"/>
          <w:color w:val="000000"/>
          <w:sz w:val="18"/>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pStyle w:val="TextBody"/>
        <w:bidi w:val="0"/>
        <w:spacing w:before="200" w:after="283"/>
        <w:jc w:val="both"/>
        <w:rPr>
          <w:rFonts w:ascii="Arial" w:hAnsi="Arial"/>
          <w:b/>
          <w:i/>
          <w:color w:val="000000"/>
          <w:sz w:val="18"/>
        </w:rPr>
      </w:pPr>
      <w:r>
        <w:rPr>
          <w:rFonts w:ascii="Arial" w:hAnsi="Arial"/>
          <w:b/>
          <w:i/>
          <w:color w:val="000000"/>
          <w:sz w:val="18"/>
        </w:rPr>
        <w:t>Patent terms may be inadequate to protect our competitive position for an adequate amount of time. *</w:t>
      </w:r>
    </w:p>
    <w:p>
      <w:pPr>
        <w:pStyle w:val="TextBody"/>
        <w:bidi w:val="0"/>
        <w:spacing w:before="200" w:after="283"/>
        <w:jc w:val="both"/>
        <w:rPr>
          <w:rFonts w:ascii="Arial" w:hAnsi="Arial"/>
          <w:color w:val="000000"/>
          <w:sz w:val="18"/>
        </w:rPr>
      </w:pPr>
      <w:r>
        <w:rPr>
          <w:rFonts w:ascii="Arial" w:hAnsi="Arial"/>
          <w:color w:val="000000"/>
          <w:sz w:val="18"/>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and services are obtained, once the patent life has expired, we may be open to competition from competitive services. Our issued patents will expire on dates ranging from 2033 to 2042, subject to any patent extensions that may be available for such patents. If patents are issued on our pending patent applications, the resulting patents are projected to expire on dates ranging from 2033 to 2045.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pStyle w:val="TextBody"/>
        <w:bidi w:val="0"/>
        <w:spacing w:before="200" w:after="283"/>
        <w:jc w:val="both"/>
        <w:rPr>
          <w:rFonts w:ascii="Arial" w:hAnsi="Arial"/>
          <w:b/>
          <w:i/>
          <w:color w:val="000000"/>
          <w:sz w:val="18"/>
        </w:rPr>
      </w:pPr>
      <w:r>
        <w:rPr>
          <w:rFonts w:ascii="Arial" w:hAnsi="Arial"/>
          <w:b/>
          <w:i/>
          <w:color w:val="000000"/>
          <w:sz w:val="18"/>
        </w:rPr>
        <w:t>If we are not able to obtain and enforce patent protection for any services we develop and for our technologies, or if the scope of patent protection obtained is not sufficiently broad, our competitors and other third parties could develop and commercialize services and technology similar or identical to ours, and our ability to successfully commercialize our testing services, and technologies may be adversely affected.</w:t>
      </w:r>
    </w:p>
    <w:p>
      <w:pPr>
        <w:pStyle w:val="TextBody"/>
        <w:bidi w:val="0"/>
        <w:spacing w:before="200" w:after="283"/>
        <w:jc w:val="both"/>
        <w:rPr>
          <w:rFonts w:ascii="Arial" w:hAnsi="Arial"/>
          <w:color w:val="000000"/>
          <w:sz w:val="18"/>
        </w:rPr>
      </w:pPr>
      <w:r>
        <w:rPr>
          <w:rFonts w:ascii="Arial" w:hAnsi="Arial"/>
          <w:color w:val="000000"/>
          <w:sz w:val="18"/>
        </w:rPr>
        <w:t>We have applied, and we intend to continue applying, for patents covering such aspects of our technologies as we deem appropriate. However, the patent process is expensive, time consuming, and complex, and we may choose not to, or we may not be able to, apply for patents on certain aspects of our testing services and other technologies in a timely fashion, at a reasonable cost, in all jurisdictions or at all, and any potential patent coverage we obtain may not be sufficient to prevent substantial competition.</w:t>
      </w:r>
    </w:p>
    <w:p>
      <w:pPr>
        <w:pStyle w:val="TextBody"/>
        <w:bidi w:val="0"/>
        <w:spacing w:before="200" w:after="283"/>
        <w:jc w:val="both"/>
        <w:rPr>
          <w:rFonts w:ascii="Arial" w:hAnsi="Arial"/>
          <w:color w:val="000000"/>
          <w:sz w:val="18"/>
        </w:rPr>
      </w:pPr>
      <w:r>
        <w:rPr>
          <w:rFonts w:ascii="Arial" w:hAnsi="Arial"/>
          <w:color w:val="000000"/>
          <w:sz w:val="18"/>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pStyle w:val="TextBody"/>
        <w:bidi w:val="0"/>
        <w:spacing w:before="200" w:after="283"/>
        <w:jc w:val="both"/>
        <w:rPr>
          <w:rFonts w:ascii="Arial" w:hAnsi="Arial"/>
          <w:color w:val="000000"/>
          <w:sz w:val="18"/>
        </w:rPr>
      </w:pPr>
      <w:r>
        <w:rPr>
          <w:rFonts w:ascii="Arial" w:hAnsi="Arial"/>
          <w:color w:val="000000"/>
          <w:sz w:val="18"/>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testing services, and other technologies or to provide meaningful protection from our competitors. Consequently, we do not know whether any of our platform advances, services, and other technologies will be protectable or remain protected by valid and enforceable patents. Our competitors or other third parties may be able to circumvent our patents by developing similar or alternative technologies, or services in a non-infringing manner.</w:t>
      </w:r>
    </w:p>
    <w:p>
      <w:pPr>
        <w:pStyle w:val="TextBody"/>
        <w:bidi w:val="0"/>
        <w:spacing w:before="200" w:after="283"/>
        <w:jc w:val="both"/>
        <w:rPr>
          <w:rFonts w:ascii="Arial" w:hAnsi="Arial"/>
          <w:color w:val="000000"/>
          <w:sz w:val="18"/>
        </w:rPr>
      </w:pPr>
      <w:r>
        <w:rPr>
          <w:rFonts w:ascii="Arial" w:hAnsi="Arial"/>
          <w:color w:val="000000"/>
          <w:sz w:val="18"/>
        </w:rPr>
        <w:t>Even if they are unchallenged, our patents and patent applications may not adequately protect our intellectual property, provide exclusivity for our technologies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pStyle w:val="TextBody"/>
        <w:bidi w:val="0"/>
        <w:spacing w:before="240" w:after="283"/>
        <w:jc w:val="center"/>
        <w:rPr>
          <w:rFonts w:ascii="Arial" w:hAnsi="Arial"/>
          <w:color w:val="000000"/>
          <w:sz w:val="18"/>
        </w:rPr>
      </w:pPr>
      <w:r>
        <w:rPr>
          <w:rFonts w:ascii="Arial" w:hAnsi="Arial"/>
          <w:color w:val="000000"/>
          <w:sz w:val="18"/>
        </w:rPr>
        <w:t>68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 xml:space="preserve">Once granted, patents may remain open to opposition, interference, re-examination, post-grant review, </w:t>
      </w:r>
      <w:r>
        <w:rPr>
          <w:rFonts w:ascii="Arial" w:hAnsi="Arial"/>
          <w:i/>
          <w:color w:val="000000"/>
          <w:sz w:val="18"/>
        </w:rPr>
        <w:t xml:space="preserve">inter partes </w:t>
      </w:r>
      <w:r>
        <w:rPr>
          <w:rFonts w:ascii="Arial" w:hAnsi="Arial"/>
          <w:color w:val="000000"/>
          <w:sz w:val="18"/>
        </w:rPr>
        <w:t>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and compete directly with us, without payment to us, or result in our inability to commercialize our testing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services, or technologies. In addition, there can be no assurance that: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others will not or may not be able to make, use, offer to sell, or sell tests that are the same as or similar to our testing services but that are not covered by the claims of the patents that we own or license;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or our future licensors or collaborators are the first to make the inventions covered by each of our issued patents and pending patent applications that we own or license;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or our future licensors or collaborators are the first to file patent applications covering certain aspects of our inventions;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others will not independently develop similar or alternative technologies or duplicate any of our technologies without infringing our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 third party may not challenge our patents and, if challenged, a court would hold that our patents are valid, enforceable, and infringed;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issued patents that we own or may license will provide us with any competitive advantages, or will not be challenged by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may develop or in-license additional proprietary technologies that are patentable;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pending patent applications that we own or may license will lead to issued patents;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patents of others will not have a material or adverse effect on our business, financial condition, results of operations, and prospects;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pStyle w:val="TextBody"/>
        <w:bidi w:val="0"/>
        <w:spacing w:before="200" w:after="283"/>
        <w:jc w:val="both"/>
        <w:rPr>
          <w:rFonts w:ascii="Times New Roman" w:hAnsi="Times New Roman"/>
          <w:sz w:val="20"/>
        </w:rPr>
      </w:pPr>
      <w:r>
        <w:rPr>
          <w:rFonts w:ascii="Arial" w:hAnsi="Arial"/>
          <w:color w:val="000000"/>
          <w:sz w:val="18"/>
        </w:rPr>
        <w:t xml:space="preserve">The issuance of a patent is not conclusive as to its inventorship, scope, validity, or enforceability. Some of our patents or patent applications have been challenged or may be challenged at a future point in time in opposition, derivation, reexamination, </w:t>
      </w:r>
      <w:r>
        <w:rPr>
          <w:rFonts w:ascii="Arial" w:hAnsi="Arial"/>
          <w:i/>
          <w:color w:val="000000"/>
          <w:sz w:val="18"/>
        </w:rPr>
        <w:t xml:space="preserve">inter partes </w:t>
      </w:r>
      <w:r>
        <w:rPr>
          <w:rFonts w:ascii="Arial" w:hAnsi="Arial"/>
          <w:color w:val="000000"/>
          <w:sz w:val="18"/>
        </w:rPr>
        <w:t>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pStyle w:val="TextBody"/>
        <w:bidi w:val="0"/>
        <w:spacing w:before="200" w:after="283"/>
        <w:jc w:val="both"/>
        <w:rPr>
          <w:rFonts w:ascii="Arial" w:hAnsi="Arial"/>
          <w:color w:val="000000"/>
          <w:sz w:val="18"/>
        </w:rPr>
      </w:pPr>
      <w:r>
        <w:rPr>
          <w:rFonts w:ascii="Arial" w:hAnsi="Arial"/>
          <w:color w:val="000000"/>
          <w:sz w:val="18"/>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200" w:after="283"/>
        <w:jc w:val="both"/>
        <w:rPr>
          <w:rFonts w:ascii="Times New Roman" w:hAnsi="Times New Roman"/>
          <w:sz w:val="20"/>
        </w:rPr>
      </w:pPr>
      <w:r>
        <w:rPr>
          <w:rFonts w:ascii="Arial" w:hAnsi="Arial"/>
          <w:color w:val="000000"/>
          <w:sz w:val="18"/>
        </w:rPr>
        <w:t>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 xml:space="preserve">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and may in the future participate, in interference proceedings, derivation proceedings, </w:t>
      </w:r>
      <w:r>
        <w:rPr>
          <w:rFonts w:ascii="Arial" w:hAnsi="Arial"/>
          <w:i/>
          <w:color w:val="000000"/>
          <w:sz w:val="18"/>
        </w:rPr>
        <w:t xml:space="preserve">inter partes </w:t>
      </w:r>
      <w:r>
        <w:rPr>
          <w:rFonts w:ascii="Arial" w:hAnsi="Arial"/>
          <w:color w:val="000000"/>
          <w:sz w:val="18"/>
        </w:rPr>
        <w:t xml:space="preserve">review proceedings, or other post-grant proceedings declared by the USPTO or a foreign patent office that have resulted, and could in the future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 xml:space="preserve">review proceedings, providing additional methods for others to challenge our patents. For example, two of our patents were recently challenged and subsequently invalidated during </w:t>
      </w:r>
      <w:r>
        <w:rPr>
          <w:rFonts w:ascii="Arial" w:hAnsi="Arial"/>
          <w:i/>
          <w:color w:val="000000"/>
          <w:sz w:val="18"/>
        </w:rPr>
        <w:t xml:space="preserve">inter partes </w:t>
      </w:r>
      <w:r>
        <w:rPr>
          <w:rFonts w:ascii="Arial" w:hAnsi="Arial"/>
          <w:color w:val="000000"/>
          <w:sz w:val="18"/>
        </w:rPr>
        <w:t>reviews initiated by Foresight.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pStyle w:val="TextBody"/>
        <w:bidi w:val="0"/>
        <w:spacing w:before="200" w:after="283"/>
        <w:jc w:val="both"/>
        <w:rPr>
          <w:rFonts w:ascii="Arial" w:hAnsi="Arial"/>
          <w:b/>
          <w:i/>
          <w:color w:val="000000"/>
          <w:sz w:val="18"/>
        </w:rPr>
      </w:pPr>
      <w:r>
        <w:rPr>
          <w:rFonts w:ascii="Arial" w:hAnsi="Arial"/>
          <w:b/>
          <w:i/>
          <w:color w:val="000000"/>
          <w:sz w:val="18"/>
        </w:rPr>
        <w:t>We have in the past been involved in legal proceedings to enforce our intellectual property rights and may in the future become involved in other lawsuits to protect or enforce our patents or other intellectual property, which could be expensive, time consuming, and unsuccessful.</w:t>
      </w:r>
    </w:p>
    <w:p>
      <w:pPr>
        <w:pStyle w:val="TextBody"/>
        <w:bidi w:val="0"/>
        <w:spacing w:before="200" w:after="283"/>
        <w:jc w:val="both"/>
        <w:rPr>
          <w:rFonts w:ascii="Times New Roman" w:hAnsi="Times New Roman"/>
          <w:sz w:val="20"/>
        </w:rPr>
      </w:pPr>
      <w:r>
        <w:rPr>
          <w:rFonts w:ascii="Arial" w:hAnsi="Arial"/>
          <w:color w:val="000000"/>
          <w:sz w:val="18"/>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the past we filed complaints against Foresight for infringement of certain of our patents relating to detection of MRD, which complaints we agreed to stipulate to dismiss, pursuant to a settlement agreement with Foresight in June 2024.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testing services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(e.g., opposition proceedings). Such proceedings could result in revocation or amendment to our patents in such a way that they no longer cover our testing services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For example, two of our patents were recently challenged and subsequently invalidated during </w:t>
      </w:r>
      <w:r>
        <w:rPr>
          <w:rFonts w:ascii="Arial" w:hAnsi="Arial"/>
          <w:i/>
          <w:color w:val="000000"/>
          <w:sz w:val="18"/>
        </w:rPr>
        <w:t xml:space="preserve">inter partes </w:t>
      </w:r>
      <w:r>
        <w:rPr>
          <w:rFonts w:ascii="Arial" w:hAnsi="Arial"/>
          <w:color w:val="000000"/>
          <w:sz w:val="18"/>
        </w:rPr>
        <w:t>reviews initiated by Foresight.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200" w:after="283"/>
        <w:jc w:val="both"/>
        <w:rPr>
          <w:rFonts w:ascii="Arial" w:hAnsi="Arial"/>
          <w:color w:val="000000"/>
          <w:sz w:val="18"/>
        </w:rPr>
      </w:pPr>
      <w:r>
        <w:rPr>
          <w:rFonts w:ascii="Arial" w:hAnsi="Arial"/>
          <w:color w:val="000000"/>
          <w:sz w:val="18"/>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200" w:after="283"/>
        <w:jc w:val="both"/>
        <w:rPr>
          <w:rFonts w:ascii="Times New Roman" w:hAnsi="Times New Roman"/>
          <w:sz w:val="20"/>
        </w:rPr>
      </w:pPr>
      <w:r>
        <w:rPr>
          <w:rFonts w:ascii="Arial" w:hAnsi="Arial"/>
          <w:b/>
          <w:i/>
          <w:color w:val="000000"/>
          <w:sz w:val="18"/>
        </w:rPr>
        <w:t>If we are unable to protect the confidentiality of our trade secrets and know-how, our business and competitive position would be harmed</w:t>
      </w:r>
      <w:r>
        <w:rPr>
          <w:rFonts w:ascii="Arial" w:hAnsi="Arial"/>
          <w:b/>
          <w:color w:val="000000"/>
          <w:sz w:val="18"/>
        </w:rPr>
        <w:t>.</w:t>
      </w:r>
    </w:p>
    <w:p>
      <w:pPr>
        <w:pStyle w:val="TextBody"/>
        <w:bidi w:val="0"/>
        <w:spacing w:before="200" w:after="283"/>
        <w:jc w:val="both"/>
        <w:rPr>
          <w:rFonts w:ascii="Times New Roman" w:hAnsi="Times New Roman"/>
          <w:sz w:val="20"/>
        </w:rPr>
      </w:pPr>
      <w:r>
        <w:rPr>
          <w:rFonts w:ascii="Arial" w:hAnsi="Arial"/>
          <w:color w:val="000000"/>
          <w:sz w:val="18"/>
        </w:rPr>
        <w:t>We seek protection for certain aspects of our technologies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70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pStyle w:val="TextBody"/>
        <w:bidi w:val="0"/>
        <w:spacing w:before="200" w:after="283"/>
        <w:jc w:val="both"/>
        <w:rPr>
          <w:rFonts w:ascii="Arial" w:hAnsi="Arial"/>
          <w:color w:val="000000"/>
          <w:sz w:val="18"/>
        </w:rPr>
      </w:pPr>
      <w:r>
        <w:rPr>
          <w:rFonts w:ascii="Arial" w:hAnsi="Arial"/>
          <w:color w:val="000000"/>
          <w:sz w:val="18"/>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pStyle w:val="TextBody"/>
        <w:bidi w:val="0"/>
        <w:spacing w:before="200" w:after="283"/>
        <w:jc w:val="both"/>
        <w:rPr>
          <w:rFonts w:ascii="Arial" w:hAnsi="Arial"/>
          <w:color w:val="000000"/>
          <w:sz w:val="18"/>
        </w:rPr>
      </w:pPr>
      <w:r>
        <w:rPr>
          <w:rFonts w:ascii="Arial" w:hAnsi="Arial"/>
          <w:color w:val="000000"/>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provision of our testing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pStyle w:val="TextBody"/>
        <w:bidi w:val="0"/>
        <w:spacing w:before="200" w:after="283"/>
        <w:jc w:val="both"/>
        <w:rPr>
          <w:rFonts w:ascii="Arial" w:hAnsi="Arial"/>
          <w:color w:val="000000"/>
          <w:sz w:val="18"/>
        </w:rPr>
      </w:pPr>
      <w:r>
        <w:rPr>
          <w:rFonts w:ascii="Arial" w:hAnsi="Arial"/>
          <w:color w:val="000000"/>
          <w:sz w:val="18"/>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pStyle w:val="TextBody"/>
        <w:bidi w:val="0"/>
        <w:spacing w:before="200" w:after="283"/>
        <w:jc w:val="both"/>
        <w:rPr>
          <w:rFonts w:ascii="Times New Roman" w:hAnsi="Times New Roman"/>
          <w:sz w:val="20"/>
        </w:rPr>
      </w:pPr>
      <w:r>
        <w:rPr>
          <w:rFonts w:ascii="Arial" w:hAnsi="Arial"/>
          <w:b/>
          <w:i/>
          <w:color w:val="000000"/>
          <w:sz w:val="18"/>
        </w:rPr>
        <w:t>We may not be able to enforce our intellectual property rights throughout the world</w:t>
      </w:r>
      <w:r>
        <w:rPr>
          <w:rFonts w:ascii="Arial" w:hAnsi="Arial"/>
          <w:b/>
          <w:color w:val="000000"/>
          <w:sz w:val="18"/>
        </w:rPr>
        <w:t>.</w:t>
      </w:r>
    </w:p>
    <w:p>
      <w:pPr>
        <w:pStyle w:val="TextBody"/>
        <w:bidi w:val="0"/>
        <w:spacing w:before="200" w:after="283"/>
        <w:jc w:val="both"/>
        <w:rPr>
          <w:rFonts w:ascii="Arial" w:hAnsi="Arial"/>
          <w:color w:val="000000"/>
          <w:sz w:val="18"/>
        </w:rPr>
      </w:pPr>
      <w:r>
        <w:rPr>
          <w:rFonts w:ascii="Arial" w:hAnsi="Arial"/>
          <w:color w:val="000000"/>
          <w:sz w:val="18"/>
        </w:rPr>
        <w:t>Filing, prosecuting, maintaining, defending, and enforcing patents on our testing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testing services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pStyle w:val="TextBody"/>
        <w:bidi w:val="0"/>
        <w:spacing w:before="200" w:after="283"/>
        <w:jc w:val="both"/>
        <w:rPr>
          <w:rFonts w:ascii="Arial" w:hAnsi="Arial"/>
          <w:color w:val="000000"/>
          <w:sz w:val="18"/>
        </w:rPr>
      </w:pPr>
      <w:r>
        <w:rPr>
          <w:rFonts w:ascii="Arial" w:hAnsi="Arial"/>
          <w:color w:val="000000"/>
          <w:sz w:val="18"/>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testing services and other technologies and the enforcement of intellectual property. Any of the foregoing could have a material adverse effect on our competitive position, business, financial condition, results of operations, and prospects.</w:t>
      </w:r>
    </w:p>
    <w:p>
      <w:pPr>
        <w:pStyle w:val="TextBody"/>
        <w:bidi w:val="0"/>
        <w:spacing w:before="240" w:after="283"/>
        <w:jc w:val="center"/>
        <w:rPr>
          <w:rFonts w:ascii="Arial" w:hAnsi="Arial"/>
          <w:color w:val="000000"/>
          <w:sz w:val="18"/>
        </w:rPr>
      </w:pPr>
      <w:r>
        <w:rPr>
          <w:rFonts w:ascii="Arial" w:hAnsi="Arial"/>
          <w:color w:val="000000"/>
          <w:sz w:val="18"/>
        </w:rPr>
        <w:t>71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00" w:after="283"/>
        <w:jc w:val="both"/>
        <w:rPr>
          <w:rFonts w:ascii="Arial" w:hAnsi="Arial"/>
          <w:color w:val="000000"/>
          <w:sz w:val="18"/>
        </w:rPr>
      </w:pPr>
      <w:r>
        <w:rPr>
          <w:rFonts w:ascii="Arial" w:hAnsi="Arial"/>
          <w:color w:val="000000"/>
          <w:sz w:val="18"/>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Third parties may assert that our employees or consultants have wrongfully used or disclosed confidential information or misappropriated trade secrets.</w:t>
      </w:r>
    </w:p>
    <w:p>
      <w:pPr>
        <w:pStyle w:val="TextBody"/>
        <w:bidi w:val="0"/>
        <w:spacing w:before="200" w:after="283"/>
        <w:jc w:val="both"/>
        <w:rPr>
          <w:rFonts w:ascii="Arial" w:hAnsi="Arial"/>
          <w:color w:val="000000"/>
          <w:sz w:val="18"/>
        </w:rPr>
      </w:pPr>
      <w:r>
        <w:rPr>
          <w:rFonts w:ascii="Arial" w:hAnsi="Arial"/>
          <w:color w:val="000000"/>
          <w:sz w:val="18"/>
        </w:rPr>
        <w:t>We employ individuals who were previously employed or otherwise engaged with universities or genetic testing, diagnostic or other healthcare companies, including our competitors or potential competitors.</w:t>
      </w:r>
    </w:p>
    <w:p>
      <w:pPr>
        <w:pStyle w:val="TextBody"/>
        <w:bidi w:val="0"/>
        <w:spacing w:before="200" w:after="283"/>
        <w:jc w:val="both"/>
        <w:rPr>
          <w:rFonts w:ascii="Arial" w:hAnsi="Arial"/>
          <w:color w:val="000000"/>
          <w:sz w:val="18"/>
        </w:rPr>
      </w:pPr>
      <w:r>
        <w:rPr>
          <w:rFonts w:ascii="Arial" w:hAnsi="Arial"/>
          <w:color w:val="000000"/>
          <w:sz w:val="18"/>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pStyle w:val="TextBody"/>
        <w:bidi w:val="0"/>
        <w:spacing w:before="200" w:after="283"/>
        <w:jc w:val="both"/>
        <w:rPr>
          <w:rFonts w:ascii="Arial" w:hAnsi="Arial"/>
          <w:color w:val="000000"/>
          <w:sz w:val="18"/>
        </w:rPr>
      </w:pPr>
      <w:r>
        <w:rPr>
          <w:rFonts w:ascii="Arial" w:hAnsi="Arial"/>
          <w:color w:val="000000"/>
          <w:sz w:val="18"/>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Our use of “open source” software could subject our proprietary software to general release, adversely affect our ability to sell our testing services, and subject us to possible litigation.</w:t>
      </w:r>
    </w:p>
    <w:p>
      <w:pPr>
        <w:pStyle w:val="TextBody"/>
        <w:bidi w:val="0"/>
        <w:spacing w:before="200" w:after="283"/>
        <w:jc w:val="both"/>
        <w:rPr>
          <w:rFonts w:ascii="Arial" w:hAnsi="Arial"/>
          <w:color w:val="000000"/>
          <w:sz w:val="18"/>
        </w:rPr>
      </w:pPr>
      <w:r>
        <w:rPr>
          <w:rFonts w:ascii="Arial" w:hAnsi="Arial"/>
          <w:color w:val="000000"/>
          <w:sz w:val="18"/>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technologies or provide our testing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testing services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provision of our testing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pStyle w:val="TextBody"/>
        <w:bidi w:val="0"/>
        <w:spacing w:before="240" w:after="283"/>
        <w:jc w:val="center"/>
        <w:rPr>
          <w:rFonts w:ascii="Arial" w:hAnsi="Arial"/>
          <w:color w:val="000000"/>
          <w:sz w:val="18"/>
        </w:rPr>
      </w:pPr>
      <w:r>
        <w:rPr>
          <w:rFonts w:ascii="Arial" w:hAnsi="Arial"/>
          <w:color w:val="000000"/>
          <w:sz w:val="18"/>
        </w:rPr>
        <w:t>72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If we fail to comply with our obligations under license or technology agreements with third parties, we may be required to pay damages and we could lose license rights that are critical to our business.</w:t>
      </w:r>
    </w:p>
    <w:p>
      <w:pPr>
        <w:pStyle w:val="TextBody"/>
        <w:bidi w:val="0"/>
        <w:spacing w:before="200" w:after="283"/>
        <w:jc w:val="both"/>
        <w:rPr>
          <w:rFonts w:ascii="Arial" w:hAnsi="Arial"/>
          <w:color w:val="000000"/>
          <w:sz w:val="18"/>
        </w:rPr>
      </w:pPr>
      <w:r>
        <w:rPr>
          <w:rFonts w:ascii="Arial" w:hAnsi="Arial"/>
          <w:color w:val="000000"/>
          <w:sz w:val="18"/>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testing services, or inhibit our ability to commercialize future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before="200" w:after="283"/>
        <w:jc w:val="both"/>
        <w:rPr>
          <w:rFonts w:ascii="Arial" w:hAnsi="Arial"/>
          <w:b/>
          <w:i/>
          <w:color w:val="000000"/>
          <w:sz w:val="18"/>
        </w:rPr>
      </w:pPr>
      <w:r>
        <w:rPr>
          <w:rFonts w:ascii="Arial" w:hAnsi="Arial"/>
          <w:b/>
          <w:i/>
          <w:color w:val="000000"/>
          <w:sz w:val="18"/>
        </w:rPr>
        <w:t>We may be subject to claims challenging the inventorship of our patents and other intellectual property.</w:t>
      </w:r>
    </w:p>
    <w:p>
      <w:pPr>
        <w:pStyle w:val="TextBody"/>
        <w:bidi w:val="0"/>
        <w:spacing w:before="200" w:after="283"/>
        <w:jc w:val="both"/>
        <w:rPr>
          <w:rFonts w:ascii="Arial" w:hAnsi="Arial"/>
          <w:color w:val="000000"/>
          <w:sz w:val="18"/>
        </w:rPr>
      </w:pPr>
      <w:r>
        <w:rPr>
          <w:rFonts w:ascii="Arial" w:hAnsi="Arial"/>
          <w:color w:val="000000"/>
          <w:sz w:val="18"/>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testing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testing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200" w:after="283"/>
        <w:jc w:val="both"/>
        <w:rPr>
          <w:rFonts w:ascii="Arial" w:hAnsi="Arial"/>
          <w:color w:val="000000"/>
          <w:sz w:val="18"/>
        </w:rPr>
      </w:pPr>
      <w:r>
        <w:rPr>
          <w:rFonts w:ascii="Arial" w:hAnsi="Arial"/>
          <w:color w:val="000000"/>
          <w:sz w:val="18"/>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pStyle w:val="TextBody"/>
        <w:bidi w:val="0"/>
        <w:spacing w:before="200" w:after="283"/>
        <w:jc w:val="both"/>
        <w:rPr>
          <w:rFonts w:ascii="Arial" w:hAnsi="Arial"/>
          <w:b/>
          <w:color w:val="000000"/>
          <w:sz w:val="18"/>
        </w:rPr>
      </w:pPr>
      <w:r>
        <w:rPr>
          <w:rFonts w:ascii="Arial" w:hAnsi="Arial"/>
          <w:b/>
          <w:color w:val="000000"/>
          <w:sz w:val="18"/>
        </w:rPr>
        <w:t>Financial and Market Risks and Risks Related to Owning Our Common Stock</w:t>
      </w:r>
    </w:p>
    <w:p>
      <w:pPr>
        <w:pStyle w:val="TextBody"/>
        <w:bidi w:val="0"/>
        <w:spacing w:before="200" w:after="283"/>
        <w:jc w:val="both"/>
        <w:rPr>
          <w:rFonts w:ascii="Arial" w:hAnsi="Arial"/>
          <w:b/>
          <w:i/>
          <w:color w:val="000000"/>
          <w:sz w:val="18"/>
        </w:rPr>
      </w:pPr>
      <w:r>
        <w:rPr>
          <w:rFonts w:ascii="Arial" w:hAnsi="Arial"/>
          <w:b/>
          <w:i/>
          <w:color w:val="000000"/>
          <w:sz w:val="18"/>
        </w:rPr>
        <w:t>Our inability to raise additional capital on acceptable terms in the future may limit our ability to continue to operate our business and further expand our operations. *</w:t>
      </w:r>
    </w:p>
    <w:p>
      <w:pPr>
        <w:pStyle w:val="TextBody"/>
        <w:bidi w:val="0"/>
        <w:spacing w:before="200" w:after="283"/>
        <w:jc w:val="both"/>
        <w:rPr>
          <w:rFonts w:ascii="Arial" w:hAnsi="Arial"/>
          <w:color w:val="000000"/>
          <w:sz w:val="18"/>
        </w:rPr>
      </w:pPr>
      <w:r>
        <w:rPr>
          <w:rFonts w:ascii="Arial" w:hAnsi="Arial"/>
          <w:color w:val="000000"/>
          <w:sz w:val="18"/>
        </w:rPr>
        <w:t>We may seek to raise additional capital through equity offerings, debt financings, collaborations, or licensing arrangements to continue executing on our long-term business plan. Additional funding may not be available to us on acceptable terms, or at all.</w:t>
      </w:r>
    </w:p>
    <w:p>
      <w:pPr>
        <w:pStyle w:val="TextBody"/>
        <w:bidi w:val="0"/>
        <w:spacing w:before="200" w:after="283"/>
        <w:jc w:val="both"/>
        <w:rPr>
          <w:rFonts w:ascii="Arial" w:hAnsi="Arial"/>
          <w:color w:val="000000"/>
          <w:sz w:val="18"/>
        </w:rPr>
      </w:pPr>
      <w:r>
        <w:rPr>
          <w:rFonts w:ascii="Arial" w:hAnsi="Arial"/>
          <w:color w:val="000000"/>
          <w:sz w:val="18"/>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pStyle w:val="TextBody"/>
        <w:bidi w:val="0"/>
        <w:spacing w:before="240" w:after="283"/>
        <w:jc w:val="center"/>
        <w:rPr>
          <w:rFonts w:ascii="Arial" w:hAnsi="Arial"/>
          <w:color w:val="000000"/>
          <w:sz w:val="18"/>
        </w:rPr>
      </w:pPr>
      <w:r>
        <w:rPr>
          <w:rFonts w:ascii="Arial" w:hAnsi="Arial"/>
          <w:color w:val="000000"/>
          <w:sz w:val="18"/>
        </w:rPr>
        <w:t>73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and government shutdowns.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pStyle w:val="TextBody"/>
        <w:bidi w:val="0"/>
        <w:spacing w:before="200" w:after="283"/>
        <w:jc w:val="both"/>
        <w:rPr>
          <w:rFonts w:ascii="Arial" w:hAnsi="Arial"/>
          <w:b/>
          <w:i/>
          <w:color w:val="000000"/>
          <w:sz w:val="18"/>
        </w:rPr>
      </w:pPr>
      <w:r>
        <w:rPr>
          <w:rFonts w:ascii="Arial" w:hAnsi="Arial"/>
          <w:b/>
          <w:i/>
          <w:color w:val="000000"/>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200" w:after="283"/>
        <w:jc w:val="both"/>
        <w:rPr>
          <w:rFonts w:ascii="Arial" w:hAnsi="Arial"/>
          <w:color w:val="000000"/>
          <w:sz w:val="18"/>
        </w:rPr>
      </w:pPr>
      <w:r>
        <w:rPr>
          <w:rFonts w:ascii="Arial" w:hAnsi="Arial"/>
          <w:color w:val="000000"/>
          <w:sz w:val="18"/>
        </w:rPr>
        <w:t>The market price of our common stock may fluctuate or decline significantly in response to numerous factors, many of which are beyond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actual or anticipated fluctuations in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failure to meet or exceed financial estimates and projections of the investment community or that we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issuance of new or updated research reports by securities analysts or changed recommendations for our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competition from existing tests or new tests that may emerge;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announcements by us or our competitors relating to significant acquisitions, strategic partnerships, joint ventures, collaborations, capital commitments, or by or pertaining to our customers, particularly the VA MVP and Moderna as our largest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timing and amount of our investments in the growth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actual or anticipated changes in regulatory oversight of our business or issues we may face with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additions or departures of key management or other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inability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sales of our common stock by us or our stockholders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disputes or other developments related to our intellectual property or other matters, including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health epidemics or pandemics, geopolitical conflicts, inflation, global supply chain issues, regional or national economic slowdowns, recessions, depressions or other economic downturns;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other general economic, industry, and market conditions, including factors unrelated to our operating performance or the operating performance of our competitors.</w:t>
      </w:r>
    </w:p>
    <w:p>
      <w:pPr>
        <w:pStyle w:val="TextBody"/>
        <w:bidi w:val="0"/>
        <w:spacing w:before="200" w:after="283"/>
        <w:jc w:val="both"/>
        <w:rPr>
          <w:rFonts w:ascii="Arial" w:hAnsi="Arial"/>
          <w:color w:val="000000"/>
          <w:sz w:val="18"/>
        </w:rPr>
      </w:pPr>
      <w:r>
        <w:rPr>
          <w:rFonts w:ascii="Arial" w:hAnsi="Arial"/>
          <w:color w:val="000000"/>
          <w:sz w:val="18"/>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200" w:after="283"/>
        <w:jc w:val="both"/>
        <w:rPr>
          <w:rFonts w:ascii="Arial" w:hAnsi="Arial"/>
          <w:color w:val="000000"/>
          <w:sz w:val="18"/>
        </w:rPr>
      </w:pPr>
      <w:r>
        <w:rPr>
          <w:rFonts w:ascii="Arial" w:hAnsi="Arial"/>
          <w:color w:val="000000"/>
          <w:sz w:val="18"/>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240" w:after="283"/>
        <w:jc w:val="center"/>
        <w:rPr>
          <w:rFonts w:ascii="Arial" w:hAnsi="Arial"/>
          <w:color w:val="000000"/>
          <w:sz w:val="18"/>
        </w:rPr>
      </w:pPr>
      <w:r>
        <w:rPr>
          <w:rFonts w:ascii="Arial" w:hAnsi="Arial"/>
          <w:color w:val="000000"/>
          <w:sz w:val="18"/>
        </w:rPr>
        <w:t>74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Our quarterly results may fluctuate significantly, which could adversely impact the value of our common stock.</w:t>
      </w:r>
    </w:p>
    <w:p>
      <w:pPr>
        <w:pStyle w:val="TextBody"/>
        <w:bidi w:val="0"/>
        <w:spacing w:before="200" w:after="283"/>
        <w:jc w:val="both"/>
        <w:rPr>
          <w:rFonts w:ascii="Arial" w:hAnsi="Arial"/>
          <w:color w:val="000000"/>
          <w:sz w:val="18"/>
        </w:rPr>
      </w:pPr>
      <w:r>
        <w:rPr>
          <w:rFonts w:ascii="Arial" w:hAnsi="Arial"/>
          <w:color w:val="000000"/>
          <w:sz w:val="18"/>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most of our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pStyle w:val="TextBody"/>
        <w:bidi w:val="0"/>
        <w:spacing w:before="200" w:after="283"/>
        <w:jc w:val="both"/>
        <w:rPr>
          <w:rFonts w:ascii="Arial" w:hAnsi="Arial"/>
          <w:b/>
          <w:i/>
          <w:color w:val="000000"/>
          <w:sz w:val="18"/>
        </w:rPr>
      </w:pPr>
      <w:r>
        <w:rPr>
          <w:rFonts w:ascii="Arial" w:hAnsi="Arial"/>
          <w:b/>
          <w:i/>
          <w:color w:val="000000"/>
          <w:sz w:val="18"/>
        </w:rPr>
        <w:t>Unstable market, economic and geo-political conditions may have serious adverse consequences on our business, financial condition and stock price.</w:t>
      </w:r>
    </w:p>
    <w:p>
      <w:pPr>
        <w:pStyle w:val="TextBody"/>
        <w:bidi w:val="0"/>
        <w:spacing w:before="200" w:after="283"/>
        <w:jc w:val="both"/>
        <w:rPr>
          <w:rFonts w:ascii="Arial" w:hAnsi="Arial"/>
          <w:color w:val="000000"/>
          <w:sz w:val="18"/>
        </w:rPr>
      </w:pPr>
      <w:r>
        <w:rPr>
          <w:rFonts w:ascii="Arial" w:hAnsi="Arial"/>
          <w:color w:val="000000"/>
          <w:sz w:val="18"/>
        </w:rPr>
        <w:t>The global credit and financial markets have experienced extreme volatility and disruptions (including as a result of military conflicts, tariffs and recession concerns). These disruptions can result in severely diminished liquidity and credit availability, increases in inflation, declines in consumer confidence, declines in economic growth, swings in unemployment rates and uncertainty about economic stability. The financial markets and the global economy may also be adversely affected by the impact of tariffs, other restrictive trade policies, supply chain disruptions, labor shortages, fluctuations in currency exchange rates, changes in interest rates, military conflict, acts of terrorism, government shutdowns or other geopolitical events. Sanctions imposed, and other actions taken, by the United States and other countries in response to geopolitical conflicts, may also continue to adversely impact the financial markets and the global economy, and any economic countermeasures by the affected countries or others could exacerbate market and economic instability. Deterioration in credit and financial markets and confidence in economic conditions may continue. Our general business strategy may be adversely affected by any such economic downturn, volatile business environment, higher inflation, or continued unpredictable and unstable market conditions. If the current equity and credit markets continue to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00" w:after="283"/>
        <w:jc w:val="both"/>
        <w:rPr>
          <w:rFonts w:ascii="Arial" w:hAnsi="Arial"/>
          <w:color w:val="000000"/>
          <w:sz w:val="18"/>
        </w:rPr>
      </w:pPr>
      <w:r>
        <w:rPr>
          <w:rFonts w:ascii="Arial" w:hAnsi="Arial"/>
          <w:color w:val="000000"/>
          <w:sz w:val="18"/>
        </w:rPr>
        <w:t>Other international and geo-political events could also have a serious adverse impact on our business. While we cannot predict the broader consequences, geo-political conflicts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200" w:after="283"/>
        <w:jc w:val="both"/>
        <w:rPr>
          <w:rFonts w:ascii="Arial" w:hAnsi="Arial"/>
          <w:color w:val="000000"/>
          <w:sz w:val="18"/>
        </w:rPr>
      </w:pPr>
      <w:r>
        <w:rPr>
          <w:rFonts w:ascii="Arial" w:hAnsi="Arial"/>
          <w:color w:val="000000"/>
          <w:sz w:val="18"/>
        </w:rPr>
        <w:t>Moreover, our ability to provide our testing services is dependent on timely shipping of samples. Any disruption in shipping or significant increase in shipping rates and oil and fuel prices or other cost increases, including in connection with military conflicts, sanctions or tariffs, could have an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Adverse developments affecting the financial services industry could adversely affect our current and projected business operations and our financial condition and results of operations.</w:t>
      </w:r>
    </w:p>
    <w:p>
      <w:pPr>
        <w:pStyle w:val="TextBody"/>
        <w:bidi w:val="0"/>
        <w:spacing w:before="200" w:after="283"/>
        <w:jc w:val="both"/>
        <w:rPr>
          <w:rFonts w:ascii="Arial" w:hAnsi="Arial"/>
          <w:color w:val="000000"/>
          <w:sz w:val="18"/>
        </w:rPr>
      </w:pPr>
      <w:r>
        <w:rPr>
          <w:rFonts w:ascii="Arial" w:hAnsi="Arial"/>
          <w:color w:val="000000"/>
          <w:sz w:val="18"/>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w:t>
      </w:r>
    </w:p>
    <w:p>
      <w:pPr>
        <w:pStyle w:val="TextBody"/>
        <w:bidi w:val="0"/>
        <w:spacing w:before="200" w:after="283"/>
        <w:jc w:val="both"/>
        <w:rPr>
          <w:rFonts w:ascii="Times New Roman" w:hAnsi="Times New Roman"/>
          <w:sz w:val="20"/>
        </w:rPr>
      </w:pPr>
      <w:r>
        <w:rPr>
          <w:rFonts w:ascii="Arial" w:hAnsi="Arial"/>
          <w:color w:val="000000"/>
          <w:sz w:val="18"/>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75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assets; or termination of cash management arrangements and/or delays in accessing or actual loss of funds subject to cash management arrangements.</w:t>
      </w:r>
    </w:p>
    <w:p>
      <w:pPr>
        <w:pStyle w:val="TextBody"/>
        <w:bidi w:val="0"/>
        <w:spacing w:before="200" w:after="283"/>
        <w:jc w:val="both"/>
        <w:rPr>
          <w:rFonts w:ascii="Arial" w:hAnsi="Arial"/>
          <w:color w:val="000000"/>
          <w:sz w:val="18"/>
        </w:rPr>
      </w:pPr>
      <w:r>
        <w:rPr>
          <w:rFonts w:ascii="Arial" w:hAnsi="Arial"/>
          <w:color w:val="000000"/>
          <w:sz w:val="18"/>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We maintain our cash at financial institutions, often in balances that exceed federally insured limits.</w:t>
      </w:r>
    </w:p>
    <w:p>
      <w:pPr>
        <w:pStyle w:val="TextBody"/>
        <w:bidi w:val="0"/>
        <w:spacing w:before="200" w:after="283"/>
        <w:jc w:val="both"/>
        <w:rPr>
          <w:rFonts w:ascii="Arial" w:hAnsi="Arial"/>
          <w:color w:val="000000"/>
          <w:sz w:val="18"/>
        </w:rPr>
      </w:pPr>
      <w:r>
        <w:rPr>
          <w:rFonts w:ascii="Arial" w:hAnsi="Arial"/>
          <w:color w:val="000000"/>
          <w:sz w:val="18"/>
        </w:rPr>
        <w:t>We maintain the majority of our cash and cash equivalents in accounts at banking institutions in the U.S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200" w:after="283"/>
        <w:jc w:val="both"/>
        <w:rPr>
          <w:rFonts w:ascii="Arial" w:hAnsi="Arial"/>
          <w:b/>
          <w:i/>
          <w:color w:val="000000"/>
          <w:sz w:val="18"/>
        </w:rPr>
      </w:pPr>
      <w:r>
        <w:rPr>
          <w:rFonts w:ascii="Arial" w:hAnsi="Arial"/>
          <w:b/>
          <w:i/>
          <w:color w:val="000000"/>
          <w:sz w:val="18"/>
        </w:rPr>
        <w:t>Insiders or holders of greater than five percent of our outstanding common stock may exercise significant control over our company and will be able to influence corporate matters.*</w:t>
      </w:r>
    </w:p>
    <w:p>
      <w:pPr>
        <w:pStyle w:val="TextBody"/>
        <w:bidi w:val="0"/>
        <w:spacing w:before="200" w:after="160"/>
        <w:jc w:val="both"/>
        <w:rPr>
          <w:rFonts w:ascii="Arial" w:hAnsi="Arial"/>
          <w:color w:val="000000"/>
          <w:sz w:val="18"/>
        </w:rPr>
      </w:pPr>
      <w:r>
        <w:rPr>
          <w:rFonts w:ascii="Arial" w:hAnsi="Arial"/>
          <w:color w:val="000000"/>
          <w:sz w:val="18"/>
        </w:rPr>
        <w:t>Our directors, executive officers and their affiliates, and holders of greater than five percent of our outstanding common stock, if they were to act together, would be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 In November 2023, we entered into the Tempus Agreement (see Note 8 to our Consolidated Financial Statements included in this Form 10-Q for additional information), pursuant to which, Tempus agreed to certain voting commitments that require Tempus to vote the shares it acquired from exercising its warrants for our common stock in accordance with the recommendations of the majority of our board of directors with respect to director nominations for any meeting of our stockholders occurring on or before December 31, 2025, as well as various compensation-related matters. These voting commitments terminate when the parties’ exclusivity obligations expire or terminate under the Tempus Agreement. On July 20, 2026, we, Tempus, Aviary Development, Inc. (a wholly owned subsidiary of Tempus), and Toucan Development, LLC (a wholly owned subsidiary of Tempus) entered into a Merger Agreement (see Note 13, Subsequent Events, in Part 1, Item 1 of this Form 10-Q in our Consolidated Financial Statements for additional information). In addition, in December 2024, we entered into an Investment Agreement with Merck (see Note 8 to our Consolidated Financial Statements included in this Form 10-Q for additional information), pursuant to which Merck agreed to certain voting commitments that require Merck to vote, subject to specified exceptions, any shares of our common stock that Merck owns in accordance with the recommendations of our board of directors. Such voting commitments generally apply to director nominations for any meeting of our stockholders, amendments to our charter to increase the authorized shares of our common stock, various compensation-related matters, and ratification of our auditors. These voting commitments terminate upon the earlier of the second anniversary of the date of the investment agreement with Merck and the first time that Merck and its affiliates no longer own at least 50% of our shares owned by Merck immediately following the date of the investment agreement with Merck. Concurrently with the execution of the Merger Agreement, Merck entered into a Voting Agreement with the Company (see Note 13, Subsequent Events, in Part 1, Item 1 of this Form 10-Q in our Consolidated Financial Statements for additional information).</w:t>
      </w:r>
    </w:p>
    <w:p>
      <w:pPr>
        <w:pStyle w:val="TextBody"/>
        <w:bidi w:val="0"/>
        <w:spacing w:before="40" w:after="283"/>
        <w:jc w:val="both"/>
        <w:rPr>
          <w:rFonts w:ascii="Arial" w:hAnsi="Arial"/>
          <w:b/>
          <w:i/>
          <w:color w:val="000000"/>
          <w:sz w:val="18"/>
        </w:rPr>
      </w:pPr>
      <w:r>
        <w:rPr>
          <w:rFonts w:ascii="Arial" w:hAnsi="Arial"/>
          <w:b/>
          <w:i/>
          <w:color w:val="000000"/>
          <w:sz w:val="18"/>
        </w:rPr>
        <w:t>Future sales of shares by existing stockholders, or the perception that such sales could occur, could cause our stock price to decline.</w:t>
      </w:r>
    </w:p>
    <w:p>
      <w:pPr>
        <w:pStyle w:val="TextBody"/>
        <w:bidi w:val="0"/>
        <w:spacing w:before="200" w:after="283"/>
        <w:jc w:val="both"/>
        <w:rPr>
          <w:rFonts w:ascii="Times New Roman" w:hAnsi="Times New Roman"/>
          <w:sz w:val="20"/>
        </w:rPr>
      </w:pPr>
      <w:r>
        <w:rPr>
          <w:rFonts w:ascii="Arial" w:hAnsi="Arial"/>
          <w:color w:val="000000"/>
          <w:sz w:val="18"/>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June 30, 2026, we had 106,367,428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will become eligible for sale in the public market in the future, subject to certain legal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76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and contractual limitations. If our existing stockholders sell substantial amounts of our common stock in the public market, or if the public perceives that such sales could occur, this could have an adverse effect on the market price of our common stock.</w:t>
      </w:r>
    </w:p>
    <w:p>
      <w:pPr>
        <w:pStyle w:val="TextBody"/>
        <w:bidi w:val="0"/>
        <w:spacing w:before="200" w:after="283"/>
        <w:jc w:val="both"/>
        <w:rPr>
          <w:rFonts w:ascii="Arial" w:hAnsi="Arial"/>
          <w:b/>
          <w:i/>
          <w:color w:val="000000"/>
          <w:sz w:val="18"/>
        </w:rPr>
      </w:pPr>
      <w:r>
        <w:rPr>
          <w:rFonts w:ascii="Arial" w:hAnsi="Arial"/>
          <w:b/>
          <w:i/>
          <w:color w:val="000000"/>
          <w:sz w:val="18"/>
        </w:rPr>
        <w:t>We do not currently intend to pay dividends on our common stock and, consequently, your ability to achieve a return on your investment will depend on appreciation of the value of our common stock.</w:t>
      </w:r>
    </w:p>
    <w:p>
      <w:pPr>
        <w:pStyle w:val="TextBody"/>
        <w:bidi w:val="0"/>
        <w:spacing w:before="200" w:after="283"/>
        <w:jc w:val="both"/>
        <w:rPr>
          <w:rFonts w:ascii="Arial" w:hAnsi="Arial"/>
          <w:color w:val="000000"/>
          <w:sz w:val="18"/>
        </w:rPr>
      </w:pPr>
      <w:r>
        <w:rPr>
          <w:rFonts w:ascii="Arial" w:hAnsi="Arial"/>
          <w:color w:val="000000"/>
          <w:sz w:val="18"/>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pStyle w:val="TextBody"/>
        <w:bidi w:val="0"/>
        <w:spacing w:before="200" w:after="283"/>
        <w:jc w:val="both"/>
        <w:rPr>
          <w:rFonts w:ascii="Arial" w:hAnsi="Arial"/>
          <w:b/>
          <w:i/>
          <w:color w:val="000000"/>
          <w:sz w:val="18"/>
        </w:rPr>
      </w:pPr>
      <w:r>
        <w:rPr>
          <w:rFonts w:ascii="Arial" w:hAnsi="Arial"/>
          <w:b/>
          <w:i/>
          <w:color w:val="000000"/>
          <w:sz w:val="18"/>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pStyle w:val="TextBody"/>
        <w:bidi w:val="0"/>
        <w:spacing w:before="200" w:after="283"/>
        <w:jc w:val="both"/>
        <w:rPr>
          <w:rFonts w:ascii="Arial" w:hAnsi="Arial"/>
          <w:color w:val="000000"/>
          <w:sz w:val="18"/>
        </w:rPr>
      </w:pPr>
      <w:r>
        <w:rPr>
          <w:rFonts w:ascii="Arial" w:hAnsi="Arial"/>
          <w:color w:val="000000"/>
          <w:sz w:val="18"/>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pStyle w:val="TextBody"/>
        <w:bidi w:val="0"/>
        <w:spacing w:before="200" w:after="283"/>
        <w:jc w:val="both"/>
        <w:rPr>
          <w:rFonts w:ascii="Arial" w:hAnsi="Arial"/>
          <w:b/>
          <w:i/>
          <w:color w:val="000000"/>
          <w:sz w:val="18"/>
        </w:rPr>
      </w:pPr>
      <w:r>
        <w:rPr>
          <w:rFonts w:ascii="Arial" w:hAnsi="Arial"/>
          <w:b/>
          <w:i/>
          <w:color w:val="000000"/>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200" w:after="283"/>
        <w:jc w:val="both"/>
        <w:rPr>
          <w:rFonts w:ascii="Arial" w:hAnsi="Arial"/>
          <w:color w:val="000000"/>
          <w:sz w:val="18"/>
        </w:rPr>
      </w:pPr>
      <w:r>
        <w:rPr>
          <w:rFonts w:ascii="Arial" w:hAnsi="Arial"/>
          <w:color w:val="000000"/>
          <w:sz w:val="18"/>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pStyle w:val="TextBody"/>
        <w:bidi w:val="0"/>
        <w:spacing w:before="200" w:after="283"/>
        <w:jc w:val="both"/>
        <w:rPr>
          <w:rFonts w:ascii="Arial" w:hAnsi="Arial"/>
          <w:b/>
          <w:i/>
          <w:color w:val="000000"/>
          <w:sz w:val="18"/>
        </w:rPr>
      </w:pPr>
      <w:r>
        <w:rPr>
          <w:rFonts w:ascii="Arial" w:hAnsi="Arial"/>
          <w:b/>
          <w:i/>
          <w:color w:val="000000"/>
          <w:sz w:val="18"/>
        </w:rPr>
        <w:t>Holders of our common stock could be adversely affected if we issue preferred stock.</w:t>
      </w:r>
    </w:p>
    <w:p>
      <w:pPr>
        <w:pStyle w:val="TextBody"/>
        <w:bidi w:val="0"/>
        <w:spacing w:before="200" w:after="283"/>
        <w:jc w:val="both"/>
        <w:rPr>
          <w:rFonts w:ascii="Arial" w:hAnsi="Arial"/>
          <w:color w:val="000000"/>
          <w:sz w:val="18"/>
        </w:rPr>
      </w:pPr>
      <w:r>
        <w:rPr>
          <w:rFonts w:ascii="Arial" w:hAnsi="Arial"/>
          <w:color w:val="000000"/>
          <w:sz w:val="18"/>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pStyle w:val="TextBody"/>
        <w:bidi w:val="0"/>
        <w:spacing w:before="200" w:after="283"/>
        <w:jc w:val="both"/>
        <w:rPr>
          <w:rFonts w:ascii="Arial" w:hAnsi="Arial"/>
          <w:b/>
          <w:i/>
          <w:color w:val="000000"/>
          <w:sz w:val="18"/>
        </w:rPr>
      </w:pPr>
      <w:r>
        <w:rPr>
          <w:rFonts w:ascii="Arial" w:hAnsi="Arial"/>
          <w:b/>
          <w:i/>
          <w:color w:val="000000"/>
          <w:sz w:val="18"/>
        </w:rPr>
        <w:t>Our ability to use net operating losses to offset future taxable income may be subject to limitations.</w:t>
      </w:r>
    </w:p>
    <w:p>
      <w:pPr>
        <w:pStyle w:val="TextBody"/>
        <w:bidi w:val="0"/>
        <w:spacing w:before="200" w:after="283"/>
        <w:jc w:val="both"/>
        <w:rPr>
          <w:rFonts w:ascii="Arial" w:hAnsi="Arial"/>
          <w:color w:val="000000"/>
          <w:sz w:val="18"/>
        </w:rPr>
      </w:pPr>
      <w:r>
        <w:rPr>
          <w:rFonts w:ascii="Arial" w:hAnsi="Arial"/>
          <w:color w:val="000000"/>
          <w:sz w:val="18"/>
        </w:rPr>
        <w:t>As of December 31, 2025, we had federal and state net operating loss carryforwards of approximately $509.5 million and approximately $392.3 million, respectively. Certain of our federal and state net operating loss carryforwards will begin to expire, if not utilized, beginning in 2031. These net operating loss carryforwards could expire unused and be unavailable to offset future taxable income. Under the 2017 Tax Cuts and Jobs Act (the “Tax Cuts and Jobs Act”), as modified by the Coronavirus Aid, Relief, and Economic Security Act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pStyle w:val="TextBody"/>
        <w:bidi w:val="0"/>
        <w:spacing w:before="240" w:after="283"/>
        <w:jc w:val="center"/>
        <w:rPr>
          <w:rFonts w:ascii="Arial" w:hAnsi="Arial"/>
          <w:color w:val="000000"/>
          <w:sz w:val="18"/>
        </w:rPr>
      </w:pPr>
      <w:r>
        <w:rPr>
          <w:rFonts w:ascii="Arial" w:hAnsi="Arial"/>
          <w:color w:val="000000"/>
          <w:sz w:val="18"/>
        </w:rPr>
        <w:t>77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200" w:after="283"/>
        <w:jc w:val="both"/>
        <w:rPr>
          <w:rFonts w:ascii="Arial" w:hAnsi="Arial"/>
          <w:color w:val="000000"/>
          <w:sz w:val="18"/>
        </w:rPr>
      </w:pPr>
      <w:r>
        <w:rPr>
          <w:rFonts w:ascii="Arial" w:hAnsi="Arial"/>
          <w:color w:val="000000"/>
          <w:sz w:val="18"/>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 a classified board of directors so that not all members of our board of directors are elected at one time;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authorize the issuance of “blank check” preferred stock that our board of directors could use to implement a stockholder rights plan;</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permit the board of directors to establish the number of directors and fill any vacancies and newly-created directorships;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provide that directors may only be removed for cause;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require super-majority voting to amend some provisions in our certificate of incorporation and bylaws;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eliminate the ability of our stockholders to call special meetings of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prohibit stockholder action by written consent, which requires all stockholder actions to be taken at a meeting of our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provide that the board of directors is expressly authorized to make, alter, or repeal our bylaws;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restrict the forum for certain litigation against us to Delaware;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 advance notice requirements for nominations for election to our board of directors or for proposing matters that can be acted upon by stockholders at annual stockholder meetings.</w:t>
      </w:r>
    </w:p>
    <w:p>
      <w:pPr>
        <w:pStyle w:val="TextBody"/>
        <w:bidi w:val="0"/>
        <w:spacing w:before="200" w:after="283"/>
        <w:jc w:val="both"/>
        <w:rPr>
          <w:rFonts w:ascii="Arial" w:hAnsi="Arial"/>
          <w:color w:val="000000"/>
          <w:sz w:val="18"/>
        </w:rPr>
      </w:pPr>
      <w:r>
        <w:rPr>
          <w:rFonts w:ascii="Arial" w:hAnsi="Arial"/>
          <w:color w:val="000000"/>
          <w:sz w:val="18"/>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00" w:after="283"/>
        <w:jc w:val="both"/>
        <w:rPr>
          <w:rFonts w:ascii="Arial" w:hAnsi="Arial"/>
          <w:b/>
          <w:i/>
          <w:color w:val="000000"/>
          <w:sz w:val="18"/>
        </w:rPr>
      </w:pPr>
      <w:r>
        <w:rPr>
          <w:rFonts w:ascii="Arial" w:hAnsi="Arial"/>
          <w:b/>
          <w:i/>
          <w:color w:val="000000"/>
          <w:sz w:val="18"/>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200" w:after="283"/>
        <w:jc w:val="both"/>
        <w:rPr>
          <w:rFonts w:ascii="Arial" w:hAnsi="Arial"/>
          <w:color w:val="000000"/>
          <w:sz w:val="18"/>
        </w:rPr>
      </w:pPr>
      <w:r>
        <w:rPr>
          <w:rFonts w:ascii="Arial" w:hAnsi="Arial"/>
          <w:color w:val="000000"/>
          <w:sz w:val="18"/>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derivative action or proceeding brought on our behalf;</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breach of fiduciary duty;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claim against us arising under the Delaware General Corporation Law, our amended and restated certificate of incorporation, or our amended and restated bylaws;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claim against us that is governed by the internal-affairs doctrine.</w:t>
      </w:r>
    </w:p>
    <w:p>
      <w:pPr>
        <w:pStyle w:val="TextBody"/>
        <w:bidi w:val="0"/>
        <w:spacing w:before="200" w:after="283"/>
        <w:jc w:val="both"/>
        <w:rPr>
          <w:rFonts w:ascii="Arial" w:hAnsi="Arial"/>
          <w:color w:val="000000"/>
          <w:sz w:val="18"/>
        </w:rPr>
      </w:pPr>
      <w:r>
        <w:rPr>
          <w:rFonts w:ascii="Arial" w:hAnsi="Arial"/>
          <w:color w:val="000000"/>
          <w:sz w:val="18"/>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00" w:after="283"/>
        <w:jc w:val="both"/>
        <w:rPr>
          <w:rFonts w:ascii="Times New Roman" w:hAnsi="Times New Roman"/>
          <w:sz w:val="20"/>
        </w:rPr>
      </w:pPr>
      <w:r>
        <w:rPr>
          <w:rFonts w:ascii="Arial" w:hAnsi="Arial"/>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78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before="200" w:after="283"/>
        <w:jc w:val="both"/>
        <w:rPr>
          <w:rFonts w:ascii="Arial" w:hAnsi="Arial"/>
          <w:b/>
          <w:i/>
          <w:color w:val="000000"/>
          <w:sz w:val="18"/>
        </w:rPr>
      </w:pPr>
      <w:r>
        <w:rPr>
          <w:rFonts w:ascii="Arial" w:hAnsi="Arial"/>
          <w:b/>
          <w:i/>
          <w:color w:val="000000"/>
          <w:sz w:val="18"/>
        </w:rPr>
        <w:t>The requirements of being a public company consume substantial resources, may result in litigation and may divert management’s attention.</w:t>
      </w:r>
    </w:p>
    <w:p>
      <w:pPr>
        <w:pStyle w:val="TextBody"/>
        <w:bidi w:val="0"/>
        <w:spacing w:before="200" w:after="283"/>
        <w:jc w:val="both"/>
        <w:rPr>
          <w:rFonts w:ascii="Arial" w:hAnsi="Arial"/>
          <w:color w:val="000000"/>
          <w:sz w:val="18"/>
        </w:rPr>
      </w:pPr>
      <w:r>
        <w:rPr>
          <w:rFonts w:ascii="Arial" w:hAnsi="Arial"/>
          <w:color w:val="000000"/>
          <w:sz w:val="18"/>
        </w:rPr>
        <w:t>As a public company, we are subject to the reporting requirements of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pStyle w:val="TextBody"/>
        <w:bidi w:val="0"/>
        <w:spacing w:before="200" w:after="283"/>
        <w:jc w:val="both"/>
        <w:rPr>
          <w:rFonts w:ascii="Arial" w:hAnsi="Arial"/>
          <w:color w:val="000000"/>
          <w:sz w:val="18"/>
        </w:rPr>
      </w:pPr>
      <w:r>
        <w:rPr>
          <w:rFonts w:ascii="Arial" w:hAnsi="Arial"/>
          <w:color w:val="000000"/>
          <w:sz w:val="18"/>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before="200" w:after="283"/>
        <w:jc w:val="both"/>
        <w:rPr>
          <w:rFonts w:ascii="Arial" w:hAnsi="Arial"/>
          <w:color w:val="000000"/>
          <w:sz w:val="18"/>
        </w:rPr>
      </w:pPr>
      <w:r>
        <w:rPr>
          <w:rFonts w:ascii="Arial" w:hAnsi="Arial"/>
          <w:color w:val="000000"/>
          <w:sz w:val="18"/>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200" w:after="283"/>
        <w:jc w:val="both"/>
        <w:rPr>
          <w:rFonts w:ascii="Arial" w:hAnsi="Arial"/>
          <w:color w:val="000000"/>
          <w:sz w:val="18"/>
        </w:rPr>
      </w:pPr>
      <w:r>
        <w:rPr>
          <w:rFonts w:ascii="Arial" w:hAnsi="Arial"/>
          <w:color w:val="000000"/>
          <w:sz w:val="18"/>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pStyle w:val="TextBody"/>
        <w:bidi w:val="0"/>
        <w:spacing w:before="200" w:after="283"/>
        <w:jc w:val="both"/>
        <w:rPr>
          <w:rFonts w:ascii="Arial" w:hAnsi="Arial"/>
          <w:b/>
          <w:i/>
          <w:color w:val="000000"/>
          <w:sz w:val="18"/>
        </w:rPr>
      </w:pPr>
      <w:r>
        <w:rPr>
          <w:rFonts w:ascii="Arial" w:hAnsi="Arial"/>
          <w:b/>
          <w:i/>
          <w:color w:val="000000"/>
          <w:sz w:val="18"/>
        </w:rPr>
        <w:t>We currently are a smaller reporting company, and any decision on our part to avail ourselves of certain reduced reporting and disclosure requirements applicable to smaller reporting companies could make our common stock less attractive to investors.</w:t>
      </w:r>
    </w:p>
    <w:p>
      <w:pPr>
        <w:pStyle w:val="TextBody"/>
        <w:bidi w:val="0"/>
        <w:spacing w:before="200" w:after="283"/>
        <w:jc w:val="both"/>
        <w:rPr>
          <w:rFonts w:ascii="Arial" w:hAnsi="Arial"/>
          <w:color w:val="000000"/>
          <w:sz w:val="18"/>
        </w:rPr>
      </w:pPr>
      <w:r>
        <w:rPr>
          <w:rFonts w:ascii="Arial" w:hAnsi="Arial"/>
          <w:color w:val="000000"/>
          <w:sz w:val="18"/>
        </w:rPr>
        <w:t>We currently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pStyle w:val="TextBody"/>
        <w:bidi w:val="0"/>
        <w:spacing w:before="200" w:after="283"/>
        <w:jc w:val="both"/>
        <w:rPr>
          <w:rFonts w:ascii="Arial" w:hAnsi="Arial"/>
          <w:color w:val="000000"/>
          <w:sz w:val="18"/>
        </w:rPr>
      </w:pPr>
      <w:r>
        <w:rPr>
          <w:rFonts w:ascii="Arial" w:hAnsi="Arial"/>
          <w:color w:val="000000"/>
          <w:sz w:val="18"/>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200" w:after="283"/>
        <w:jc w:val="both"/>
        <w:rPr>
          <w:rFonts w:ascii="Arial" w:hAnsi="Arial"/>
          <w:b/>
          <w:i/>
          <w:color w:val="000000"/>
          <w:sz w:val="18"/>
        </w:rPr>
      </w:pPr>
      <w:r>
        <w:rPr>
          <w:rFonts w:ascii="Arial" w:hAnsi="Arial"/>
          <w:b/>
          <w:i/>
          <w:color w:val="000000"/>
          <w:sz w:val="18"/>
        </w:rPr>
        <w:t>Our disclosure controls and procedures may not prevent or detect all errors or acts of fraud.</w:t>
      </w:r>
    </w:p>
    <w:p>
      <w:pPr>
        <w:pStyle w:val="TextBody"/>
        <w:bidi w:val="0"/>
        <w:spacing w:before="200" w:after="283"/>
        <w:jc w:val="both"/>
        <w:rPr>
          <w:rFonts w:ascii="Arial" w:hAnsi="Arial"/>
          <w:color w:val="000000"/>
          <w:sz w:val="18"/>
        </w:rPr>
      </w:pPr>
      <w:r>
        <w:rPr>
          <w:rFonts w:ascii="Arial" w:hAnsi="Arial"/>
          <w:color w:val="000000"/>
          <w:sz w:val="18"/>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bidi w:val="0"/>
        <w:spacing w:before="240" w:after="283"/>
        <w:jc w:val="center"/>
        <w:rPr>
          <w:rFonts w:ascii="Arial" w:hAnsi="Arial"/>
          <w:color w:val="000000"/>
          <w:sz w:val="18"/>
        </w:rPr>
      </w:pPr>
      <w:r>
        <w:rPr>
          <w:rFonts w:ascii="Arial" w:hAnsi="Arial"/>
          <w:color w:val="000000"/>
          <w:sz w:val="18"/>
        </w:rPr>
        <w:t>79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pStyle w:val="TextBody"/>
        <w:bidi w:val="0"/>
        <w:spacing w:before="200" w:after="283"/>
        <w:jc w:val="both"/>
        <w:rPr>
          <w:rFonts w:ascii="Arial" w:hAnsi="Arial"/>
          <w:b/>
          <w:i/>
          <w:color w:val="000000"/>
          <w:sz w:val="18"/>
        </w:rPr>
      </w:pPr>
      <w:r>
        <w:rPr>
          <w:rFonts w:ascii="Arial" w:hAnsi="Arial"/>
          <w:b/>
          <w:i/>
          <w:color w:val="000000"/>
          <w:sz w:val="18"/>
        </w:rPr>
        <w:t>If we fail to maintain effective internal control over financial reporting in the future, the accuracy and timing of our financial reporting may be adversely affected.</w:t>
      </w:r>
    </w:p>
    <w:p>
      <w:pPr>
        <w:pStyle w:val="TextBody"/>
        <w:bidi w:val="0"/>
        <w:spacing w:before="200" w:after="283"/>
        <w:jc w:val="both"/>
        <w:rPr>
          <w:rFonts w:ascii="Arial" w:hAnsi="Arial"/>
          <w:color w:val="000000"/>
          <w:sz w:val="18"/>
        </w:rPr>
      </w:pPr>
      <w:r>
        <w:rPr>
          <w:rFonts w:ascii="Arial" w:hAnsi="Arial"/>
          <w:color w:val="000000"/>
          <w:sz w:val="18"/>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pStyle w:val="TextBody"/>
        <w:bidi w:val="0"/>
        <w:spacing w:before="200" w:after="200"/>
        <w:jc w:val="both"/>
        <w:rPr>
          <w:rFonts w:ascii="Arial" w:hAnsi="Arial"/>
          <w:color w:val="000000"/>
          <w:sz w:val="18"/>
        </w:rPr>
      </w:pPr>
      <w:r>
        <w:rPr>
          <w:rFonts w:ascii="Arial" w:hAnsi="Arial"/>
          <w:color w:val="000000"/>
          <w:sz w:val="18"/>
        </w:rPr>
        <w:t>We currently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240" w:after="283"/>
        <w:jc w:val="center"/>
        <w:rPr>
          <w:rFonts w:ascii="Arial" w:hAnsi="Arial"/>
          <w:color w:val="000000"/>
          <w:sz w:val="18"/>
        </w:rPr>
      </w:pPr>
      <w:r>
        <w:rPr>
          <w:rFonts w:ascii="Arial" w:hAnsi="Arial"/>
          <w:color w:val="000000"/>
          <w:sz w:val="18"/>
        </w:rPr>
        <w:t>80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32" w:name="item_2_unregistered_sales_equity_securit"/>
      <w:bookmarkEnd w:id="32"/>
      <w:r>
        <w:rPr>
          <w:rFonts w:ascii="Arial" w:hAnsi="Arial"/>
          <w:b/>
          <w:color w:val="000000"/>
          <w:sz w:val="18"/>
        </w:rPr>
        <w:t>Item 2. Unregistered Sales</w:t>
      </w:r>
      <w:r>
        <w:rPr>
          <w:rFonts w:ascii="Times New Roman" w:hAnsi="Times New Roman"/>
          <w:color w:val="000000"/>
          <w:sz w:val="20"/>
        </w:rPr>
        <w:t xml:space="preserve"> </w:t>
      </w:r>
      <w:r>
        <w:rPr>
          <w:rFonts w:ascii="Arial" w:hAnsi="Arial"/>
          <w:b/>
          <w:color w:val="000000"/>
          <w:sz w:val="18"/>
        </w:rPr>
        <w:t>of Equity Securities and Use of Proceeds.</w:t>
      </w:r>
    </w:p>
    <w:p>
      <w:pPr>
        <w:pStyle w:val="TextBody"/>
        <w:bidi w:val="0"/>
        <w:spacing w:before="200" w:after="283"/>
        <w:jc w:val="both"/>
        <w:rPr>
          <w:rFonts w:ascii="Arial" w:hAnsi="Arial"/>
          <w:color w:val="000000"/>
          <w:sz w:val="18"/>
        </w:rPr>
      </w:pPr>
      <w:r>
        <w:rPr>
          <w:rFonts w:ascii="Arial" w:hAnsi="Arial"/>
          <w:color w:val="000000"/>
          <w:sz w:val="18"/>
        </w:rPr>
        <w:t>None.</w:t>
      </w:r>
    </w:p>
    <w:p>
      <w:pPr>
        <w:pStyle w:val="TextBody"/>
        <w:bidi w:val="0"/>
        <w:spacing w:before="200" w:after="283"/>
        <w:jc w:val="both"/>
        <w:rPr>
          <w:rFonts w:ascii="Arial" w:hAnsi="Arial"/>
          <w:b/>
          <w:color w:val="000000"/>
          <w:sz w:val="18"/>
        </w:rPr>
      </w:pPr>
      <w:bookmarkStart w:id="33" w:name="item_3_defaults_upon_senior_securities"/>
      <w:bookmarkEnd w:id="33"/>
      <w:r>
        <w:rPr>
          <w:rFonts w:ascii="Arial" w:hAnsi="Arial"/>
          <w:b/>
          <w:color w:val="000000"/>
          <w:sz w:val="18"/>
        </w:rPr>
        <w:t>Item 3. Defaults Upon Senior Securities.</w:t>
      </w:r>
    </w:p>
    <w:p>
      <w:pPr>
        <w:pStyle w:val="TextBody"/>
        <w:bidi w:val="0"/>
        <w:spacing w:before="200" w:after="283"/>
        <w:jc w:val="both"/>
        <w:rPr>
          <w:rFonts w:ascii="Arial" w:hAnsi="Arial"/>
          <w:color w:val="000000"/>
          <w:sz w:val="18"/>
        </w:rPr>
      </w:pPr>
      <w:r>
        <w:rPr>
          <w:rFonts w:ascii="Arial" w:hAnsi="Arial"/>
          <w:color w:val="000000"/>
          <w:sz w:val="18"/>
        </w:rPr>
        <w:t>None.</w:t>
      </w:r>
    </w:p>
    <w:p>
      <w:pPr>
        <w:pStyle w:val="TextBody"/>
        <w:bidi w:val="0"/>
        <w:spacing w:before="200" w:after="283"/>
        <w:jc w:val="both"/>
        <w:rPr>
          <w:rFonts w:ascii="Arial" w:hAnsi="Arial"/>
          <w:b/>
          <w:color w:val="000000"/>
          <w:sz w:val="18"/>
        </w:rPr>
      </w:pPr>
      <w:bookmarkStart w:id="34" w:name="item_4_mine_safety_disclosures"/>
      <w:bookmarkEnd w:id="34"/>
      <w:r>
        <w:rPr>
          <w:rFonts w:ascii="Arial" w:hAnsi="Arial"/>
          <w:b/>
          <w:color w:val="000000"/>
          <w:sz w:val="18"/>
        </w:rPr>
        <w:t>Item 4. Mine Safety Disclosures.</w:t>
      </w:r>
    </w:p>
    <w:p>
      <w:pPr>
        <w:pStyle w:val="TextBody"/>
        <w:bidi w:val="0"/>
        <w:spacing w:before="200" w:after="283"/>
        <w:jc w:val="both"/>
        <w:rPr>
          <w:rFonts w:ascii="Arial" w:hAnsi="Arial"/>
          <w:color w:val="000000"/>
          <w:sz w:val="18"/>
        </w:rPr>
      </w:pPr>
      <w:r>
        <w:rPr>
          <w:rFonts w:ascii="Arial" w:hAnsi="Arial"/>
          <w:color w:val="000000"/>
          <w:sz w:val="18"/>
        </w:rPr>
        <w:t>Not applicable.</w:t>
      </w:r>
    </w:p>
    <w:p>
      <w:pPr>
        <w:pStyle w:val="TextBody"/>
        <w:bidi w:val="0"/>
        <w:spacing w:before="200" w:after="283"/>
        <w:jc w:val="both"/>
        <w:rPr>
          <w:rFonts w:ascii="Arial" w:hAnsi="Arial"/>
          <w:b/>
          <w:color w:val="000000"/>
          <w:sz w:val="18"/>
        </w:rPr>
      </w:pPr>
      <w:bookmarkStart w:id="35" w:name="item_5_other_information"/>
      <w:bookmarkEnd w:id="35"/>
      <w:r>
        <w:rPr>
          <w:rFonts w:ascii="Arial" w:hAnsi="Arial"/>
          <w:b/>
          <w:color w:val="000000"/>
          <w:sz w:val="18"/>
        </w:rPr>
        <w:t>Item 5. Other Information.</w:t>
      </w:r>
    </w:p>
    <w:p>
      <w:pPr>
        <w:pStyle w:val="TextBody"/>
        <w:bidi w:val="0"/>
        <w:spacing w:before="200" w:after="283"/>
        <w:jc w:val="both"/>
        <w:rPr>
          <w:rFonts w:ascii="Times New Roman" w:hAnsi="Times New Roman"/>
          <w:sz w:val="20"/>
        </w:rPr>
      </w:pPr>
      <w:r>
        <w:rPr>
          <w:rFonts w:ascii="Arial" w:hAnsi="Arial"/>
          <w:color w:val="000000"/>
          <w:sz w:val="18"/>
        </w:rPr>
        <w:t>There are no</w:t>
      </w:r>
      <w:r>
        <w:rPr>
          <w:rFonts w:ascii="Times New Roman" w:hAnsi="Times New Roman"/>
          <w:color w:val="000000"/>
          <w:sz w:val="20"/>
        </w:rPr>
        <w:t xml:space="preserve"> </w:t>
      </w:r>
      <w:r>
        <w:rPr>
          <w:rFonts w:ascii="Arial" w:hAnsi="Arial"/>
          <w:color w:val="000000"/>
          <w:sz w:val="18"/>
        </w:rPr>
        <w:t>disclosures required by this Item 5, including those relating to “Rule 10b5-1 trading arrangements” and “non-Rule 10b5-1 trading arrangements” as those terms are defined in Item 408 of Regulation S-K.</w:t>
      </w:r>
    </w:p>
    <w:p>
      <w:pPr>
        <w:pStyle w:val="TextBody"/>
        <w:bidi w:val="0"/>
        <w:jc w:val="both"/>
        <w:rPr/>
      </w:pPr>
      <w:r>
        <w:rPr/>
        <w:t> </w:t>
      </w:r>
    </w:p>
    <w:p>
      <w:pPr>
        <w:pStyle w:val="TextBody"/>
        <w:bidi w:val="0"/>
        <w:spacing w:before="20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81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36" w:name="item_6_exhibits"/>
      <w:bookmarkEnd w:id="36"/>
      <w:r>
        <w:rPr>
          <w:rFonts w:ascii="Arial" w:hAnsi="Arial"/>
          <w:b/>
          <w:color w:val="000000"/>
          <w:sz w:val="18"/>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958"/>
        <w:gridCol w:w="146"/>
        <w:gridCol w:w="556"/>
        <w:gridCol w:w="146"/>
        <w:gridCol w:w="744"/>
        <w:gridCol w:w="146"/>
        <w:gridCol w:w="691"/>
        <w:gridCol w:w="146"/>
        <w:gridCol w:w="715"/>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Incorporated by Reference</w:t>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Exhibit</w:t>
            </w:r>
          </w:p>
          <w:p>
            <w:pPr>
              <w:pStyle w:val="TableContents"/>
              <w:bidi w:val="0"/>
              <w:spacing w:before="0" w:after="283"/>
              <w:jc w:val="left"/>
              <w:rPr>
                <w:rFonts w:ascii="Arial" w:hAnsi="Arial"/>
                <w:b/>
                <w:color w:val="000000"/>
                <w:sz w:val="18"/>
              </w:rPr>
            </w:pPr>
            <w:r>
              <w:rPr>
                <w:rFonts w:ascii="Arial" w:hAnsi="Arial"/>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Filing</w:t>
            </w:r>
          </w:p>
          <w:p>
            <w:pPr>
              <w:pStyle w:val="TableContents"/>
              <w:bidi w:val="0"/>
              <w:spacing w:before="0" w:after="283"/>
              <w:jc w:val="center"/>
              <w:rPr>
                <w:rFonts w:ascii="Arial" w:hAnsi="Arial"/>
                <w:b/>
                <w:color w:val="000000"/>
                <w:sz w:val="18"/>
              </w:rPr>
            </w:pPr>
            <w:r>
              <w:rPr>
                <w:rFonts w:ascii="Arial" w:hAnsi="Arial"/>
                <w:b/>
                <w:color w:val="000000"/>
                <w:sz w:val="18"/>
              </w:rPr>
              <w:t>Date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2.1</w:t>
            </w:r>
            <w:r>
              <w:rPr>
                <w:rFonts w:ascii="Arial" w:hAnsi="Arial"/>
                <w:color w:val="000000"/>
                <w:sz w:val="16"/>
              </w:rPr>
              <w:t>Ω</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18"/>
                  <w:u w:val="single"/>
                </w:rPr>
                <w:t>Agreement and Plan of Merger, dated as of July 20, 2026, by and among Tempus AI, Inc., Personalis, Inc., Aviary Development, Inc., and Toucan Development,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7/20/2026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18"/>
                  <w:u w:val="single"/>
                </w:rPr>
                <w:t>Amended and Restated Certificate of Incorporation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6/24/2019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18"/>
                  <w:u w:val="single"/>
                </w:rPr>
                <w:t>Amended and Restated Bylaws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2/26/2026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18"/>
                  <w:u w:val="single"/>
                </w:rPr>
                <w:t>Voting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7/20/2026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1_1.htm">
              <w:r>
                <w:rPr>
                  <w:rStyle w:val="InternetLink"/>
                  <w:rFonts w:ascii="Arial" w:hAnsi="Arial"/>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1_2.htm">
              <w:r>
                <w:rPr>
                  <w:rStyle w:val="InternetLink"/>
                  <w:rFonts w:ascii="Arial" w:hAnsi="Arial"/>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2_1.htm">
              <w:r>
                <w:rPr>
                  <w:rStyle w:val="InternetLink"/>
                  <w:rFonts w:ascii="Arial" w:hAnsi="Arial"/>
                  <w:color w:val="0000FF"/>
                  <w:sz w:val="18"/>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2_2.htm">
              <w:r>
                <w:rPr>
                  <w:rStyle w:val="InternetLink"/>
                  <w:rFonts w:ascii="Arial" w:hAnsi="Arial"/>
                  <w:color w:val="0000FF"/>
                  <w:sz w:val="18"/>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Document Set for the consolidated financial statements and accompanying notes in Part I, Item 1, “Financial Statements” of this Quarterly Report on Form 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for the cover page of this Quarterly Report on Form 10-Q, included in the Exhibit 101 Inline XBRL Document 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 Filed herewith.</w:t>
      </w:r>
    </w:p>
    <w:p>
      <w:pPr>
        <w:pStyle w:val="TextBody"/>
        <w:bidi w:val="0"/>
        <w:spacing w:before="40" w:after="283"/>
        <w:jc w:val="both"/>
        <w:rPr>
          <w:rFonts w:ascii="Arial" w:hAnsi="Arial"/>
          <w:color w:val="000000"/>
          <w:sz w:val="16"/>
        </w:rPr>
      </w:pPr>
      <w:r>
        <w:rPr>
          <w:rFonts w:ascii="Arial" w:hAnsi="Arial"/>
          <w:color w:val="000000"/>
          <w:sz w:val="16"/>
        </w:rPr>
        <w:t> 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rFonts w:ascii="Times New Roman" w:hAnsi="Times New Roman"/>
          <w:sz w:val="20"/>
        </w:rPr>
      </w:pPr>
      <w:r>
        <w:rPr>
          <w:rFonts w:ascii="Arial" w:hAnsi="Arial"/>
          <w:color w:val="000000"/>
          <w:sz w:val="16"/>
        </w:rPr>
        <w:t xml:space="preserve">Ω Certain exhibits and schedules have been omitted pursuant to Item 601(a)(5) of Regulation S-K. The Company hereby undertakes to furnish supplemental copies of any of the omitted exhibits and schedules upon request by the SEC; </w:t>
      </w:r>
      <w:r>
        <w:rPr>
          <w:rFonts w:ascii="Arial" w:hAnsi="Arial"/>
          <w:i/>
          <w:color w:val="000000"/>
          <w:sz w:val="16"/>
        </w:rPr>
        <w:t>provided</w:t>
      </w:r>
      <w:r>
        <w:rPr>
          <w:rFonts w:ascii="Arial" w:hAnsi="Arial"/>
          <w:color w:val="000000"/>
          <w:sz w:val="16"/>
        </w:rPr>
        <w:t xml:space="preserve">, </w:t>
      </w:r>
      <w:r>
        <w:rPr>
          <w:rFonts w:ascii="Arial" w:hAnsi="Arial"/>
          <w:i/>
          <w:color w:val="000000"/>
          <w:sz w:val="16"/>
        </w:rPr>
        <w:t>however</w:t>
      </w:r>
      <w:r>
        <w:rPr>
          <w:rFonts w:ascii="Arial" w:hAnsi="Arial"/>
          <w:color w:val="000000"/>
          <w:sz w:val="16"/>
        </w:rPr>
        <w:t>, that the Company may request confidential treatment pursuant to Rule 24b-2 of the Securities Exchange Act of 1934 for any schedules so furnished.</w:t>
      </w:r>
    </w:p>
    <w:p>
      <w:pPr>
        <w:pStyle w:val="TextBody"/>
        <w:bidi w:val="0"/>
        <w:spacing w:before="240" w:after="283"/>
        <w:jc w:val="center"/>
        <w:rPr>
          <w:rFonts w:ascii="Arial" w:hAnsi="Arial"/>
          <w:color w:val="000000"/>
          <w:sz w:val="18"/>
        </w:rPr>
      </w:pPr>
      <w:r>
        <w:rPr>
          <w:rFonts w:ascii="Arial" w:hAnsi="Arial"/>
          <w:color w:val="000000"/>
          <w:sz w:val="18"/>
        </w:rPr>
        <w:t>82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bookmarkStart w:id="37" w:name="signatures"/>
      <w:bookmarkEnd w:id="37"/>
      <w:r>
        <w:rPr>
          <w:rFonts w:ascii="Arial" w:hAnsi="Arial"/>
          <w:b/>
          <w:color w:val="000000"/>
          <w:sz w:val="18"/>
        </w:rPr>
        <w:t>SIGNATURES</w:t>
      </w:r>
    </w:p>
    <w:p>
      <w:pPr>
        <w:pStyle w:val="TextBody"/>
        <w:bidi w:val="0"/>
        <w:spacing w:before="240" w:after="283"/>
        <w:jc w:val="both"/>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54" w:type="dxa"/>
        <w:jc w:val="left"/>
        <w:tblInd w:w="0" w:type="dxa"/>
        <w:tblLayout w:type="fixed"/>
        <w:tblCellMar>
          <w:top w:w="28" w:type="dxa"/>
          <w:left w:w="28" w:type="dxa"/>
          <w:bottom w:w="28" w:type="dxa"/>
          <w:right w:w="28" w:type="dxa"/>
        </w:tblCellMar>
      </w:tblPr>
      <w:tblGrid>
        <w:gridCol w:w="1831"/>
        <w:gridCol w:w="146"/>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Personalis, Inc.</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83</w:t>
      </w:r>
    </w:p>
    <w:p>
      <w:pPr>
        <w:pStyle w:val="HorizontalLine"/>
        <w:pBdr>
          <w:bottom w:val="double" w:sz="2" w:space="0" w:color="808080"/>
        </w:pBdr>
        <w:bidi w:val="0"/>
        <w:spacing w:before="0" w:after="283"/>
        <w:jc w:val="left"/>
        <w:rPr/>
      </w:pPr>
      <w:r>
        <w:rPr/>
      </w:r>
    </w:p>
    <w:p>
      <w:pPr>
        <w:pStyle w:val="TextBody"/>
        <w:bidi w:val="0"/>
        <w:jc w:val="left"/>
        <w:rPr/>
      </w:pPr>
      <w:bookmarkStart w:id="38" w:name="psnl-ex31_1.htm"/>
      <w:bookmarkStart w:id="39" w:name="kspsnlex31_1"/>
      <w:bookmarkEnd w:id="38"/>
      <w:bookmarkEnd w:id="39"/>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 OF PRINCIPAL EXECUTIVE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spacing w:before="240" w:after="283"/>
        <w:jc w:val="left"/>
        <w:rPr>
          <w:rFonts w:ascii="Arial" w:hAnsi="Arial"/>
          <w:color w:val="000000"/>
          <w:sz w:val="18"/>
        </w:rPr>
      </w:pPr>
      <w:r>
        <w:rPr>
          <w:rFonts w:ascii="Arial" w:hAnsi="Arial"/>
          <w:color w:val="000000"/>
          <w:sz w:val="18"/>
        </w:rPr>
        <w:t>I, Christopher Hall, certify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I have reviewed this Quarterly Report on Form 10-Q of Personalis, Inc.;</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18"/>
        </w:rPr>
      </w:pPr>
      <w:r>
        <w:rPr>
          <w:rFonts w:ascii="Arial" w:hAnsi="Arial"/>
          <w:color w:val="000000"/>
          <w:sz w:val="18"/>
        </w:rPr>
        <w:t>3.</w:t>
      </w:r>
    </w:p>
    <w:p>
      <w:pPr>
        <w:pStyle w:val="TextBody"/>
        <w:bidi w:val="0"/>
        <w:spacing w:before="24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18"/>
        </w:rPr>
      </w:pPr>
      <w:r>
        <w:rPr>
          <w:rFonts w:ascii="Arial" w:hAnsi="Arial"/>
          <w:color w:val="000000"/>
          <w:sz w:val="18"/>
        </w:rPr>
        <w:t>4.</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18"/>
        </w:rPr>
      </w:pPr>
      <w:r>
        <w:rPr>
          <w:rFonts w:ascii="Arial" w:hAnsi="Arial"/>
          <w:color w:val="000000"/>
          <w:sz w:val="18"/>
        </w:rPr>
        <w:t>(c)</w:t>
      </w:r>
    </w:p>
    <w:p>
      <w:pPr>
        <w:pStyle w:val="TextBody"/>
        <w:bidi w:val="0"/>
        <w:spacing w:before="24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18"/>
        </w:rPr>
      </w:pPr>
      <w:r>
        <w:rPr>
          <w:rFonts w:ascii="Arial" w:hAnsi="Arial"/>
          <w:color w:val="000000"/>
          <w:sz w:val="18"/>
        </w:rPr>
        <w:t>(d)</w:t>
      </w:r>
    </w:p>
    <w:p>
      <w:pPr>
        <w:pStyle w:val="TextBody"/>
        <w:bidi w:val="0"/>
        <w:spacing w:before="24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18"/>
        </w:rPr>
      </w:pPr>
      <w:r>
        <w:rPr>
          <w:rFonts w:ascii="Arial" w:hAnsi="Arial"/>
          <w:color w:val="000000"/>
          <w:sz w:val="18"/>
        </w:rPr>
        <w:t>5.</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30" w:type="dxa"/>
        <w:jc w:val="left"/>
        <w:tblInd w:w="0" w:type="dxa"/>
        <w:tblLayout w:type="fixed"/>
        <w:tblCellMar>
          <w:top w:w="28" w:type="dxa"/>
          <w:left w:w="28" w:type="dxa"/>
          <w:bottom w:w="28" w:type="dxa"/>
          <w:right w:w="28" w:type="dxa"/>
        </w:tblCellMar>
      </w:tblPr>
      <w:tblGrid>
        <w:gridCol w:w="1831"/>
        <w:gridCol w:w="146"/>
        <w:gridCol w:w="361"/>
        <w:gridCol w:w="146"/>
        <w:gridCol w:w="304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Christopher Hall</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Christopher Hall</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 and Director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psnl-ex31_2.htm"/>
      <w:bookmarkStart w:id="41" w:name="kspsnlex31_2"/>
      <w:bookmarkEnd w:id="40"/>
      <w:bookmarkEnd w:id="41"/>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 OF PRINCIPAL FINANCIAL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spacing w:before="240" w:after="283"/>
        <w:jc w:val="left"/>
        <w:rPr>
          <w:rFonts w:ascii="Arial" w:hAnsi="Arial"/>
          <w:color w:val="000000"/>
          <w:sz w:val="18"/>
        </w:rPr>
      </w:pPr>
      <w:r>
        <w:rPr>
          <w:rFonts w:ascii="Arial" w:hAnsi="Arial"/>
          <w:color w:val="000000"/>
          <w:sz w:val="18"/>
        </w:rPr>
        <w:t>I, Aaron Tachibana, certify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I have reviewed this Quarterly Report on Form 10-Q of Personalis, Inc.;</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18"/>
        </w:rPr>
      </w:pPr>
      <w:r>
        <w:rPr>
          <w:rFonts w:ascii="Arial" w:hAnsi="Arial"/>
          <w:color w:val="000000"/>
          <w:sz w:val="18"/>
        </w:rPr>
        <w:t>3.</w:t>
      </w:r>
    </w:p>
    <w:p>
      <w:pPr>
        <w:pStyle w:val="TextBody"/>
        <w:bidi w:val="0"/>
        <w:spacing w:before="24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18"/>
        </w:rPr>
      </w:pPr>
      <w:r>
        <w:rPr>
          <w:rFonts w:ascii="Arial" w:hAnsi="Arial"/>
          <w:color w:val="000000"/>
          <w:sz w:val="18"/>
        </w:rPr>
        <w:t>4.</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18"/>
        </w:rPr>
      </w:pPr>
      <w:r>
        <w:rPr>
          <w:rFonts w:ascii="Arial" w:hAnsi="Arial"/>
          <w:color w:val="000000"/>
          <w:sz w:val="18"/>
        </w:rPr>
        <w:t>(c)</w:t>
      </w:r>
    </w:p>
    <w:p>
      <w:pPr>
        <w:pStyle w:val="TextBody"/>
        <w:bidi w:val="0"/>
        <w:spacing w:before="24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18"/>
        </w:rPr>
      </w:pPr>
      <w:r>
        <w:rPr>
          <w:rFonts w:ascii="Arial" w:hAnsi="Arial"/>
          <w:color w:val="000000"/>
          <w:sz w:val="18"/>
        </w:rPr>
        <w:t>(d)</w:t>
      </w:r>
    </w:p>
    <w:p>
      <w:pPr>
        <w:pStyle w:val="TextBody"/>
        <w:bidi w:val="0"/>
        <w:spacing w:before="24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18"/>
        </w:rPr>
      </w:pPr>
      <w:r>
        <w:rPr>
          <w:rFonts w:ascii="Arial" w:hAnsi="Arial"/>
          <w:color w:val="000000"/>
          <w:sz w:val="18"/>
        </w:rPr>
        <w:t>5.</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00" w:type="dxa"/>
        <w:jc w:val="left"/>
        <w:tblInd w:w="0" w:type="dxa"/>
        <w:tblLayout w:type="fixed"/>
        <w:tblCellMar>
          <w:top w:w="28" w:type="dxa"/>
          <w:left w:w="28" w:type="dxa"/>
          <w:bottom w:w="28" w:type="dxa"/>
          <w:right w:w="28" w:type="dxa"/>
        </w:tblCellMar>
      </w:tblPr>
      <w:tblGrid>
        <w:gridCol w:w="1831"/>
        <w:gridCol w:w="146"/>
        <w:gridCol w:w="361"/>
        <w:gridCol w:w="146"/>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psnl-ex32_1.htm"/>
      <w:bookmarkStart w:id="43" w:name="kspsnlex32_1"/>
      <w:bookmarkEnd w:id="42"/>
      <w:bookmarkEnd w:id="43"/>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Exhibit 32.1</w:t>
            </w:r>
          </w:p>
        </w:tc>
      </w:tr>
    </w:tbl>
    <w:p>
      <w:pPr>
        <w:pStyle w:val="TextBody"/>
        <w:bidi w:val="0"/>
        <w:jc w:val="center"/>
        <w:rPr/>
      </w:pPr>
      <w:r>
        <w:rPr/>
        <w:t> </w:t>
      </w:r>
    </w:p>
    <w:p>
      <w:pPr>
        <w:pStyle w:val="TextBody"/>
        <w:bidi w:val="0"/>
        <w:spacing w:before="120" w:after="283"/>
        <w:jc w:val="center"/>
        <w:rPr>
          <w:rFonts w:ascii="Arial" w:hAnsi="Arial"/>
          <w:b/>
          <w:color w:val="000000"/>
          <w:sz w:val="18"/>
        </w:rPr>
      </w:pPr>
      <w:r>
        <w:rPr>
          <w:rFonts w:ascii="Arial" w:hAnsi="Arial"/>
          <w:b/>
          <w:color w:val="000000"/>
          <w:sz w:val="18"/>
        </w:rPr>
        <w:t>CERTIFICATION OF CHIEF EXECUTIVE OFFICER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of Personalis,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and</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384" w:type="dxa"/>
        <w:jc w:val="left"/>
        <w:tblInd w:w="0" w:type="dxa"/>
        <w:tblLayout w:type="fixed"/>
        <w:tblCellMar>
          <w:top w:w="28" w:type="dxa"/>
          <w:left w:w="28" w:type="dxa"/>
          <w:bottom w:w="28" w:type="dxa"/>
          <w:right w:w="28" w:type="dxa"/>
        </w:tblCellMar>
      </w:tblPr>
      <w:tblGrid>
        <w:gridCol w:w="1831"/>
        <w:gridCol w:w="146"/>
        <w:gridCol w:w="361"/>
        <w:gridCol w:w="304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0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Christopher Hall</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Christopher Hall</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 and Director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psnl-ex32_2.htm"/>
      <w:bookmarkStart w:id="45" w:name="kspsnlex32_2"/>
      <w:bookmarkEnd w:id="44"/>
      <w:bookmarkEnd w:id="45"/>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Exhibit 32.2</w:t>
            </w:r>
          </w:p>
        </w:tc>
      </w:tr>
    </w:tbl>
    <w:p>
      <w:pPr>
        <w:pStyle w:val="TextBody"/>
        <w:bidi w:val="0"/>
        <w:jc w:val="center"/>
        <w:rPr/>
      </w:pPr>
      <w:r>
        <w:rPr/>
        <w:t> </w:t>
      </w:r>
    </w:p>
    <w:p>
      <w:pPr>
        <w:pStyle w:val="TextBody"/>
        <w:bidi w:val="0"/>
        <w:spacing w:before="120" w:after="283"/>
        <w:jc w:val="center"/>
        <w:rPr>
          <w:rFonts w:ascii="Arial" w:hAnsi="Arial"/>
          <w:b/>
          <w:color w:val="000000"/>
          <w:sz w:val="18"/>
        </w:rPr>
      </w:pPr>
      <w:r>
        <w:rPr>
          <w:rFonts w:ascii="Arial" w:hAnsi="Arial"/>
          <w:b/>
          <w:color w:val="000000"/>
          <w:sz w:val="18"/>
        </w:rPr>
        <w:t>CERTIFICATION OF CHIEF FINANCIAL OFFICER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of Personalis,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and</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6554" w:type="dxa"/>
        <w:jc w:val="left"/>
        <w:tblInd w:w="0" w:type="dxa"/>
        <w:tblLayout w:type="fixed"/>
        <w:tblCellMar>
          <w:top w:w="28" w:type="dxa"/>
          <w:left w:w="28" w:type="dxa"/>
          <w:bottom w:w="28" w:type="dxa"/>
          <w:right w:w="28" w:type="dxa"/>
        </w:tblCellMar>
      </w:tblPr>
      <w:tblGrid>
        <w:gridCol w:w="1831"/>
        <w:gridCol w:w="146"/>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527753/000119312526309101/d64399dex21.htm" TargetMode="External"/><Relationship Id="rId4" Type="http://schemas.openxmlformats.org/officeDocument/2006/relationships/hyperlink" Target="https://www.sec.gov/Archives/edgar/data/0001527753/000119312519180246/d750323dex31.htm" TargetMode="External"/><Relationship Id="rId5" Type="http://schemas.openxmlformats.org/officeDocument/2006/relationships/hyperlink" Target="https://www.sec.gov/Archives/edgar/data/1527753/000095017022020631/psnl-ex3_1.htm" TargetMode="External"/><Relationship Id="rId6" Type="http://schemas.openxmlformats.org/officeDocument/2006/relationships/hyperlink" Target="https://www.sec.gov/Archives/edgar/data/1527753/000119312526309101/d64399d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65152</Words>
  <Characters>359880</Characters>
  <CharactersWithSpaces>425587</CharactersWithSpaces>
  <Paragraphs>7242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