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snl-20260820.htm"/>
      <w:bookmarkStart w:id="1" w:name="kspsnl20260820"/>
      <w:bookmarkEnd w:id="0"/>
      <w:bookmarkEnd w:id="1"/>
      <w:r>
        <w:rPr/>
        <w:t> </w:t>
      </w:r>
    </w:p>
    <w:p>
      <w:pPr>
        <w:pStyle w:val="TextBody"/>
        <w:bidi w:val="0"/>
        <w:jc w:val="left"/>
        <w:rPr/>
      </w:pPr>
      <w:r>
        <w:rPr/>
        <w:t> </w:t>
      </w:r>
    </w:p>
    <w:p>
      <w:pPr>
        <w:pStyle w:val="TextBody"/>
        <w:pBdr>
          <w:bottom w:val="double" w:sz="4" w:space="1" w:color="000000"/>
        </w:pBdr>
        <w:bidi w:val="0"/>
        <w:jc w:val="left"/>
        <w:rPr/>
      </w:pPr>
      <w:r>
        <w:rPr/>
        <w:t> </w:t>
      </w:r>
    </w:p>
    <w:p>
      <w:pPr>
        <w:pStyle w:val="TextBody"/>
        <w:bidi w:val="0"/>
        <w:spacing w:before="80" w:after="283"/>
        <w:jc w:val="center"/>
        <w:rPr>
          <w:rFonts w:ascii="Arial" w:hAnsi="Arial"/>
          <w:b/>
          <w:color w:val="000000"/>
          <w:sz w:val="36"/>
        </w:rPr>
      </w:pPr>
      <w:r>
        <w:rPr>
          <w:rFonts w:ascii="Arial" w:hAnsi="Arial"/>
          <w:b/>
          <w:color w:val="000000"/>
          <w:sz w:val="36"/>
        </w:rPr>
        <w:t>UNITED STATES</w:t>
      </w:r>
    </w:p>
    <w:p>
      <w:pPr>
        <w:pStyle w:val="TextBody"/>
        <w:bidi w:val="0"/>
        <w:jc w:val="center"/>
        <w:rPr>
          <w:rFonts w:ascii="Arial" w:hAnsi="Arial"/>
          <w:b/>
          <w:color w:val="000000"/>
          <w:sz w:val="36"/>
        </w:rPr>
      </w:pPr>
      <w:r>
        <w:rPr>
          <w:rFonts w:ascii="Arial" w:hAnsi="Arial"/>
          <w:b/>
          <w:color w:val="000000"/>
          <w:sz w:val="36"/>
        </w:rPr>
        <w:t>SECURITIES AND EXCHANGE COMMISSION</w:t>
      </w:r>
    </w:p>
    <w:p>
      <w:pPr>
        <w:pStyle w:val="TextBody"/>
        <w:bidi w:val="0"/>
        <w:jc w:val="center"/>
        <w:rPr>
          <w:rFonts w:ascii="Times New Roman" w:hAnsi="Times New Roman"/>
          <w:sz w:val="20"/>
        </w:rPr>
      </w:pPr>
      <w:r>
        <w:rPr>
          <w:rFonts w:ascii="Arial" w:hAnsi="Arial"/>
          <w:b/>
          <w:color w:val="000000"/>
          <w:sz w:val="18"/>
        </w:rPr>
        <w:t>WASHINGTON, D.C. 20549</w:t>
      </w:r>
      <w:r>
        <w:rPr>
          <w:rFonts w:ascii="Times New Roman" w:hAnsi="Times New Roman"/>
          <w:color w:val="000000"/>
          <w:sz w:val="20"/>
        </w:rPr>
        <w:t xml:space="preserve"> </w:t>
      </w:r>
    </w:p>
    <w:p>
      <w:pPr>
        <w:pStyle w:val="TextBody"/>
        <w:pBdr>
          <w:bottom w:val="single" w:sz="8" w:space="1" w:color="000000"/>
        </w:pBdr>
        <w:bidi w:val="0"/>
        <w:spacing w:before="0" w:after="100"/>
        <w:jc w:val="center"/>
        <w:rPr/>
      </w:pPr>
      <w:r>
        <w:rPr/>
        <w:t> </w:t>
      </w:r>
    </w:p>
    <w:p>
      <w:pPr>
        <w:pStyle w:val="TextBody"/>
        <w:bidi w:val="0"/>
        <w:jc w:val="center"/>
        <w:rPr>
          <w:rFonts w:ascii="Times New Roman" w:hAnsi="Times New Roman"/>
          <w:sz w:val="20"/>
        </w:rPr>
      </w:pPr>
      <w:r>
        <w:rPr>
          <w:rFonts w:ascii="Arial" w:hAnsi="Arial"/>
          <w:b/>
          <w:color w:val="000000"/>
          <w:sz w:val="36"/>
        </w:rPr>
        <w:t>FORM 8-K</w:t>
      </w:r>
      <w:r>
        <w:rPr>
          <w:rFonts w:ascii="Times New Roman" w:hAnsi="Times New Roman"/>
          <w:color w:val="000000"/>
          <w:sz w:val="20"/>
        </w:rPr>
        <w:t xml:space="preserve"> </w:t>
      </w:r>
    </w:p>
    <w:p>
      <w:pPr>
        <w:pStyle w:val="TextBody"/>
        <w:pBdr>
          <w:bottom w:val="single" w:sz="8" w:space="1" w:color="000000"/>
        </w:pBdr>
        <w:bidi w:val="0"/>
        <w:spacing w:before="0" w:after="100"/>
        <w:jc w:val="center"/>
        <w:rPr/>
      </w:pPr>
      <w:r>
        <w:rPr/>
        <w:t> </w:t>
      </w:r>
    </w:p>
    <w:p>
      <w:pPr>
        <w:pStyle w:val="TextBody"/>
        <w:bidi w:val="0"/>
        <w:jc w:val="center"/>
        <w:rPr>
          <w:rFonts w:ascii="Times New Roman" w:hAnsi="Times New Roman"/>
          <w:sz w:val="20"/>
        </w:rPr>
      </w:pPr>
      <w:r>
        <w:rPr>
          <w:rFonts w:ascii="Arial" w:hAnsi="Arial"/>
          <w:b/>
          <w:color w:val="000000"/>
          <w:sz w:val="18"/>
        </w:rPr>
        <w:t>CURRENT REPORT</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Arial" w:hAnsi="Arial"/>
          <w:b/>
          <w:color w:val="000000"/>
          <w:sz w:val="18"/>
        </w:rPr>
        <w:t>Pursuant to Section 13 or 15(d) of the Securities Exchange Act of 1934</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Arial" w:hAnsi="Arial"/>
          <w:b/>
          <w:color w:val="000000"/>
          <w:sz w:val="18"/>
        </w:rPr>
        <w:t>Date of Report (Date of earliest event reported): August 20, 2026</w:t>
      </w:r>
      <w:r>
        <w:rPr>
          <w:rFonts w:ascii="Times New Roman" w:hAnsi="Times New Roman"/>
          <w:color w:val="000000"/>
          <w:sz w:val="20"/>
        </w:rPr>
        <w:t xml:space="preserve"> </w:t>
      </w:r>
    </w:p>
    <w:p>
      <w:pPr>
        <w:pStyle w:val="TextBody"/>
        <w:pBdr>
          <w:bottom w:val="single" w:sz="8" w:space="1" w:color="000000"/>
        </w:pBdr>
        <w:bidi w:val="0"/>
        <w:spacing w:before="0" w:after="180"/>
        <w:jc w:val="center"/>
        <w:rPr/>
      </w:pPr>
      <w:r>
        <w:rPr/>
        <w:t> </w:t>
      </w:r>
    </w:p>
    <w:p>
      <w:pPr>
        <w:pStyle w:val="TextBody"/>
        <w:bidi w:val="0"/>
        <w:jc w:val="center"/>
        <w:rPr>
          <w:rFonts w:ascii="Times New Roman" w:hAnsi="Times New Roman"/>
          <w:sz w:val="20"/>
        </w:rPr>
      </w:pPr>
      <w:r>
        <w:rPr>
          <w:rFonts w:ascii="Arial" w:hAnsi="Arial"/>
          <w:b/>
          <w:color w:val="000000"/>
          <w:sz w:val="48"/>
        </w:rPr>
        <w:t>Personalis,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color w:val="000000"/>
          <w:sz w:val="20"/>
        </w:rPr>
        <w:t xml:space="preserve">(Exact name of </w:t>
      </w:r>
      <w:r>
        <w:rPr>
          <w:rFonts w:ascii="Arial" w:hAnsi="Arial"/>
          <w:color w:val="000000"/>
          <w:sz w:val="18"/>
        </w:rPr>
        <w:t>Registrant</w:t>
      </w:r>
      <w:r>
        <w:rPr>
          <w:rFonts w:ascii="Times New Roman" w:hAnsi="Times New Roman"/>
          <w:color w:val="000000"/>
          <w:sz w:val="20"/>
        </w:rPr>
        <w:t xml:space="preserve"> </w:t>
      </w:r>
      <w:r>
        <w:rPr>
          <w:rFonts w:ascii="Arial" w:hAnsi="Arial"/>
          <w:color w:val="000000"/>
          <w:sz w:val="20"/>
        </w:rPr>
        <w:t>as Specified in Its Charter)</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jc w:val="left"/>
        <w:rPr/>
      </w:pPr>
      <w:r>
        <w:rPr/>
        <w:t> </w:t>
      </w:r>
    </w:p>
    <w:tbl>
      <w:tblPr>
        <w:tblW w:w="6078" w:type="dxa"/>
        <w:jc w:val="left"/>
        <w:tblInd w:w="0" w:type="dxa"/>
        <w:tblLayout w:type="fixed"/>
        <w:tblCellMar>
          <w:top w:w="28" w:type="dxa"/>
          <w:left w:w="28" w:type="dxa"/>
          <w:bottom w:w="28" w:type="dxa"/>
          <w:right w:w="28" w:type="dxa"/>
        </w:tblCellMar>
      </w:tblPr>
      <w:tblGrid>
        <w:gridCol w:w="3316"/>
        <w:gridCol w:w="1186"/>
        <w:gridCol w:w="1576"/>
      </w:tblGrid>
      <w:tr>
        <w:trPr/>
        <w:tc>
          <w:tcPr>
            <w:tcW w:w="331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331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Delaware</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001-38943</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27-5411038</w:t>
            </w:r>
          </w:p>
        </w:tc>
      </w:tr>
      <w:tr>
        <w:trPr/>
        <w:tc>
          <w:tcPr>
            <w:tcW w:w="3316" w:type="dxa"/>
            <w:tcBorders/>
            <w:tcMar>
              <w:top w:w="0" w:type="dxa"/>
              <w:left w:w="0" w:type="dxa"/>
              <w:bottom w:w="0" w:type="dxa"/>
              <w:right w:w="0" w:type="dxa"/>
            </w:tcMar>
            <w:vAlign w:val="center"/>
          </w:tcPr>
          <w:p>
            <w:pPr>
              <w:pStyle w:val="TableContents"/>
              <w:bidi w:val="0"/>
              <w:jc w:val="center"/>
              <w:rPr>
                <w:rFonts w:ascii="Arial" w:hAnsi="Arial"/>
                <w:color w:val="000000"/>
                <w:sz w:val="18"/>
              </w:rPr>
            </w:pPr>
            <w:r>
              <w:rPr>
                <w:rFonts w:ascii="Arial" w:hAnsi="Arial"/>
                <w:color w:val="000000"/>
                <w:sz w:val="18"/>
              </w:rPr>
              <w:t>(State or Other Jurisdiction</w:t>
            </w:r>
          </w:p>
          <w:p>
            <w:pPr>
              <w:pStyle w:val="TableContents"/>
              <w:bidi w:val="0"/>
              <w:spacing w:before="0" w:after="15"/>
              <w:jc w:val="center"/>
              <w:rPr>
                <w:rFonts w:ascii="Arial" w:hAnsi="Arial"/>
                <w:color w:val="000000"/>
                <w:sz w:val="18"/>
              </w:rPr>
            </w:pPr>
            <w:r>
              <w:rPr>
                <w:rFonts w:ascii="Arial" w:hAnsi="Arial"/>
                <w:color w:val="000000"/>
                <w:sz w:val="18"/>
              </w:rPr>
              <w:t>of Incorporation)</w:t>
            </w:r>
          </w:p>
        </w:tc>
        <w:tc>
          <w:tcPr>
            <w:tcW w:w="1186" w:type="dxa"/>
            <w:tcBorders/>
            <w:tcMar>
              <w:top w:w="0" w:type="dxa"/>
              <w:left w:w="0" w:type="dxa"/>
              <w:bottom w:w="0" w:type="dxa"/>
              <w:right w:w="0" w:type="dxa"/>
            </w:tcMar>
            <w:vAlign w:val="center"/>
          </w:tcPr>
          <w:p>
            <w:pPr>
              <w:pStyle w:val="TableContents"/>
              <w:bidi w:val="0"/>
              <w:jc w:val="center"/>
              <w:rPr>
                <w:rFonts w:ascii="Arial" w:hAnsi="Arial"/>
                <w:color w:val="000000"/>
                <w:sz w:val="18"/>
              </w:rPr>
            </w:pPr>
            <w:r>
              <w:rPr>
                <w:rFonts w:ascii="Arial" w:hAnsi="Arial"/>
                <w:color w:val="000000"/>
                <w:sz w:val="18"/>
              </w:rPr>
              <w:t>(Commission</w:t>
            </w:r>
          </w:p>
          <w:p>
            <w:pPr>
              <w:pStyle w:val="TableContents"/>
              <w:bidi w:val="0"/>
              <w:spacing w:before="0" w:after="283"/>
              <w:jc w:val="center"/>
              <w:rPr>
                <w:rFonts w:ascii="Arial" w:hAnsi="Arial"/>
                <w:color w:val="000000"/>
                <w:sz w:val="18"/>
              </w:rPr>
            </w:pPr>
            <w:r>
              <w:rPr>
                <w:rFonts w:ascii="Arial" w:hAnsi="Arial"/>
                <w:color w:val="000000"/>
                <w:sz w:val="18"/>
              </w:rPr>
              <w:t>File Number)</w:t>
            </w:r>
          </w:p>
        </w:tc>
        <w:tc>
          <w:tcPr>
            <w:tcW w:w="1576" w:type="dxa"/>
            <w:tcBorders/>
            <w:tcMar>
              <w:top w:w="0" w:type="dxa"/>
              <w:left w:w="0" w:type="dxa"/>
              <w:bottom w:w="0" w:type="dxa"/>
              <w:right w:w="0" w:type="dxa"/>
            </w:tcMar>
            <w:vAlign w:val="center"/>
          </w:tcPr>
          <w:p>
            <w:pPr>
              <w:pStyle w:val="TableContents"/>
              <w:bidi w:val="0"/>
              <w:jc w:val="center"/>
              <w:rPr>
                <w:rFonts w:ascii="Arial" w:hAnsi="Arial"/>
                <w:color w:val="000000"/>
                <w:sz w:val="18"/>
              </w:rPr>
            </w:pPr>
            <w:r>
              <w:rPr>
                <w:rFonts w:ascii="Arial" w:hAnsi="Arial"/>
                <w:color w:val="000000"/>
                <w:sz w:val="18"/>
              </w:rPr>
              <w:t>(IRS Employer</w:t>
            </w:r>
          </w:p>
          <w:p>
            <w:pPr>
              <w:pStyle w:val="TableContents"/>
              <w:bidi w:val="0"/>
              <w:spacing w:before="0" w:after="15"/>
              <w:jc w:val="center"/>
              <w:rPr>
                <w:rFonts w:ascii="Arial" w:hAnsi="Arial"/>
                <w:color w:val="000000"/>
                <w:sz w:val="18"/>
              </w:rPr>
            </w:pPr>
            <w:r>
              <w:rPr>
                <w:rFonts w:ascii="Arial" w:hAnsi="Arial"/>
                <w:color w:val="000000"/>
                <w:sz w:val="18"/>
              </w:rPr>
              <w:t>Identification No.)</w:t>
            </w:r>
          </w:p>
        </w:tc>
      </w:tr>
      <w:tr>
        <w:trPr/>
        <w:tc>
          <w:tcPr>
            <w:tcW w:w="3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tcMar>
              <w:top w:w="0" w:type="dxa"/>
              <w:left w:w="0" w:type="dxa"/>
              <w:bottom w:w="0" w:type="dxa"/>
              <w:right w:w="0" w:type="dxa"/>
            </w:tcMar>
            <w:vAlign w:val="center"/>
          </w:tcPr>
          <w:p>
            <w:pPr>
              <w:pStyle w:val="TableContents"/>
              <w:bidi w:val="0"/>
              <w:jc w:val="center"/>
              <w:rPr>
                <w:rFonts w:ascii="Arial" w:hAnsi="Arial"/>
                <w:b/>
                <w:color w:val="000000"/>
                <w:sz w:val="18"/>
              </w:rPr>
            </w:pPr>
            <w:r>
              <w:rPr>
                <w:rFonts w:ascii="Arial" w:hAnsi="Arial"/>
                <w:b/>
                <w:color w:val="000000"/>
                <w:sz w:val="18"/>
              </w:rPr>
              <w:t>6600 Dumbarton Circle</w:t>
            </w:r>
          </w:p>
          <w:p>
            <w:pPr>
              <w:pStyle w:val="TableContents"/>
              <w:bidi w:val="0"/>
              <w:spacing w:before="0" w:after="15"/>
              <w:jc w:val="center"/>
              <w:rPr>
                <w:rFonts w:ascii="Arial" w:hAnsi="Arial"/>
                <w:b/>
                <w:color w:val="000000"/>
                <w:sz w:val="18"/>
              </w:rPr>
            </w:pPr>
            <w:r>
              <w:rPr>
                <w:rFonts w:ascii="Arial" w:hAnsi="Arial"/>
                <w:b/>
                <w:color w:val="000000"/>
                <w:sz w:val="18"/>
              </w:rPr>
              <w:t>Fremont, California</w:t>
            </w:r>
          </w:p>
        </w:tc>
        <w:tc>
          <w:tcPr>
            <w:tcW w:w="1186" w:type="dxa"/>
            <w:tcBorders/>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94555</w:t>
            </w:r>
          </w:p>
        </w:tc>
      </w:tr>
      <w:tr>
        <w:trPr/>
        <w:tc>
          <w:tcPr>
            <w:tcW w:w="331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(Address of Principal Executive Offices)</w:t>
            </w:r>
          </w:p>
        </w:tc>
        <w:tc>
          <w:tcPr>
            <w:tcW w:w="1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(Zip Code)</w:t>
            </w:r>
          </w:p>
        </w:tc>
      </w:tr>
    </w:tbl>
    <w:p>
      <w:pPr>
        <w:pStyle w:val="TextBody"/>
        <w:bidi w:val="0"/>
        <w:spacing w:before="180" w:after="283"/>
        <w:jc w:val="center"/>
        <w:rPr>
          <w:rFonts w:ascii="Times New Roman" w:hAnsi="Times New Roman"/>
          <w:sz w:val="20"/>
        </w:rPr>
      </w:pPr>
      <w:r>
        <w:rPr>
          <w:rFonts w:ascii="Arial" w:hAnsi="Arial"/>
          <w:b/>
          <w:color w:val="000000"/>
          <w:sz w:val="18"/>
        </w:rPr>
        <w:t>(650)</w:t>
      </w:r>
      <w:r>
        <w:rPr>
          <w:rFonts w:ascii="Times New Roman" w:hAnsi="Times New Roman"/>
          <w:color w:val="000000"/>
          <w:sz w:val="20"/>
        </w:rPr>
        <w:t xml:space="preserve"> </w:t>
      </w:r>
      <w:r>
        <w:rPr>
          <w:rFonts w:ascii="Arial" w:hAnsi="Arial"/>
          <w:b/>
          <w:color w:val="000000"/>
          <w:sz w:val="18"/>
        </w:rPr>
        <w:t>752-1300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color w:val="000000"/>
          <w:sz w:val="18"/>
        </w:rPr>
        <w:t>Registrant’s Telephone Number, Including Area Code</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Arial" w:hAnsi="Arial"/>
          <w:b/>
          <w:color w:val="000000"/>
          <w:sz w:val="18"/>
        </w:rPr>
        <w:t>Not Applicable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color w:val="000000"/>
          <w:sz w:val="18"/>
        </w:rPr>
        <w:t>(Former Name or Former Address, if Changed Since Last Report)</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180" w:after="283"/>
        <w:jc w:val="left"/>
        <w:rPr>
          <w:rFonts w:ascii="Times New Roman" w:hAnsi="Times New Roman"/>
          <w:sz w:val="20"/>
        </w:rPr>
      </w:pPr>
      <w:r>
        <w:rPr>
          <w:rFonts w:ascii="Arial" w:hAnsi="Arial"/>
          <w:color w:val="000000"/>
          <w:sz w:val="18"/>
        </w:rPr>
        <w:t>Check the appropriate box below if the Form 8-K filing is intended to simultaneously satisfy the filing obligation of the registrant under any of the following provisions (see General Instructions A.2. below):</w:t>
      </w:r>
      <w:r>
        <w:rPr>
          <w:rFonts w:ascii="Times New Roman" w:hAnsi="Times New Roman"/>
          <w:color w:val="000000"/>
          <w:sz w:val="20"/>
        </w:rPr>
        <w:t xml:space="preserve"> </w:t>
      </w:r>
    </w:p>
    <w:p>
      <w:pPr>
        <w:pStyle w:val="TextBody"/>
        <w:bidi w:val="0"/>
        <w:spacing w:before="120" w:after="283"/>
        <w:jc w:val="left"/>
        <w:rPr/>
      </w:pPr>
      <w:r>
        <w:rPr>
          <w:color w:val="000000"/>
        </w:rPr>
        <w:t xml:space="preserve">☐ </w:t>
      </w:r>
      <w:r>
        <w:rPr>
          <w:rFonts w:ascii="Arial" w:hAnsi="Arial"/>
          <w:color w:val="000000"/>
          <w:sz w:val="18"/>
        </w:rPr>
        <w:t>Written communications pursuant to Rule 425 under the Securities Act (17 CFR 230.425)</w:t>
      </w:r>
      <w:r>
        <w:rPr>
          <w:rFonts w:ascii="Times New Roman" w:hAnsi="Times New Roman"/>
          <w:color w:val="000000"/>
          <w:sz w:val="20"/>
        </w:rPr>
        <w:t xml:space="preserve"> </w:t>
      </w:r>
    </w:p>
    <w:p>
      <w:pPr>
        <w:pStyle w:val="TextBody"/>
        <w:bidi w:val="0"/>
        <w:spacing w:before="120" w:after="283"/>
        <w:jc w:val="left"/>
        <w:rPr/>
      </w:pPr>
      <w:r>
        <w:rPr>
          <w:color w:val="000000"/>
        </w:rPr>
        <w:t xml:space="preserve">☐ </w:t>
      </w:r>
      <w:r>
        <w:rPr>
          <w:rFonts w:ascii="Arial" w:hAnsi="Arial"/>
          <w:color w:val="000000"/>
          <w:sz w:val="18"/>
        </w:rPr>
        <w:t>Soliciting material pursuant to Rule 14a-12 under the Exchange Act (17 CFR 240.14a-12)</w:t>
      </w:r>
      <w:r>
        <w:rPr>
          <w:rFonts w:ascii="Times New Roman" w:hAnsi="Times New Roman"/>
          <w:color w:val="000000"/>
          <w:sz w:val="20"/>
        </w:rPr>
        <w:t xml:space="preserve"> </w:t>
      </w:r>
    </w:p>
    <w:p>
      <w:pPr>
        <w:pStyle w:val="TextBody"/>
        <w:bidi w:val="0"/>
        <w:spacing w:before="120" w:after="283"/>
        <w:jc w:val="left"/>
        <w:rPr/>
      </w:pPr>
      <w:r>
        <w:rPr>
          <w:color w:val="000000"/>
        </w:rPr>
        <w:t xml:space="preserve">☐ </w:t>
      </w:r>
      <w:r>
        <w:rPr>
          <w:rFonts w:ascii="Arial" w:hAnsi="Arial"/>
          <w:color w:val="000000"/>
          <w:sz w:val="18"/>
        </w:rPr>
        <w:t>Pre-commencement communications pursuant to Rule 14d-2(b) under the Exchange Act (17 CFR 240.14d-2(b))</w:t>
      </w:r>
      <w:r>
        <w:rPr>
          <w:rFonts w:ascii="Times New Roman" w:hAnsi="Times New Roman"/>
          <w:color w:val="000000"/>
          <w:sz w:val="20"/>
        </w:rPr>
        <w:t xml:space="preserve"> </w:t>
      </w:r>
    </w:p>
    <w:p>
      <w:pPr>
        <w:pStyle w:val="TextBody"/>
        <w:bidi w:val="0"/>
        <w:spacing w:before="120" w:after="283"/>
        <w:jc w:val="left"/>
        <w:rPr/>
      </w:pPr>
      <w:r>
        <w:rPr>
          <w:color w:val="000000"/>
        </w:rPr>
        <w:t xml:space="preserve">☐ </w:t>
      </w:r>
      <w:r>
        <w:rPr>
          <w:rFonts w:ascii="Arial" w:hAnsi="Arial"/>
          <w:color w:val="000000"/>
          <w:sz w:val="18"/>
        </w:rPr>
        <w:t>Pre-commencement communications pursuant to Rule 13e-4(c) under the Exchange Act (17 CFR 240.13e-4(c))</w:t>
      </w:r>
      <w:r>
        <w:rPr>
          <w:rFonts w:ascii="Times New Roman" w:hAnsi="Times New Roman"/>
          <w:color w:val="000000"/>
          <w:sz w:val="20"/>
        </w:rPr>
        <w:t xml:space="preserve"> </w:t>
      </w:r>
    </w:p>
    <w:p>
      <w:pPr>
        <w:pStyle w:val="TextBody"/>
        <w:bidi w:val="0"/>
        <w:spacing w:before="180" w:after="180"/>
        <w:jc w:val="left"/>
        <w:rPr>
          <w:rFonts w:ascii="Arial" w:hAnsi="Arial"/>
          <w:color w:val="000000"/>
          <w:sz w:val="18"/>
        </w:rPr>
      </w:pPr>
      <w:r>
        <w:rPr>
          <w:rFonts w:ascii="Arial" w:hAnsi="Arial"/>
          <w:color w:val="000000"/>
          <w:sz w:val="18"/>
        </w:rPr>
        <w:t>Securities registered pursuant to Section 12(b) of the Act:</w:t>
      </w:r>
    </w:p>
    <w:tbl>
      <w:tblPr>
        <w:tblW w:w="8980" w:type="dxa"/>
        <w:jc w:val="left"/>
        <w:tblInd w:w="0" w:type="dxa"/>
        <w:tblLayout w:type="fixed"/>
        <w:tblCellMar>
          <w:top w:w="28" w:type="dxa"/>
          <w:left w:w="28" w:type="dxa"/>
          <w:bottom w:w="28" w:type="dxa"/>
          <w:right w:w="28" w:type="dxa"/>
        </w:tblCellMar>
      </w:tblPr>
      <w:tblGrid>
        <w:gridCol w:w="3766"/>
        <w:gridCol w:w="146"/>
        <w:gridCol w:w="976"/>
        <w:gridCol w:w="146"/>
        <w:gridCol w:w="3946"/>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6" w:type="dxa"/>
            <w:tcBorders/>
            <w:vAlign w:val="center"/>
          </w:tcPr>
          <w:p>
            <w:pPr>
              <w:pStyle w:val="TableContents"/>
              <w:bidi w:val="0"/>
              <w:spacing w:before="0" w:after="283"/>
              <w:jc w:val="left"/>
              <w:rPr>
                <w:sz w:val="4"/>
                <w:szCs w:val="4"/>
              </w:rPr>
            </w:pPr>
            <w:r>
              <w:rPr>
                <w:sz w:val="4"/>
                <w:szCs w:val="4"/>
              </w:rPr>
            </w:r>
          </w:p>
        </w:tc>
      </w:tr>
      <w:tr>
        <w:trPr/>
        <w:tc>
          <w:tcPr>
            <w:tcW w:w="37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76"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8"/>
              </w:rPr>
            </w:pPr>
            <w:r>
              <w:rPr>
                <w:rFonts w:ascii="Arial" w:hAnsi="Arial"/>
                <w:b/>
                <w:color w:val="000000"/>
                <w:sz w:val="18"/>
              </w:rPr>
              <w:t>Trading</w:t>
            </w:r>
          </w:p>
          <w:p>
            <w:pPr>
              <w:pStyle w:val="TableContents"/>
              <w:bidi w:val="0"/>
              <w:spacing w:before="0" w:after="283"/>
              <w:jc w:val="center"/>
              <w:rPr>
                <w:rFonts w:ascii="Arial" w:hAnsi="Arial"/>
                <w:b/>
                <w:color w:val="000000"/>
                <w:sz w:val="18"/>
              </w:rPr>
            </w:pPr>
            <w:r>
              <w:rPr>
                <w:rFonts w:ascii="Arial" w:hAnsi="Arial"/>
                <w:b/>
                <w:color w:val="000000"/>
                <w:sz w:val="18"/>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9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Name of each exchange on which registered</w:t>
            </w:r>
          </w:p>
        </w:tc>
      </w:tr>
      <w:tr>
        <w:trPr/>
        <w:tc>
          <w:tcPr>
            <w:tcW w:w="37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PSNL</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94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The Nasdaq Global Market</w:t>
            </w:r>
          </w:p>
        </w:tc>
      </w:tr>
    </w:tbl>
    <w:p>
      <w:pPr>
        <w:pStyle w:val="TextBody"/>
        <w:bidi w:val="0"/>
        <w:spacing w:before="180" w:after="283"/>
        <w:jc w:val="left"/>
        <w:rPr>
          <w:rFonts w:ascii="Arial" w:hAnsi="Arial"/>
          <w:color w:val="000000"/>
          <w:sz w:val="18"/>
        </w:rPr>
      </w:pPr>
      <w:r>
        <w:rPr>
          <w:rFonts w:ascii="Arial" w:hAnsi="Arial"/>
          <w:color w:val="000000"/>
          <w:sz w:val="18"/>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80" w:after="283"/>
        <w:jc w:val="left"/>
        <w:rPr>
          <w:rFonts w:ascii="Times New Roman" w:hAnsi="Times New Roman"/>
          <w:sz w:val="20"/>
        </w:rPr>
      </w:pPr>
      <w:r>
        <w:rPr>
          <w:rFonts w:ascii="Arial" w:hAnsi="Arial"/>
          <w:color w:val="000000"/>
          <w:sz w:val="18"/>
        </w:rPr>
        <w:t xml:space="preserve">Emerging growth company </w:t>
      </w:r>
      <w:r>
        <w:rPr>
          <w:rFonts w:ascii="Times New Roman" w:hAnsi="Times New Roman"/>
          <w:color w:val="000000"/>
          <w:sz w:val="20"/>
        </w:rPr>
        <w:t>☐</w:t>
      </w:r>
    </w:p>
    <w:p>
      <w:pPr>
        <w:pStyle w:val="TextBody"/>
        <w:bidi w:val="0"/>
        <w:spacing w:before="180" w:after="283"/>
        <w:jc w:val="left"/>
        <w:rPr>
          <w:rFonts w:ascii="Times New Roman" w:hAnsi="Times New Roman"/>
          <w:sz w:val="20"/>
        </w:rPr>
      </w:pPr>
      <w:r>
        <w:rPr>
          <w:rFonts w:ascii="Arial" w:hAnsi="Arial"/>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Item 8.01 Other Events.</w:t>
      </w:r>
    </w:p>
    <w:p>
      <w:pPr>
        <w:pStyle w:val="TextBody"/>
        <w:bidi w:val="0"/>
        <w:spacing w:before="120" w:after="283"/>
        <w:jc w:val="both"/>
        <w:rPr>
          <w:rFonts w:ascii="Arial" w:hAnsi="Arial"/>
          <w:color w:val="000000"/>
          <w:sz w:val="18"/>
        </w:rPr>
      </w:pPr>
      <w:r>
        <w:rPr>
          <w:rFonts w:ascii="Arial" w:hAnsi="Arial"/>
          <w:color w:val="000000"/>
          <w:sz w:val="18"/>
        </w:rPr>
        <w:t>On August 20, 2026, Personalis, Inc. received a new task order under its contract with the U.S. Department of Veterans Affairs (VA) for the VA's Million Veteran Program (VA MVP). The new task order is effective on September 30, 2026 and has a value of up to $18.3 million, subject to the receipt of samples from the VA MVP and performance of services by Personalis. The cumulative value of task orders received by Personalis under its contracts with the VA MVP has increased to approximately $243.3 million.</w:t>
      </w:r>
    </w:p>
    <w:p>
      <w:pPr>
        <w:pStyle w:val="TextBody"/>
        <w:bidi w:val="0"/>
        <w:spacing w:before="240" w:after="283"/>
        <w:jc w:val="both"/>
        <w:rPr>
          <w:rFonts w:ascii="Arial" w:hAnsi="Arial"/>
          <w:b/>
          <w:color w:val="000000"/>
          <w:sz w:val="18"/>
        </w:rPr>
      </w:pPr>
      <w:r>
        <w:rPr>
          <w:rFonts w:ascii="Arial" w:hAnsi="Arial"/>
          <w:b/>
          <w:color w:val="000000"/>
          <w:sz w:val="18"/>
        </w:rPr>
        <w:t>Forward-Looking Statements</w:t>
      </w:r>
    </w:p>
    <w:p>
      <w:pPr>
        <w:pStyle w:val="TextBody"/>
        <w:bidi w:val="0"/>
        <w:spacing w:before="120" w:after="283"/>
        <w:jc w:val="left"/>
        <w:rPr>
          <w:rFonts w:ascii="Arial" w:hAnsi="Arial"/>
          <w:color w:val="000000"/>
          <w:sz w:val="18"/>
        </w:rPr>
      </w:pPr>
      <w:r>
        <w:rPr>
          <w:rFonts w:ascii="Arial" w:hAnsi="Arial"/>
          <w:color w:val="000000"/>
          <w:sz w:val="18"/>
        </w:rPr>
        <w:t xml:space="preserve">This Current Report on Form 8-K contains “forward-looking statements” within the meaning of Section 27A of the Securities Act of 1933 and Section 21E of the Securities Exchange Act of 1934. For example, forward-looking statements include statements regarding: the timing and quantity of samples received from the VA MVP; the extent to which Personalis realizes revenue, if any, from the VA MVP contract and task orders thereunder; and the enrollment of veterans in the VA MVP study, and ongoing demand of the VA MVP for Personalis' services. These forward-looking statements are subject to risks and uncertainties, including those discussed in Personalis' filings with the Securities and Exchange Commission, including in the “Risk Factors” and “Management's Discussion and Analysis of Financial Condition and Results of Operations” sections of the Company's most recently filed periodic reports on Form 10-Q and subsequent filings and in the documents incorporated by reference therein. Except as otherwise required by law, Personalis disclaims any intention or obligation to update or revise any forward-looking statements, which speak only as of the date hereof, whether as a result of new information, future events or circumstances or otherwise.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SIGNATURES</w:t>
      </w:r>
    </w:p>
    <w:p>
      <w:pPr>
        <w:pStyle w:val="TextBody"/>
        <w:bidi w:val="0"/>
        <w:spacing w:before="240" w:after="283"/>
        <w:jc w:val="left"/>
        <w:rPr>
          <w:rFonts w:ascii="Arial" w:hAnsi="Arial"/>
          <w:color w:val="000000"/>
          <w:sz w:val="18"/>
        </w:rPr>
      </w:pPr>
      <w:r>
        <w:rPr>
          <w:rFonts w:ascii="Arial" w:hAnsi="Arial"/>
          <w:color w:val="000000"/>
          <w:sz w:val="18"/>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7792" w:type="dxa"/>
        <w:jc w:val="left"/>
        <w:tblInd w:w="0" w:type="dxa"/>
        <w:tblLayout w:type="fixed"/>
        <w:tblCellMar>
          <w:top w:w="28" w:type="dxa"/>
          <w:left w:w="28" w:type="dxa"/>
          <w:bottom w:w="28" w:type="dxa"/>
          <w:right w:w="28" w:type="dxa"/>
        </w:tblCellMar>
      </w:tblPr>
      <w:tblGrid>
        <w:gridCol w:w="1936"/>
        <w:gridCol w:w="109"/>
        <w:gridCol w:w="361"/>
        <w:gridCol w:w="5386"/>
      </w:tblGrid>
      <w:tr>
        <w:trPr/>
        <w:tc>
          <w:tcPr>
            <w:tcW w:w="1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386"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Date: August 20,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Personalis, Inc.</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By:</w:t>
            </w:r>
          </w:p>
        </w:tc>
        <w:tc>
          <w:tcPr>
            <w:tcW w:w="53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 Stephen Moore</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Stephen Moore</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Senior Vice President, Chief Legal Officer &amp; Corporate Secretary</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640</Words>
  <Characters>3519</Characters>
  <CharactersWithSpaces>4149</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