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4882dsc13e3a.htm"/>
      <w:bookmarkStart w:id="1" w:name="ksd144882dsc13e3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AMENDMENT NO. 1 TO </w:t>
      </w:r>
    </w:p>
    <w:p>
      <w:pPr>
        <w:pStyle w:val="TextBody"/>
        <w:bidi w:val="0"/>
        <w:spacing w:before="0" w:after="0"/>
        <w:jc w:val="center"/>
        <w:rPr>
          <w:rFonts w:ascii="Times New Roman" w:hAnsi="Times New Roman"/>
          <w:b/>
          <w:sz w:val="36"/>
        </w:rPr>
      </w:pPr>
      <w:r>
        <w:rPr>
          <w:rFonts w:ascii="Times New Roman" w:hAnsi="Times New Roman"/>
          <w:b/>
          <w:sz w:val="36"/>
        </w:rPr>
        <w:t xml:space="preserve">SCHEDULE 13E-3 </w:t>
      </w:r>
    </w:p>
    <w:p>
      <w:pPr>
        <w:pStyle w:val="TextBody"/>
        <w:bidi w:val="0"/>
        <w:spacing w:before="240" w:after="0"/>
        <w:jc w:val="center"/>
        <w:rPr>
          <w:rFonts w:ascii="Times New Roman" w:hAnsi="Times New Roman"/>
          <w:b/>
          <w:sz w:val="24"/>
        </w:rPr>
      </w:pPr>
      <w:r>
        <w:rPr>
          <w:rFonts w:ascii="Times New Roman" w:hAnsi="Times New Roman"/>
          <w:b/>
          <w:sz w:val="24"/>
        </w:rPr>
        <w:t xml:space="preserve">RULE 13E-3 TRANSACTION STATEMENT UNDER SECTION 13(E)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PERSONALIS,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the Issuer)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Personalis, Inc. </w:t>
      </w:r>
    </w:p>
    <w:p>
      <w:pPr>
        <w:pStyle w:val="TextBody"/>
        <w:bidi w:val="0"/>
        <w:spacing w:before="0" w:after="0"/>
        <w:jc w:val="center"/>
        <w:rPr>
          <w:rFonts w:ascii="Times New Roman" w:hAnsi="Times New Roman"/>
          <w:b/>
          <w:sz w:val="20"/>
        </w:rPr>
      </w:pPr>
      <w:r>
        <w:rPr>
          <w:rFonts w:ascii="Times New Roman" w:hAnsi="Times New Roman"/>
          <w:b/>
          <w:sz w:val="20"/>
        </w:rPr>
        <w:t xml:space="preserve">Tempus AI, Inc. </w:t>
      </w:r>
    </w:p>
    <w:p>
      <w:pPr>
        <w:pStyle w:val="TextBody"/>
        <w:bidi w:val="0"/>
        <w:spacing w:before="0" w:after="0"/>
        <w:jc w:val="center"/>
        <w:rPr>
          <w:rFonts w:ascii="Times New Roman" w:hAnsi="Times New Roman"/>
          <w:b/>
          <w:sz w:val="20"/>
        </w:rPr>
      </w:pPr>
      <w:r>
        <w:rPr>
          <w:rFonts w:ascii="Times New Roman" w:hAnsi="Times New Roman"/>
          <w:b/>
          <w:sz w:val="20"/>
        </w:rPr>
        <w:t xml:space="preserve">Aviary Development, Inc. </w:t>
      </w:r>
    </w:p>
    <w:p>
      <w:pPr>
        <w:pStyle w:val="TextBody"/>
        <w:bidi w:val="0"/>
        <w:spacing w:before="0" w:after="0"/>
        <w:jc w:val="center"/>
        <w:rPr>
          <w:rFonts w:ascii="Times New Roman" w:hAnsi="Times New Roman"/>
          <w:b/>
          <w:sz w:val="20"/>
        </w:rPr>
      </w:pPr>
      <w:r>
        <w:rPr>
          <w:rFonts w:ascii="Times New Roman" w:hAnsi="Times New Roman"/>
          <w:b/>
          <w:sz w:val="20"/>
        </w:rPr>
        <w:t xml:space="preserve">Toucan Development, LLC </w:t>
      </w:r>
    </w:p>
    <w:p>
      <w:pPr>
        <w:pStyle w:val="TextBody"/>
        <w:bidi w:val="0"/>
        <w:spacing w:before="0" w:after="0"/>
        <w:jc w:val="center"/>
        <w:rPr>
          <w:rFonts w:ascii="Times New Roman" w:hAnsi="Times New Roman"/>
          <w:b/>
          <w:sz w:val="20"/>
        </w:rPr>
      </w:pPr>
      <w:r>
        <w:rPr>
          <w:rFonts w:ascii="Times New Roman" w:hAnsi="Times New Roman"/>
          <w:b/>
          <w:sz w:val="20"/>
        </w:rPr>
        <w:t xml:space="preserve">Eric Lefkofsky </w:t>
      </w:r>
    </w:p>
    <w:p>
      <w:pPr>
        <w:pStyle w:val="TextBody"/>
        <w:bidi w:val="0"/>
        <w:spacing w:before="0" w:after="0"/>
        <w:jc w:val="center"/>
        <w:rPr>
          <w:rFonts w:ascii="Times New Roman" w:hAnsi="Times New Roman"/>
          <w:b/>
          <w:sz w:val="16"/>
        </w:rPr>
      </w:pPr>
      <w:r>
        <w:rPr>
          <w:rFonts w:ascii="Times New Roman" w:hAnsi="Times New Roman"/>
          <w:b/>
          <w:sz w:val="16"/>
        </w:rPr>
        <w:t xml:space="preserve">(Names of Persons Filing Statement)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par value $0.0001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71535D106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Eric Lefkofsky</w:t>
            </w:r>
          </w:p>
          <w:p>
            <w:pPr>
              <w:pStyle w:val="TableContents"/>
              <w:bidi w:val="0"/>
              <w:spacing w:before="0" w:after="0"/>
              <w:jc w:val="center"/>
              <w:rPr>
                <w:rFonts w:ascii="Times New Roman" w:hAnsi="Times New Roman"/>
                <w:b/>
                <w:sz w:val="20"/>
              </w:rPr>
            </w:pPr>
            <w:r>
              <w:rPr>
                <w:rFonts w:ascii="Times New Roman" w:hAnsi="Times New Roman"/>
                <w:b/>
                <w:sz w:val="20"/>
              </w:rPr>
              <w:t>Chief Executive Officer, Founder and Chairman</w:t>
            </w:r>
          </w:p>
          <w:p>
            <w:pPr>
              <w:pStyle w:val="TableContents"/>
              <w:bidi w:val="0"/>
              <w:spacing w:before="0" w:after="0"/>
              <w:jc w:val="center"/>
              <w:rPr>
                <w:rFonts w:ascii="Times New Roman" w:hAnsi="Times New Roman"/>
                <w:b/>
                <w:sz w:val="20"/>
              </w:rPr>
            </w:pPr>
            <w:r>
              <w:rPr>
                <w:rFonts w:ascii="Times New Roman" w:hAnsi="Times New Roman"/>
                <w:b/>
                <w:sz w:val="20"/>
              </w:rPr>
              <w:t>Tempus AI, Inc.</w:t>
            </w:r>
          </w:p>
          <w:p>
            <w:pPr>
              <w:pStyle w:val="TableContents"/>
              <w:bidi w:val="0"/>
              <w:spacing w:before="0" w:after="0"/>
              <w:jc w:val="center"/>
              <w:rPr>
                <w:rFonts w:ascii="Times New Roman" w:hAnsi="Times New Roman"/>
                <w:b/>
                <w:sz w:val="20"/>
              </w:rPr>
            </w:pPr>
            <w:r>
              <w:rPr>
                <w:rFonts w:ascii="Times New Roman" w:hAnsi="Times New Roman"/>
                <w:b/>
                <w:sz w:val="20"/>
              </w:rPr>
              <w:t>600 West Chicago Avenue, Suite 510</w:t>
            </w:r>
          </w:p>
          <w:p>
            <w:pPr>
              <w:pStyle w:val="TableContents"/>
              <w:bidi w:val="0"/>
              <w:spacing w:before="0" w:after="0"/>
              <w:jc w:val="center"/>
              <w:rPr>
                <w:rFonts w:ascii="Times New Roman" w:hAnsi="Times New Roman"/>
                <w:b/>
                <w:sz w:val="20"/>
              </w:rPr>
            </w:pPr>
            <w:r>
              <w:rPr>
                <w:rFonts w:ascii="Times New Roman" w:hAnsi="Times New Roman"/>
                <w:b/>
                <w:sz w:val="20"/>
              </w:rPr>
              <w:t>Chicago, Illinois 60654</w:t>
            </w:r>
          </w:p>
          <w:p>
            <w:pPr>
              <w:pStyle w:val="TableContents"/>
              <w:bidi w:val="0"/>
              <w:spacing w:before="0" w:after="20"/>
              <w:jc w:val="center"/>
              <w:rPr>
                <w:rFonts w:ascii="Times New Roman" w:hAnsi="Times New Roman"/>
                <w:b/>
                <w:sz w:val="20"/>
              </w:rPr>
            </w:pPr>
            <w:r>
              <w:rPr>
                <w:rFonts w:ascii="Times New Roman" w:hAnsi="Times New Roman"/>
                <w:b/>
                <w:sz w:val="20"/>
              </w:rPr>
              <w:t>(800) 976-5448</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20"/>
              </w:rPr>
            </w:pPr>
            <w:r>
              <w:rPr>
                <w:rFonts w:ascii="Times New Roman" w:hAnsi="Times New Roman"/>
                <w:b/>
                <w:sz w:val="20"/>
              </w:rPr>
              <w:t>Christopher Hall</w:t>
            </w:r>
          </w:p>
          <w:p>
            <w:pPr>
              <w:pStyle w:val="TableContents"/>
              <w:bidi w:val="0"/>
              <w:spacing w:before="0" w:after="0"/>
              <w:jc w:val="center"/>
              <w:rPr>
                <w:rFonts w:ascii="Times New Roman" w:hAnsi="Times New Roman"/>
                <w:b/>
                <w:sz w:val="20"/>
              </w:rPr>
            </w:pPr>
            <w:r>
              <w:rPr>
                <w:rFonts w:ascii="Times New Roman" w:hAnsi="Times New Roman"/>
                <w:b/>
                <w:sz w:val="20"/>
              </w:rPr>
              <w:t>Chief Executive Officer</w:t>
            </w:r>
          </w:p>
          <w:p>
            <w:pPr>
              <w:pStyle w:val="TableContents"/>
              <w:bidi w:val="0"/>
              <w:spacing w:before="0" w:after="0"/>
              <w:jc w:val="center"/>
              <w:rPr>
                <w:rFonts w:ascii="Times New Roman" w:hAnsi="Times New Roman"/>
                <w:b/>
                <w:sz w:val="20"/>
              </w:rPr>
            </w:pPr>
            <w:r>
              <w:rPr>
                <w:rFonts w:ascii="Times New Roman" w:hAnsi="Times New Roman"/>
                <w:b/>
                <w:sz w:val="20"/>
              </w:rPr>
              <w:t>Personalis, Inc.</w:t>
            </w:r>
          </w:p>
          <w:p>
            <w:pPr>
              <w:pStyle w:val="TableContents"/>
              <w:bidi w:val="0"/>
              <w:spacing w:before="0" w:after="0"/>
              <w:jc w:val="center"/>
              <w:rPr>
                <w:rFonts w:ascii="Times New Roman" w:hAnsi="Times New Roman"/>
                <w:b/>
                <w:sz w:val="20"/>
              </w:rPr>
            </w:pPr>
            <w:r>
              <w:rPr>
                <w:rFonts w:ascii="Times New Roman" w:hAnsi="Times New Roman"/>
                <w:b/>
                <w:sz w:val="20"/>
              </w:rPr>
              <w:t>6600 Dumbarton Circle</w:t>
            </w:r>
          </w:p>
          <w:p>
            <w:pPr>
              <w:pStyle w:val="TableContents"/>
              <w:bidi w:val="0"/>
              <w:spacing w:before="0" w:after="0"/>
              <w:jc w:val="center"/>
              <w:rPr>
                <w:rFonts w:ascii="Times New Roman" w:hAnsi="Times New Roman"/>
                <w:b/>
                <w:sz w:val="20"/>
              </w:rPr>
            </w:pPr>
            <w:r>
              <w:rPr>
                <w:rFonts w:ascii="Times New Roman" w:hAnsi="Times New Roman"/>
                <w:b/>
                <w:sz w:val="20"/>
              </w:rPr>
              <w:t>Fremont, California 94555</w:t>
            </w:r>
          </w:p>
          <w:p>
            <w:pPr>
              <w:pStyle w:val="TableContents"/>
              <w:bidi w:val="0"/>
              <w:spacing w:before="0" w:after="20"/>
              <w:jc w:val="center"/>
              <w:rPr>
                <w:rFonts w:ascii="Times New Roman" w:hAnsi="Times New Roman"/>
                <w:b/>
                <w:sz w:val="20"/>
              </w:rPr>
            </w:pPr>
            <w:r>
              <w:rPr>
                <w:rFonts w:ascii="Times New Roman" w:hAnsi="Times New Roman"/>
                <w:b/>
                <w:sz w:val="20"/>
              </w:rPr>
              <w:t>(650) 752-1300</w:t>
            </w:r>
          </w:p>
        </w:tc>
      </w:tr>
      <w:tr>
        <w:trPr/>
        <w:tc>
          <w:tcPr>
            <w:tcW w:w="10205" w:type="dxa"/>
            <w:gridSpan w:val="3"/>
            <w:tcBorders/>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(Name, Address, and Telephone Numbers of Person Authorized to Receive Notices and Communications on Behalf of the Persons Filing Statement)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Bradley C. Faris</w:t>
              <w:br/>
              <w:t>Tessa Bernhardt</w:t>
              <w:br/>
              <w:t>Jana Kovich</w:t>
            </w:r>
          </w:p>
          <w:p>
            <w:pPr>
              <w:pStyle w:val="TableContents"/>
              <w:bidi w:val="0"/>
              <w:spacing w:before="0" w:after="0"/>
              <w:jc w:val="center"/>
              <w:rPr>
                <w:rFonts w:ascii="Times New Roman" w:hAnsi="Times New Roman"/>
                <w:b/>
                <w:sz w:val="20"/>
              </w:rPr>
            </w:pPr>
            <w:r>
              <w:rPr>
                <w:rFonts w:ascii="Times New Roman" w:hAnsi="Times New Roman"/>
                <w:b/>
                <w:sz w:val="20"/>
              </w:rPr>
              <w:t>Latham &amp; Watkins LLP</w:t>
            </w:r>
          </w:p>
          <w:p>
            <w:pPr>
              <w:pStyle w:val="TableContents"/>
              <w:bidi w:val="0"/>
              <w:spacing w:before="0" w:after="0"/>
              <w:jc w:val="center"/>
              <w:rPr>
                <w:rFonts w:ascii="Times New Roman" w:hAnsi="Times New Roman"/>
                <w:b/>
                <w:sz w:val="20"/>
              </w:rPr>
            </w:pPr>
            <w:r>
              <w:rPr>
                <w:rFonts w:ascii="Times New Roman" w:hAnsi="Times New Roman"/>
                <w:b/>
                <w:sz w:val="20"/>
              </w:rPr>
              <w:t>330 North Wabash Avenue, Suite 2800</w:t>
            </w:r>
          </w:p>
          <w:p>
            <w:pPr>
              <w:pStyle w:val="TableContents"/>
              <w:bidi w:val="0"/>
              <w:spacing w:before="0" w:after="0"/>
              <w:jc w:val="center"/>
              <w:rPr>
                <w:rFonts w:ascii="Times New Roman" w:hAnsi="Times New Roman"/>
                <w:b/>
                <w:sz w:val="20"/>
              </w:rPr>
            </w:pPr>
            <w:r>
              <w:rPr>
                <w:rFonts w:ascii="Times New Roman" w:hAnsi="Times New Roman"/>
                <w:b/>
                <w:sz w:val="20"/>
              </w:rPr>
              <w:t>Chicago, IL 60611</w:t>
            </w:r>
          </w:p>
          <w:p>
            <w:pPr>
              <w:pStyle w:val="TableContents"/>
              <w:bidi w:val="0"/>
              <w:spacing w:before="0" w:after="20"/>
              <w:jc w:val="center"/>
              <w:rPr>
                <w:rFonts w:ascii="Times New Roman" w:hAnsi="Times New Roman"/>
                <w:b/>
                <w:sz w:val="20"/>
              </w:rPr>
            </w:pPr>
            <w:r>
              <w:rPr>
                <w:rFonts w:ascii="Times New Roman" w:hAnsi="Times New Roman"/>
                <w:b/>
                <w:sz w:val="20"/>
              </w:rPr>
              <w:t>(312) 876-7700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Bill Roegge</w:t>
            </w:r>
          </w:p>
          <w:p>
            <w:pPr>
              <w:pStyle w:val="TableContents"/>
              <w:bidi w:val="0"/>
              <w:spacing w:before="0" w:after="0"/>
              <w:jc w:val="center"/>
              <w:rPr>
                <w:rFonts w:ascii="Times New Roman" w:hAnsi="Times New Roman"/>
                <w:b/>
                <w:sz w:val="20"/>
              </w:rPr>
            </w:pPr>
            <w:r>
              <w:rPr>
                <w:rFonts w:ascii="Times New Roman" w:hAnsi="Times New Roman"/>
                <w:b/>
                <w:sz w:val="20"/>
              </w:rPr>
              <w:t>Laura Berezin</w:t>
            </w:r>
          </w:p>
          <w:p>
            <w:pPr>
              <w:pStyle w:val="TableContents"/>
              <w:bidi w:val="0"/>
              <w:spacing w:before="0" w:after="0"/>
              <w:jc w:val="center"/>
              <w:rPr>
                <w:rFonts w:ascii="Times New Roman" w:hAnsi="Times New Roman"/>
                <w:b/>
                <w:sz w:val="20"/>
              </w:rPr>
            </w:pPr>
            <w:r>
              <w:rPr>
                <w:rFonts w:ascii="Times New Roman" w:hAnsi="Times New Roman"/>
                <w:b/>
                <w:sz w:val="20"/>
              </w:rPr>
              <w:t>Cooley LLP</w:t>
            </w:r>
          </w:p>
          <w:p>
            <w:pPr>
              <w:pStyle w:val="TableContents"/>
              <w:bidi w:val="0"/>
              <w:spacing w:before="0" w:after="0"/>
              <w:jc w:val="center"/>
              <w:rPr>
                <w:rFonts w:ascii="Times New Roman" w:hAnsi="Times New Roman"/>
                <w:b/>
                <w:sz w:val="20"/>
              </w:rPr>
            </w:pPr>
            <w:r>
              <w:rPr>
                <w:rFonts w:ascii="Times New Roman" w:hAnsi="Times New Roman"/>
                <w:b/>
                <w:sz w:val="20"/>
              </w:rPr>
              <w:t>55 Hudson Yards</w:t>
            </w:r>
          </w:p>
          <w:p>
            <w:pPr>
              <w:pStyle w:val="TableContents"/>
              <w:bidi w:val="0"/>
              <w:spacing w:before="0" w:after="0"/>
              <w:jc w:val="center"/>
              <w:rPr>
                <w:rFonts w:ascii="Times New Roman" w:hAnsi="Times New Roman"/>
                <w:b/>
                <w:sz w:val="20"/>
              </w:rPr>
            </w:pPr>
            <w:r>
              <w:rPr>
                <w:rFonts w:ascii="Times New Roman" w:hAnsi="Times New Roman"/>
                <w:b/>
                <w:sz w:val="20"/>
              </w:rPr>
              <w:t>New York, NY 10001</w:t>
            </w:r>
          </w:p>
          <w:p>
            <w:pPr>
              <w:pStyle w:val="TableContents"/>
              <w:bidi w:val="0"/>
              <w:spacing w:before="0" w:after="20"/>
              <w:jc w:val="center"/>
              <w:rPr>
                <w:rFonts w:ascii="Times New Roman" w:hAnsi="Times New Roman"/>
                <w:b/>
                <w:sz w:val="20"/>
              </w:rPr>
            </w:pPr>
            <w:r>
              <w:rPr>
                <w:rFonts w:ascii="Times New Roman" w:hAnsi="Times New Roman"/>
                <w:b/>
                <w:sz w:val="20"/>
              </w:rPr>
              <w:t>(212) 479-6000</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statement is filed in connection with (check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0"/>
        <w:gridCol w:w="124"/>
        <w:gridCol w:w="247"/>
        <w:gridCol w:w="124"/>
        <w:gridCol w:w="9470"/>
      </w:tblGrid>
      <w:tr>
        <w:trPr/>
        <w:tc>
          <w:tcPr>
            <w:tcW w:w="24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470" w:type="dxa"/>
            <w:tcBorders/>
            <w:vAlign w:val="center"/>
          </w:tcPr>
          <w:p>
            <w:pPr>
              <w:pStyle w:val="TableContents"/>
              <w:bidi w:val="0"/>
              <w:spacing w:before="0" w:after="283"/>
              <w:jc w:val="left"/>
              <w:rPr>
                <w:sz w:val="4"/>
                <w:szCs w:val="4"/>
              </w:rPr>
            </w:pPr>
            <w:r>
              <w:rPr>
                <w:sz w:val="4"/>
                <w:szCs w:val="4"/>
              </w:rPr>
            </w:r>
          </w:p>
        </w:tc>
      </w:tr>
      <w:tr>
        <w:trPr/>
        <w:tc>
          <w:tcPr>
            <w:tcW w:w="240" w:type="dxa"/>
            <w:tcBorders/>
          </w:tcPr>
          <w:p>
            <w:pPr>
              <w:pStyle w:val="TableContents"/>
              <w:bidi w:val="0"/>
              <w:spacing w:before="0" w:after="283"/>
              <w:jc w:val="left"/>
              <w:rPr/>
            </w:pPr>
            <w:r>
              <w:rPr/>
              <w:t>a. </w:t>
            </w:r>
          </w:p>
        </w:tc>
        <w:tc>
          <w:tcPr>
            <w:tcW w:w="124" w:type="dxa"/>
            <w:tcBorders/>
            <w:vAlign w:val="bottom"/>
          </w:tcPr>
          <w:p>
            <w:pPr>
              <w:pStyle w:val="TableContents"/>
              <w:bidi w:val="0"/>
              <w:spacing w:before="0" w:after="283"/>
              <w:jc w:val="left"/>
              <w:rPr/>
            </w:pPr>
            <w:r>
              <w:rPr/>
              <w:t>  </w:t>
            </w:r>
          </w:p>
        </w:tc>
        <w:tc>
          <w:tcPr>
            <w:tcW w:w="247" w:type="dxa"/>
            <w:tcBorders/>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9470" w:type="dxa"/>
            <w:tcBorders/>
          </w:tcPr>
          <w:p>
            <w:pPr>
              <w:pStyle w:val="TableContents"/>
              <w:bidi w:val="0"/>
              <w:spacing w:before="0" w:after="0"/>
              <w:jc w:val="left"/>
              <w:rPr>
                <w:rFonts w:ascii="Times New Roman" w:hAnsi="Times New Roman"/>
                <w:sz w:val="20"/>
              </w:rPr>
            </w:pPr>
            <w:r>
              <w:rPr>
                <w:rFonts w:ascii="Times New Roman" w:hAnsi="Times New Roman"/>
                <w:sz w:val="20"/>
              </w:rPr>
              <w:t>The filing of solicitation materials or an information statement subject to Regulation 14A, Regulation 14C or Rule 13e-3(c) under the Securities Exchange Act of 1934.</w:t>
            </w:r>
          </w:p>
          <w:p>
            <w:pPr>
              <w:pStyle w:val="TableContents"/>
              <w:bidi w:val="0"/>
              <w:spacing w:before="0" w:after="20"/>
              <w:jc w:val="left"/>
              <w:rPr/>
            </w:pPr>
            <w:r>
              <w:rPr/>
              <w:t> </w:t>
            </w:r>
          </w:p>
        </w:tc>
      </w:tr>
      <w:tr>
        <w:trPr/>
        <w:tc>
          <w:tcPr>
            <w:tcW w:w="240" w:type="dxa"/>
            <w:tcBorders/>
          </w:tcPr>
          <w:p>
            <w:pPr>
              <w:pStyle w:val="TableContents"/>
              <w:bidi w:val="0"/>
              <w:spacing w:before="0" w:after="283"/>
              <w:jc w:val="left"/>
              <w:rPr/>
            </w:pPr>
            <w:r>
              <w:rPr/>
              <w:t>b. </w:t>
            </w:r>
          </w:p>
        </w:tc>
        <w:tc>
          <w:tcPr>
            <w:tcW w:w="124" w:type="dxa"/>
            <w:tcBorders/>
            <w:vAlign w:val="bottom"/>
          </w:tcPr>
          <w:p>
            <w:pPr>
              <w:pStyle w:val="TableContents"/>
              <w:bidi w:val="0"/>
              <w:spacing w:before="0" w:after="283"/>
              <w:jc w:val="left"/>
              <w:rPr/>
            </w:pPr>
            <w:r>
              <w:rPr/>
              <w:t>  </w:t>
            </w:r>
          </w:p>
        </w:tc>
        <w:tc>
          <w:tcPr>
            <w:tcW w:w="247" w:type="dxa"/>
            <w:tcBorders/>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9470" w:type="dxa"/>
            <w:tcBorders/>
          </w:tcPr>
          <w:p>
            <w:pPr>
              <w:pStyle w:val="TableContents"/>
              <w:bidi w:val="0"/>
              <w:spacing w:before="0" w:after="0"/>
              <w:jc w:val="left"/>
              <w:rPr>
                <w:rFonts w:ascii="Times New Roman" w:hAnsi="Times New Roman"/>
                <w:sz w:val="20"/>
              </w:rPr>
            </w:pPr>
            <w:r>
              <w:rPr>
                <w:rFonts w:ascii="Times New Roman" w:hAnsi="Times New Roman"/>
                <w:sz w:val="20"/>
              </w:rPr>
              <w:t>The filing of a registration statement under the Securities Act of 1933.</w:t>
            </w:r>
          </w:p>
          <w:p>
            <w:pPr>
              <w:pStyle w:val="TableContents"/>
              <w:bidi w:val="0"/>
              <w:spacing w:before="0" w:after="20"/>
              <w:jc w:val="left"/>
              <w:rPr/>
            </w:pPr>
            <w:r>
              <w:rPr/>
              <w:t> </w:t>
            </w:r>
          </w:p>
        </w:tc>
      </w:tr>
      <w:tr>
        <w:trPr/>
        <w:tc>
          <w:tcPr>
            <w:tcW w:w="240" w:type="dxa"/>
            <w:tcBorders/>
          </w:tcPr>
          <w:p>
            <w:pPr>
              <w:pStyle w:val="TableContents"/>
              <w:bidi w:val="0"/>
              <w:spacing w:before="0" w:after="283"/>
              <w:jc w:val="left"/>
              <w:rPr/>
            </w:pPr>
            <w:r>
              <w:rPr/>
              <w:t>c. </w:t>
            </w:r>
          </w:p>
        </w:tc>
        <w:tc>
          <w:tcPr>
            <w:tcW w:w="124" w:type="dxa"/>
            <w:tcBorders/>
            <w:vAlign w:val="bottom"/>
          </w:tcPr>
          <w:p>
            <w:pPr>
              <w:pStyle w:val="TableContents"/>
              <w:bidi w:val="0"/>
              <w:spacing w:before="0" w:after="283"/>
              <w:jc w:val="left"/>
              <w:rPr/>
            </w:pPr>
            <w:r>
              <w:rPr/>
              <w:t>  </w:t>
            </w:r>
          </w:p>
        </w:tc>
        <w:tc>
          <w:tcPr>
            <w:tcW w:w="247" w:type="dxa"/>
            <w:tcBorders/>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9470" w:type="dxa"/>
            <w:tcBorders/>
          </w:tcPr>
          <w:p>
            <w:pPr>
              <w:pStyle w:val="TableContents"/>
              <w:bidi w:val="0"/>
              <w:spacing w:before="0" w:after="0"/>
              <w:jc w:val="left"/>
              <w:rPr>
                <w:rFonts w:ascii="Times New Roman" w:hAnsi="Times New Roman"/>
                <w:sz w:val="20"/>
              </w:rPr>
            </w:pPr>
            <w:r>
              <w:rPr>
                <w:rFonts w:ascii="Times New Roman" w:hAnsi="Times New Roman"/>
                <w:sz w:val="20"/>
              </w:rPr>
              <w:t>A tender offer.</w:t>
            </w:r>
          </w:p>
          <w:p>
            <w:pPr>
              <w:pStyle w:val="TableContents"/>
              <w:bidi w:val="0"/>
              <w:spacing w:before="0" w:after="20"/>
              <w:jc w:val="left"/>
              <w:rPr/>
            </w:pPr>
            <w:r>
              <w:rPr/>
              <w:t> </w:t>
            </w:r>
          </w:p>
        </w:tc>
      </w:tr>
      <w:tr>
        <w:trPr/>
        <w:tc>
          <w:tcPr>
            <w:tcW w:w="240" w:type="dxa"/>
            <w:tcBorders/>
          </w:tcPr>
          <w:p>
            <w:pPr>
              <w:pStyle w:val="TableContents"/>
              <w:bidi w:val="0"/>
              <w:spacing w:before="0" w:after="283"/>
              <w:jc w:val="left"/>
              <w:rPr/>
            </w:pPr>
            <w:r>
              <w:rPr/>
              <w:t>d. </w:t>
            </w:r>
          </w:p>
        </w:tc>
        <w:tc>
          <w:tcPr>
            <w:tcW w:w="124" w:type="dxa"/>
            <w:tcBorders/>
            <w:vAlign w:val="bottom"/>
          </w:tcPr>
          <w:p>
            <w:pPr>
              <w:pStyle w:val="TableContents"/>
              <w:bidi w:val="0"/>
              <w:spacing w:before="0" w:after="283"/>
              <w:jc w:val="left"/>
              <w:rPr/>
            </w:pPr>
            <w:r>
              <w:rPr/>
              <w:t>  </w:t>
            </w:r>
          </w:p>
        </w:tc>
        <w:tc>
          <w:tcPr>
            <w:tcW w:w="247" w:type="dxa"/>
            <w:tcBorders/>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9470" w:type="dxa"/>
            <w:tcBorders/>
          </w:tcPr>
          <w:p>
            <w:pPr>
              <w:pStyle w:val="TableContents"/>
              <w:bidi w:val="0"/>
              <w:spacing w:before="0" w:after="283"/>
              <w:jc w:val="left"/>
              <w:rPr/>
            </w:pPr>
            <w:r>
              <w:rPr/>
              <w:t>None of the above.</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if the soliciting materials or information statement referred to in checking box (a) are preliminary copies: ☒ </w:t>
      </w:r>
    </w:p>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transaction: ☐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this transaction, passed upon the merits or fairness of this transaction or passed upon the adequacy or accuracy of the disclosure in this transaction statement on Schedule 13E-3. Any representation to the contrary is a criminal offense.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INTRODUCTION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No. 1 (this “Amendment”) amends and supplements the Rule 13e-3 Transaction Statement on Schedule 13E-3 originally filed with the U.S. Securities and Exchange Commission (the “SEC”) on August 31, 2026 (as amended hereby, the “Transaction Statement”), jointly by (i) Personalis, Inc., a Delaware corporation (“Personalis”), and the issuer of the common stock, par value $0.0001 per share (“Personalis Common Stock”), that is subject to the Rule 13e-3 transaction; (ii) Tempus AI, Inc., a Nevada corporation (“Tempus”); (iii) Aviary Development, Inc., a Delaware corporation and a wholly owned subsidiary of Tempus (“Merger Sub I”); (iv) Toucan Development, LLC, a Nevada limited liability company and a wholly owned subsidiary of Tempus (“Merger Sub II” and, together with Merger Sub I, the “Merger Subs”); and (v) Eric Lefkofsky (each, a “Filing Person” and collectively, the “Filing Persons”).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is being filed in connection with Amendment No. 1 to the Registration Statement on Form S-4 of Tempus (the “Form S-4 Amendment”), which includes an amended preliminary prospectus of Tempus and proxy statement of Personalis (as amended, the “Proxy Statement/Prospectus”), filed with the SEC on October 2, 2026. The Form S-4 Amendment is being filed, among other things, to respond to comments received from the staff of the SEC in its comment letter dated September 24, 2026. </w:t>
      </w:r>
    </w:p>
    <w:p>
      <w:pPr>
        <w:pStyle w:val="TextBody"/>
        <w:bidi w:val="0"/>
        <w:spacing w:before="240" w:after="0"/>
        <w:jc w:val="left"/>
        <w:rPr>
          <w:rFonts w:ascii="Times New Roman" w:hAnsi="Times New Roman"/>
          <w:sz w:val="20"/>
        </w:rPr>
      </w:pPr>
      <w:r>
        <w:rPr>
          <w:rFonts w:ascii="Times New Roman" w:hAnsi="Times New Roman"/>
          <w:sz w:val="20"/>
        </w:rPr>
        <w:t xml:space="preserve">Pursuant to General Instruction F to Schedule 13E-3, The information contained in the Proxy Statement/Prospectus, including all annexes thereto, is expressly incorporated by reference in its entirety into this Amendment, and responses to each item herein are qualified in their entirety by the information contained in the Proxy Statement/Prospectus and the annexes thereto. Capitalized terms used but not defined in this Amendment have the meanings assigned to them in the Transaction Statement or the Amended Proxy Statement/Prospectus,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this Amendment, the information set forth in the Transaction Statement remains unchanged. All information concerning Personalis contained in, or incorporated by reference into, this Amendment and the Proxy Statement/Prospectus was supplied by Personalis. Similarly, all information concerning any other Filing Person contained in, or incorporated by reference into, this Amendment and the Proxy Statement/Prospectus was supplied by such Filing Person. </w:t>
      </w:r>
    </w:p>
    <w:p>
      <w:pPr>
        <w:pStyle w:val="TextBody"/>
        <w:bidi w:val="0"/>
        <w:spacing w:before="360" w:after="0"/>
        <w:jc w:val="left"/>
        <w:rPr>
          <w:rFonts w:ascii="Times New Roman" w:hAnsi="Times New Roman"/>
          <w:b/>
          <w:sz w:val="20"/>
        </w:rPr>
      </w:pPr>
      <w:r>
        <w:rPr>
          <w:rFonts w:ascii="Times New Roman" w:hAnsi="Times New Roman"/>
          <w:b/>
          <w:sz w:val="20"/>
        </w:rPr>
        <w:t xml:space="preserve">ITEM 1. SUMMARY TERM SHEET </w:t>
      </w:r>
    </w:p>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1001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360" w:after="0"/>
        <w:jc w:val="left"/>
        <w:rPr>
          <w:rFonts w:ascii="Times New Roman" w:hAnsi="Times New Roman"/>
          <w:b/>
          <w:sz w:val="20"/>
        </w:rPr>
      </w:pPr>
      <w:r>
        <w:rPr>
          <w:rFonts w:ascii="Times New Roman" w:hAnsi="Times New Roman"/>
          <w:b/>
          <w:sz w:val="20"/>
        </w:rPr>
        <w:t xml:space="preserve">ITEM 2. SUBJECT COMPANY INFORMATION </w:t>
      </w:r>
    </w:p>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1002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i/>
          <w:sz w:val="20"/>
        </w:rPr>
        <w:t>Name and Address</w:t>
      </w:r>
      <w:r>
        <w:rPr>
          <w:rFonts w:ascii="Times New Roman" w:hAnsi="Times New Roman"/>
          <w:sz w:val="20"/>
        </w:rPr>
        <w:t xml:space="preserve">. Personalis’ name, and the address and telephone number of its principal executive offices are: </w:t>
      </w:r>
    </w:p>
    <w:p>
      <w:pPr>
        <w:pStyle w:val="TextBody"/>
        <w:bidi w:val="0"/>
        <w:spacing w:before="12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California 94555 </w:t>
      </w:r>
    </w:p>
    <w:p>
      <w:pPr>
        <w:pStyle w:val="TextBody"/>
        <w:bidi w:val="0"/>
        <w:spacing w:before="0" w:after="0"/>
        <w:jc w:val="left"/>
        <w:rPr>
          <w:rFonts w:ascii="Times New Roman" w:hAnsi="Times New Roman"/>
          <w:sz w:val="20"/>
        </w:rPr>
      </w:pPr>
      <w:r>
        <w:rPr>
          <w:rFonts w:ascii="Times New Roman" w:hAnsi="Times New Roman"/>
          <w:sz w:val="20"/>
        </w:rPr>
        <w:t xml:space="preserve">(650) 752-1300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i/>
          <w:sz w:val="20"/>
        </w:rPr>
        <w:t>Securities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MEETING OF PERSONALIS STOCKHOLDERS—Record Date; Stockholders Entitled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IMPORTANT INFORMATION REGARDING PERSONALIS—Security Ownership of Certain Beneficial Holders and Management of Personalis” </w:t>
      </w:r>
    </w:p>
    <w:p>
      <w:pPr>
        <w:pStyle w:val="TextBody"/>
        <w:bidi w:val="0"/>
        <w:spacing w:before="0" w:after="0"/>
        <w:jc w:val="left"/>
        <w:rPr/>
      </w:pPr>
      <w:r>
        <w:rPr/>
        <w:t>“</w:t>
      </w:r>
      <w:r>
        <w:rPr>
          <w:rFonts w:ascii="Times New Roman" w:hAnsi="Times New Roman"/>
          <w:sz w:val="20"/>
        </w:rPr>
        <w:t xml:space="preserve">COMPARISON OF STOCKHOLDERS’ RIGHTS”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i/>
          <w:sz w:val="20"/>
        </w:rPr>
        <w:t>Trading Market and Price</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IMPORTANT INFORMATION REGARDING PERSONALIS—Price Range of Personalis Common Stock”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i/>
          <w:sz w:val="20"/>
        </w:rPr>
        <w:t>Dividends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THE MERGER AGREEMENT—Conduct of Personalis’ Business Pending the Mergers” </w:t>
      </w:r>
    </w:p>
    <w:p>
      <w:pPr>
        <w:pStyle w:val="TextBody"/>
        <w:bidi w:val="0"/>
        <w:spacing w:before="0" w:after="0"/>
        <w:jc w:val="left"/>
        <w:rPr/>
      </w:pPr>
      <w:r>
        <w:rPr/>
        <w:t>“</w:t>
      </w:r>
      <w:r>
        <w:rPr>
          <w:rFonts w:ascii="Times New Roman" w:hAnsi="Times New Roman"/>
          <w:sz w:val="20"/>
        </w:rPr>
        <w:t xml:space="preserve">THE MERGER AGREEMENT—Conduct of Tempus’ Business Pending the Mergers” </w:t>
      </w:r>
    </w:p>
    <w:p>
      <w:pPr>
        <w:pStyle w:val="TextBody"/>
        <w:bidi w:val="0"/>
        <w:spacing w:before="0" w:after="0"/>
        <w:jc w:val="left"/>
        <w:rPr/>
      </w:pPr>
      <w:r>
        <w:rPr/>
        <w:t>“</w:t>
      </w:r>
      <w:r>
        <w:rPr>
          <w:rFonts w:ascii="Times New Roman" w:hAnsi="Times New Roman"/>
          <w:sz w:val="20"/>
        </w:rPr>
        <w:t xml:space="preserve">IMPORTANT INFORMATION REGARDING PERSONALIS—Dividends” </w:t>
      </w:r>
    </w:p>
    <w:p>
      <w:pPr>
        <w:pStyle w:val="TextBody"/>
        <w:bidi w:val="0"/>
        <w:spacing w:before="0" w:after="0"/>
        <w:jc w:val="left"/>
        <w:rPr/>
      </w:pPr>
      <w:r>
        <w:rPr/>
        <w:t>“</w:t>
      </w:r>
      <w:r>
        <w:rPr>
          <w:rFonts w:ascii="Times New Roman" w:hAnsi="Times New Roman"/>
          <w:sz w:val="20"/>
        </w:rPr>
        <w:t xml:space="preserve">COMPARISON OF STOCKHOLDERS’ RIGHTS”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i/>
          <w:sz w:val="20"/>
        </w:rPr>
        <w:t>Prior Public Offerings</w:t>
      </w:r>
      <w:r>
        <w:rPr>
          <w:rFonts w:ascii="Times New Roman" w:hAnsi="Times New Roman"/>
          <w:sz w:val="20"/>
        </w:rPr>
        <w:t xml:space="preserve">. The information set forth in the Proxy Statement/Prospectus under the following caption is incorporated herein by reference: </w:t>
      </w:r>
    </w:p>
    <w:p>
      <w:pPr>
        <w:pStyle w:val="TextBody"/>
        <w:bidi w:val="0"/>
        <w:spacing w:before="120" w:after="0"/>
        <w:jc w:val="left"/>
        <w:rPr/>
      </w:pPr>
      <w:r>
        <w:rPr/>
        <w:t>“</w:t>
      </w:r>
      <w:r>
        <w:rPr>
          <w:rFonts w:ascii="Times New Roman" w:hAnsi="Times New Roman"/>
          <w:sz w:val="20"/>
        </w:rPr>
        <w:t xml:space="preserve">IMPORTANT INFORMATION REGARDING PERSONALIS—Prior Public Offerings” </w:t>
      </w:r>
    </w:p>
    <w:p>
      <w:pPr>
        <w:pStyle w:val="TextBody"/>
        <w:bidi w:val="0"/>
        <w:spacing w:before="0" w:after="0"/>
        <w:jc w:val="left"/>
        <w:rPr/>
      </w:pPr>
      <w:r>
        <w:rPr/>
        <w:t>“</w:t>
      </w:r>
      <w:r>
        <w:rPr>
          <w:rFonts w:ascii="Times New Roman" w:hAnsi="Times New Roman"/>
          <w:sz w:val="20"/>
        </w:rPr>
        <w:t xml:space="preserve">IMPORTANT INFORMATION REGARDING PERSONALIS—Prior Sales of Unregistered Securities”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i/>
          <w:sz w:val="20"/>
        </w:rPr>
        <w:t>Prior Stock Purchases</w:t>
      </w:r>
      <w:r>
        <w:rPr>
          <w:rFonts w:ascii="Times New Roman" w:hAnsi="Times New Roman"/>
          <w:sz w:val="20"/>
        </w:rPr>
        <w:t xml:space="preserve">. The information set forth in the Proxy Statement/Prospectus under the following caption is incorporated herein by reference: </w:t>
      </w:r>
    </w:p>
    <w:p>
      <w:pPr>
        <w:pStyle w:val="TextBody"/>
        <w:bidi w:val="0"/>
        <w:spacing w:before="120" w:after="0"/>
        <w:jc w:val="left"/>
        <w:rPr/>
      </w:pPr>
      <w:r>
        <w:rPr/>
        <w:t>“</w:t>
      </w:r>
      <w:r>
        <w:rPr>
          <w:rFonts w:ascii="Times New Roman" w:hAnsi="Times New Roman"/>
          <w:sz w:val="20"/>
        </w:rPr>
        <w:t xml:space="preserve">IMPORTANT INFORMATION REGARDING PERSONALIS—Prior Sales of Unregistered Securities” </w:t>
      </w:r>
    </w:p>
    <w:p>
      <w:pPr>
        <w:pStyle w:val="TextBody"/>
        <w:bidi w:val="0"/>
        <w:spacing w:before="0" w:after="0"/>
        <w:jc w:val="left"/>
        <w:rPr/>
      </w:pPr>
      <w:r>
        <w:rPr/>
        <w:t>“</w:t>
      </w:r>
      <w:r>
        <w:rPr>
          <w:rFonts w:ascii="Times New Roman" w:hAnsi="Times New Roman"/>
          <w:sz w:val="20"/>
        </w:rPr>
        <w:t xml:space="preserve">IMPORTANT INFORMATION REGARDING PERSONALIS—Purchases in Connection with the Mergers” </w:t>
      </w:r>
    </w:p>
    <w:p>
      <w:pPr>
        <w:pStyle w:val="TextBody"/>
        <w:bidi w:val="0"/>
        <w:spacing w:before="0" w:after="0"/>
        <w:jc w:val="left"/>
        <w:rPr/>
      </w:pPr>
      <w:r>
        <w:rPr/>
        <w:t>“</w:t>
      </w:r>
      <w:r>
        <w:rPr>
          <w:rFonts w:ascii="Times New Roman" w:hAnsi="Times New Roman"/>
          <w:sz w:val="20"/>
        </w:rPr>
        <w:t xml:space="preserve">IMPORTANT INFORMATION REGARDING TEMPUS—Prior Personalis Stock Purchases” </w:t>
      </w:r>
    </w:p>
    <w:p>
      <w:pPr>
        <w:pStyle w:val="TextBody"/>
        <w:bidi w:val="0"/>
        <w:spacing w:before="0" w:after="0"/>
        <w:jc w:val="left"/>
        <w:rPr/>
      </w:pPr>
      <w:r>
        <w:rPr/>
        <w:t>“</w:t>
      </w:r>
      <w:r>
        <w:rPr>
          <w:rFonts w:ascii="Times New Roman" w:hAnsi="Times New Roman"/>
          <w:sz w:val="20"/>
        </w:rPr>
        <w:t xml:space="preserve">IMPORTANT INFORMATION REGARDING SCHEDULE 13E-3 FILING PARTIES OTHER THAN TEMPUS AND PERSONALIS—Prior Personalis Stock Purchases” </w:t>
      </w:r>
    </w:p>
    <w:p>
      <w:pPr>
        <w:pStyle w:val="TextBody"/>
        <w:bidi w:val="0"/>
        <w:spacing w:before="360" w:after="0"/>
        <w:jc w:val="left"/>
        <w:rPr>
          <w:rFonts w:ascii="Times New Roman" w:hAnsi="Times New Roman"/>
          <w:b/>
          <w:sz w:val="20"/>
        </w:rPr>
      </w:pPr>
      <w:r>
        <w:rPr>
          <w:rFonts w:ascii="Times New Roman" w:hAnsi="Times New Roman"/>
          <w:b/>
          <w:sz w:val="20"/>
        </w:rPr>
        <w:t xml:space="preserve">ITEM 3. IDENTITY AND BACKGROUND OF FILING PERSON </w:t>
      </w:r>
    </w:p>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1003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 </w:t>
      </w:r>
      <w:r>
        <w:rPr>
          <w:rFonts w:ascii="Times New Roman" w:hAnsi="Times New Roman"/>
          <w:b/>
          <w:sz w:val="20"/>
        </w:rPr>
        <w:t xml:space="preserve">(b) </w:t>
      </w:r>
      <w:r>
        <w:rPr>
          <w:rFonts w:ascii="Times New Roman" w:hAnsi="Times New Roman"/>
          <w:i/>
          <w:sz w:val="20"/>
        </w:rPr>
        <w:t>Name and Address; Business and Background of Entities</w:t>
      </w:r>
      <w:r>
        <w:rPr>
          <w:rFonts w:ascii="Times New Roman" w:hAnsi="Times New Roman"/>
          <w:sz w:val="20"/>
        </w:rPr>
        <w:t xml:space="preserve">. Personalis is the issuer of the equity securities that are the subject of the Rule 13e-3 transaction reported hereby.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SHEET—Parties to the Mergers” </w:t>
      </w:r>
    </w:p>
    <w:p>
      <w:pPr>
        <w:pStyle w:val="TextBody"/>
        <w:bidi w:val="0"/>
        <w:spacing w:before="0" w:after="0"/>
        <w:jc w:val="left"/>
        <w:rPr/>
      </w:pPr>
      <w:r>
        <w:rPr/>
        <w:t>“</w:t>
      </w:r>
      <w:r>
        <w:rPr>
          <w:rFonts w:ascii="Times New Roman" w:hAnsi="Times New Roman"/>
          <w:sz w:val="20"/>
        </w:rPr>
        <w:t xml:space="preserve">PARTIES TO THE MERGERS” </w:t>
      </w:r>
    </w:p>
    <w:p>
      <w:pPr>
        <w:pStyle w:val="TextBody"/>
        <w:bidi w:val="0"/>
        <w:spacing w:before="0" w:after="0"/>
        <w:jc w:val="left"/>
        <w:rPr/>
      </w:pPr>
      <w:r>
        <w:rPr/>
        <w:t>“</w:t>
      </w:r>
      <w:r>
        <w:rPr>
          <w:rFonts w:ascii="Times New Roman" w:hAnsi="Times New Roman"/>
          <w:sz w:val="20"/>
        </w:rPr>
        <w:t xml:space="preserve">IMPORTANT INFORMATION REGARDING PERSONALIS—Business and Background of Directors and Executive Officers of Personalis” </w:t>
      </w:r>
    </w:p>
    <w:p>
      <w:pPr>
        <w:pStyle w:val="TextBody"/>
        <w:bidi w:val="0"/>
        <w:spacing w:before="0" w:after="0"/>
        <w:jc w:val="left"/>
        <w:rPr/>
      </w:pPr>
      <w:r>
        <w:rPr/>
        <w:t>“</w:t>
      </w:r>
      <w:r>
        <w:rPr>
          <w:rFonts w:ascii="Times New Roman" w:hAnsi="Times New Roman"/>
          <w:sz w:val="20"/>
        </w:rPr>
        <w:t xml:space="preserve">IMPORTANT INFORMATION REGARDING TEMPUS—Business and Background of Directors and Executive Officers of Tempus” </w:t>
      </w:r>
    </w:p>
    <w:p>
      <w:pPr>
        <w:pStyle w:val="TextBody"/>
        <w:bidi w:val="0"/>
        <w:spacing w:before="0" w:after="0"/>
        <w:jc w:val="left"/>
        <w:rPr/>
      </w:pPr>
      <w:r>
        <w:rPr/>
        <w:t>“</w:t>
      </w:r>
      <w:r>
        <w:rPr>
          <w:rFonts w:ascii="Times New Roman" w:hAnsi="Times New Roman"/>
          <w:sz w:val="20"/>
        </w:rPr>
        <w:t xml:space="preserve">IMPORTANT INFORMATION REGARDING SCHEDULE 13E-3 FILING PARTIES OTHER THAN TEMPUS AND PERSONALIS—Name and Address; Business and Background of Schedule 13E-3 Individual Filing Parties Other than Tempus and Personalis” </w:t>
      </w:r>
    </w:p>
    <w:p>
      <w:pPr>
        <w:pStyle w:val="TextBody"/>
        <w:bidi w:val="0"/>
        <w:spacing w:before="0" w:after="0"/>
        <w:jc w:val="left"/>
        <w:rPr/>
      </w:pPr>
      <w:r>
        <w:rPr/>
        <w:t>“</w:t>
      </w:r>
      <w:r>
        <w:rPr>
          <w:rFonts w:ascii="Times New Roman" w:hAnsi="Times New Roman"/>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i/>
          <w:sz w:val="20"/>
        </w:rPr>
        <w:t>Business and Background of Natural Persons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IMPORTANT INFORMATION REGARDING PERSONALIS—Business and Background of Directors and Executive Officers of Personalis” </w:t>
      </w:r>
    </w:p>
    <w:p>
      <w:pPr>
        <w:pStyle w:val="TextBody"/>
        <w:bidi w:val="0"/>
        <w:spacing w:before="0" w:after="0"/>
        <w:jc w:val="left"/>
        <w:rPr/>
      </w:pPr>
      <w:r>
        <w:rPr/>
        <w:t>“</w:t>
      </w:r>
      <w:r>
        <w:rPr>
          <w:rFonts w:ascii="Times New Roman" w:hAnsi="Times New Roman"/>
          <w:sz w:val="20"/>
        </w:rPr>
        <w:t xml:space="preserve">IMPORTANT INFORMATION REGARDING TEMPUS—Business and Background of Directors and Executive Officers of Tempus”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IMPORTANT INFORMATION REGARDING SCHEDULE 13E-3 FILING PARTIES OTHER THAN TEMPUS AND PERSONALIS—Name and Address; Business and Background of Schedule 13E-3 Individual Filing Parties Other than Tempus and Personalis” </w:t>
      </w:r>
    </w:p>
    <w:p>
      <w:pPr>
        <w:pStyle w:val="TextBody"/>
        <w:bidi w:val="0"/>
        <w:spacing w:before="0" w:after="0"/>
        <w:jc w:val="left"/>
        <w:rPr/>
      </w:pPr>
      <w:r>
        <w:rPr/>
        <w:t>“</w:t>
      </w:r>
      <w:r>
        <w:rPr>
          <w:rFonts w:ascii="Times New Roman" w:hAnsi="Times New Roman"/>
          <w:sz w:val="20"/>
        </w:rPr>
        <w:t xml:space="preserve">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ITEM 4. TERMS OF THE TRANSACTION </w:t>
      </w:r>
    </w:p>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1004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(1)</w:t>
      </w:r>
      <w:r>
        <w:rPr>
          <w:rFonts w:ascii="Times New Roman" w:hAnsi="Times New Roman"/>
          <w:sz w:val="20"/>
        </w:rPr>
        <w:t xml:space="preserve"> </w:t>
      </w:r>
      <w:r>
        <w:rPr>
          <w:rFonts w:ascii="Times New Roman" w:hAnsi="Times New Roman"/>
          <w:i/>
          <w:sz w:val="20"/>
        </w:rPr>
        <w:t>Material Terms – Tender Offers</w:t>
      </w:r>
      <w:r>
        <w:rPr>
          <w:rFonts w:ascii="Times New Roman" w:hAnsi="Times New Roman"/>
          <w:sz w:val="20"/>
        </w:rPr>
        <w:t xml:space="preserve">. Not applicable.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(2)</w:t>
      </w:r>
      <w:r>
        <w:rPr>
          <w:rFonts w:ascii="Times New Roman" w:hAnsi="Times New Roman"/>
          <w:sz w:val="20"/>
        </w:rPr>
        <w:t xml:space="preserve"> </w:t>
      </w:r>
      <w:r>
        <w:rPr>
          <w:rFonts w:ascii="Times New Roman" w:hAnsi="Times New Roman"/>
          <w:i/>
          <w:sz w:val="20"/>
        </w:rPr>
        <w:t>Material Terms – Merger or Similar Transactions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RISK FACTORS”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FACTORS—General”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FACTORS—Reasons for the Mergers of the Parent Filing Parties; Fairness” </w:t>
      </w:r>
    </w:p>
    <w:p>
      <w:pPr>
        <w:pStyle w:val="TextBody"/>
        <w:bidi w:val="0"/>
        <w:spacing w:before="0" w:after="0"/>
        <w:jc w:val="left"/>
        <w:rPr/>
      </w:pPr>
      <w:r>
        <w:rPr/>
        <w:t>“</w:t>
      </w:r>
      <w:r>
        <w:rPr>
          <w:rFonts w:ascii="Times New Roman" w:hAnsi="Times New Roman"/>
          <w:sz w:val="20"/>
        </w:rPr>
        <w:t xml:space="preserve">SPECIAL FACTORS—Intent to Vote” </w:t>
      </w:r>
    </w:p>
    <w:p>
      <w:pPr>
        <w:pStyle w:val="TextBody"/>
        <w:bidi w:val="0"/>
        <w:spacing w:before="0" w:after="0"/>
        <w:jc w:val="left"/>
        <w:rPr/>
      </w:pPr>
      <w:r>
        <w:rPr/>
        <w:t>“</w:t>
      </w:r>
      <w:r>
        <w:rPr>
          <w:rFonts w:ascii="Times New Roman" w:hAnsi="Times New Roman"/>
          <w:sz w:val="20"/>
        </w:rPr>
        <w:t xml:space="preserve">SPECIAL FACTORS—Unaudited Prospective Financial Information – Personalis” </w:t>
      </w:r>
    </w:p>
    <w:p>
      <w:pPr>
        <w:pStyle w:val="TextBody"/>
        <w:bidi w:val="0"/>
        <w:spacing w:before="0" w:after="0"/>
        <w:jc w:val="left"/>
        <w:rPr/>
      </w:pPr>
      <w:r>
        <w:rPr/>
        <w:t>“</w:t>
      </w:r>
      <w:r>
        <w:rPr>
          <w:rFonts w:ascii="Times New Roman" w:hAnsi="Times New Roman"/>
          <w:sz w:val="20"/>
        </w:rPr>
        <w:t xml:space="preserve">SPECIAL FACTORS—Unaudited Prospective Financial Information – Tempus” </w:t>
      </w:r>
    </w:p>
    <w:p>
      <w:pPr>
        <w:pStyle w:val="TextBody"/>
        <w:bidi w:val="0"/>
        <w:spacing w:before="0" w:after="0"/>
        <w:jc w:val="left"/>
        <w:rPr/>
      </w:pPr>
      <w:r>
        <w:rPr/>
        <w:t>“</w:t>
      </w:r>
      <w:r>
        <w:rPr>
          <w:rFonts w:ascii="Times New Roman" w:hAnsi="Times New Roman"/>
          <w:sz w:val="20"/>
        </w:rPr>
        <w:t xml:space="preserve">SPECIAL FACTORS—Opinion of Morgan Stanley &amp; Co. LLC” </w:t>
      </w:r>
    </w:p>
    <w:p>
      <w:pPr>
        <w:pStyle w:val="TextBody"/>
        <w:bidi w:val="0"/>
        <w:spacing w:before="0" w:after="0"/>
        <w:jc w:val="left"/>
        <w:rPr/>
      </w:pPr>
      <w:r>
        <w:rPr/>
        <w:t>“</w:t>
      </w:r>
      <w:r>
        <w:rPr>
          <w:rFonts w:ascii="Times New Roman" w:hAnsi="Times New Roman"/>
          <w:sz w:val="20"/>
        </w:rPr>
        <w:t xml:space="preserve">SPECIAL FACTORS—Plans for Personalis After the Mergers”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FACTORS—Governance of Personalis After the Mergers” </w:t>
      </w:r>
    </w:p>
    <w:p>
      <w:pPr>
        <w:pStyle w:val="TextBody"/>
        <w:bidi w:val="0"/>
        <w:spacing w:before="0" w:after="0"/>
        <w:jc w:val="left"/>
        <w:rPr/>
      </w:pPr>
      <w:r>
        <w:rPr/>
        <w:t>“</w:t>
      </w:r>
      <w:r>
        <w:rPr>
          <w:rFonts w:ascii="Times New Roman" w:hAnsi="Times New Roman"/>
          <w:sz w:val="20"/>
        </w:rPr>
        <w:t xml:space="preserve">SPECIAL FACTORS—Interests of Tempus Directors and Officers in the Mergers”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SPECIAL FACTORS—Regulatory Approvals” </w:t>
      </w:r>
    </w:p>
    <w:p>
      <w:pPr>
        <w:pStyle w:val="TextBody"/>
        <w:bidi w:val="0"/>
        <w:spacing w:before="0" w:after="0"/>
        <w:jc w:val="left"/>
        <w:rPr/>
      </w:pPr>
      <w:r>
        <w:rPr/>
        <w:t>“</w:t>
      </w:r>
      <w:r>
        <w:rPr>
          <w:rFonts w:ascii="Times New Roman" w:hAnsi="Times New Roman"/>
          <w:sz w:val="20"/>
        </w:rPr>
        <w:t xml:space="preserve">SPECIAL FACTORS—Accounting Treatment of the Mergers” </w:t>
      </w:r>
    </w:p>
    <w:p>
      <w:pPr>
        <w:pStyle w:val="TextBody"/>
        <w:bidi w:val="0"/>
        <w:spacing w:before="0" w:after="0"/>
        <w:jc w:val="left"/>
        <w:rPr/>
      </w:pPr>
      <w:r>
        <w:rPr/>
        <w:t>“</w:t>
      </w:r>
      <w:r>
        <w:rPr>
          <w:rFonts w:ascii="Times New Roman" w:hAnsi="Times New Roman"/>
          <w:sz w:val="20"/>
        </w:rPr>
        <w:t xml:space="preserve">SPECIAL FACTORS—Delisting and Deregistration of Personalis Common Stock” </w:t>
      </w:r>
    </w:p>
    <w:p>
      <w:pPr>
        <w:pStyle w:val="TextBody"/>
        <w:bidi w:val="0"/>
        <w:spacing w:before="0" w:after="0"/>
        <w:jc w:val="left"/>
        <w:rPr/>
      </w:pPr>
      <w:r>
        <w:rPr/>
        <w:t>“</w:t>
      </w:r>
      <w:r>
        <w:rPr>
          <w:rFonts w:ascii="Times New Roman" w:hAnsi="Times New Roman"/>
          <w:sz w:val="20"/>
        </w:rPr>
        <w:t xml:space="preserve">SPECIAL FACTORS—Litigation Relating to the Mergers” </w:t>
      </w:r>
    </w:p>
    <w:p>
      <w:pPr>
        <w:pStyle w:val="TextBody"/>
        <w:bidi w:val="0"/>
        <w:spacing w:before="0" w:after="0"/>
        <w:jc w:val="left"/>
        <w:rPr/>
      </w:pPr>
      <w:r>
        <w:rPr/>
        <w:t>“</w:t>
      </w:r>
      <w:r>
        <w:rPr>
          <w:rFonts w:ascii="Times New Roman" w:hAnsi="Times New Roman"/>
          <w:sz w:val="20"/>
        </w:rPr>
        <w:t xml:space="preserve">THE MERGER AGREEMENT” </w:t>
      </w:r>
    </w:p>
    <w:p>
      <w:pPr>
        <w:pStyle w:val="TextBody"/>
        <w:bidi w:val="0"/>
        <w:spacing w:before="0" w:after="0"/>
        <w:jc w:val="left"/>
        <w:rPr/>
      </w:pPr>
      <w:r>
        <w:rPr/>
        <w:t>“</w:t>
      </w:r>
      <w:r>
        <w:rPr>
          <w:rFonts w:ascii="Times New Roman" w:hAnsi="Times New Roman"/>
          <w:sz w:val="20"/>
        </w:rPr>
        <w:t xml:space="preserve">COMPARISON OF STOCKHOLDERS’ RIGHTS” </w:t>
      </w:r>
    </w:p>
    <w:p>
      <w:pPr>
        <w:pStyle w:val="TextBody"/>
        <w:bidi w:val="0"/>
        <w:spacing w:before="0" w:after="0"/>
        <w:jc w:val="left"/>
        <w:rPr/>
      </w:pPr>
      <w:r>
        <w:rPr/>
        <w:t>“</w:t>
      </w:r>
      <w:r>
        <w:rPr>
          <w:rFonts w:ascii="Times New Roman" w:hAnsi="Times New Roman"/>
          <w:sz w:val="20"/>
        </w:rPr>
        <w:t xml:space="preserve">SPECIAL MEETING OF PERSONALIS STOCKHOLDERS—Required Vote” </w:t>
      </w:r>
    </w:p>
    <w:p>
      <w:pPr>
        <w:pStyle w:val="TextBody"/>
        <w:bidi w:val="0"/>
        <w:spacing w:before="0" w:after="0"/>
        <w:jc w:val="left"/>
        <w:rPr/>
      </w:pPr>
      <w:r>
        <w:rPr/>
        <w:t>“</w:t>
      </w:r>
      <w:r>
        <w:rPr>
          <w:rFonts w:ascii="Times New Roman" w:hAnsi="Times New Roman"/>
          <w:sz w:val="20"/>
        </w:rPr>
        <w:t xml:space="preserve">MATERIAL U.S. FEDERAL INCOME TAX CONSEQUENCES OF THE MERGERS” </w:t>
      </w:r>
    </w:p>
    <w:p>
      <w:pPr>
        <w:pStyle w:val="TextBody"/>
        <w:bidi w:val="0"/>
        <w:spacing w:before="0" w:after="0"/>
        <w:jc w:val="left"/>
        <w:rPr/>
      </w:pPr>
      <w:r>
        <w:rPr/>
        <w:t>“</w:t>
      </w:r>
      <w:r>
        <w:rPr>
          <w:rFonts w:ascii="Times New Roman" w:hAnsi="Times New Roman"/>
          <w:sz w:val="20"/>
        </w:rPr>
        <w:t xml:space="preserve">Annex A: Merger Agreement”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i/>
          <w:sz w:val="20"/>
        </w:rPr>
        <w:t>Different Terms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FACTORS—Interests of Tempus Directors and Officers in the Mergers”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THE MERGER AGREEMENT—Treatment of Personalis Equity Awards” </w:t>
      </w:r>
    </w:p>
    <w:p>
      <w:pPr>
        <w:pStyle w:val="TextBody"/>
        <w:bidi w:val="0"/>
        <w:spacing w:before="0" w:after="0"/>
        <w:jc w:val="left"/>
        <w:rPr/>
      </w:pPr>
      <w:r>
        <w:rPr/>
        <w:t>“</w:t>
      </w:r>
      <w:r>
        <w:rPr>
          <w:rFonts w:ascii="Times New Roman" w:hAnsi="Times New Roman"/>
          <w:sz w:val="20"/>
        </w:rPr>
        <w:t xml:space="preserve">THE MERGER AGREEMENT—Employee Matters” </w:t>
      </w:r>
    </w:p>
    <w:p>
      <w:pPr>
        <w:pStyle w:val="TextBody"/>
        <w:bidi w:val="0"/>
        <w:spacing w:before="0" w:after="0"/>
        <w:jc w:val="left"/>
        <w:rPr/>
      </w:pPr>
      <w:r>
        <w:rPr/>
        <w:t>“</w:t>
      </w:r>
      <w:r>
        <w:rPr>
          <w:rFonts w:ascii="Times New Roman" w:hAnsi="Times New Roman"/>
          <w:sz w:val="20"/>
        </w:rPr>
        <w:t xml:space="preserve">THE MERGER AGREEMENT—Indemnification; Directors and Officers Insurance” </w:t>
      </w:r>
    </w:p>
    <w:p>
      <w:pPr>
        <w:pStyle w:val="TextBody"/>
        <w:bidi w:val="0"/>
        <w:spacing w:before="0" w:after="0"/>
        <w:jc w:val="left"/>
        <w:rPr/>
      </w:pPr>
      <w:r>
        <w:rPr/>
        <w:t>“</w:t>
      </w:r>
      <w:r>
        <w:rPr>
          <w:rFonts w:ascii="Times New Roman" w:hAnsi="Times New Roman"/>
          <w:sz w:val="20"/>
        </w:rPr>
        <w:t xml:space="preserve">PROPOSAL 2—NON-BINDING ADVISORY VOTE ON MERGER COMPENSATION PROPOSAL” </w:t>
      </w:r>
    </w:p>
    <w:p>
      <w:pPr>
        <w:pStyle w:val="TextBody"/>
        <w:bidi w:val="0"/>
        <w:spacing w:before="0" w:after="0"/>
        <w:jc w:val="left"/>
        <w:rPr/>
      </w:pPr>
      <w:r>
        <w:rPr/>
        <w:t>“</w:t>
      </w:r>
      <w:r>
        <w:rPr>
          <w:rFonts w:ascii="Times New Roman" w:hAnsi="Times New Roman"/>
          <w:sz w:val="20"/>
        </w:rPr>
        <w:t xml:space="preserve">Annex A: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i/>
          <w:sz w:val="20"/>
        </w:rPr>
        <w:t>Appraisal Rights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SHEET—Appraisal Rights” </w:t>
      </w:r>
    </w:p>
    <w:p>
      <w:pPr>
        <w:pStyle w:val="TextBody"/>
        <w:bidi w:val="0"/>
        <w:spacing w:before="0" w:after="0"/>
        <w:jc w:val="left"/>
        <w:rPr/>
      </w:pPr>
      <w:r>
        <w:rPr/>
        <w:t>“</w:t>
      </w:r>
      <w:r>
        <w:rPr>
          <w:rFonts w:ascii="Times New Roman" w:hAnsi="Times New Roman"/>
          <w:sz w:val="20"/>
        </w:rPr>
        <w:t xml:space="preserve">RISK FACTORS”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MEETING OF PERSONALIS STOCKHOLDERS—Appraisal Rights” </w:t>
      </w:r>
    </w:p>
    <w:p>
      <w:pPr>
        <w:pStyle w:val="TextBody"/>
        <w:bidi w:val="0"/>
        <w:spacing w:before="0" w:after="0"/>
        <w:jc w:val="left"/>
        <w:rPr/>
      </w:pPr>
      <w:r>
        <w:rPr/>
        <w:t>“</w:t>
      </w:r>
      <w:r>
        <w:rPr>
          <w:rFonts w:ascii="Times New Roman" w:hAnsi="Times New Roman"/>
          <w:sz w:val="20"/>
        </w:rPr>
        <w:t xml:space="preserve">THE MERGER AGREEMENT—Appraisal Rights” </w:t>
      </w:r>
    </w:p>
    <w:p>
      <w:pPr>
        <w:pStyle w:val="TextBody"/>
        <w:bidi w:val="0"/>
        <w:spacing w:before="0" w:after="0"/>
        <w:jc w:val="left"/>
        <w:rPr/>
      </w:pPr>
      <w:r>
        <w:rPr/>
        <w:t>“</w:t>
      </w:r>
      <w:r>
        <w:rPr>
          <w:rFonts w:ascii="Times New Roman" w:hAnsi="Times New Roman"/>
          <w:sz w:val="20"/>
        </w:rPr>
        <w:t xml:space="preserve">COMPARISON OF STOCKHOLDERS’ RIGHTS” </w:t>
      </w:r>
    </w:p>
    <w:p>
      <w:pPr>
        <w:pStyle w:val="TextBody"/>
        <w:bidi w:val="0"/>
        <w:spacing w:before="0" w:after="0"/>
        <w:jc w:val="left"/>
        <w:rPr/>
      </w:pPr>
      <w:r>
        <w:rPr/>
        <w:t>“</w:t>
      </w:r>
      <w:r>
        <w:rPr>
          <w:rFonts w:ascii="Times New Roman" w:hAnsi="Times New Roman"/>
          <w:sz w:val="20"/>
        </w:rPr>
        <w:t xml:space="preserve">APPRAISAL RIGHTS”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i/>
          <w:sz w:val="20"/>
        </w:rPr>
        <w:t>Provisions for Unaffiliated Security Holders</w:t>
      </w:r>
      <w:r>
        <w:rPr>
          <w:rFonts w:ascii="Times New Roman" w:hAnsi="Times New Roman"/>
          <w:sz w:val="20"/>
        </w:rPr>
        <w:t xml:space="preserve">. The information set forth in the Proxy Statement/Prospectus under the following caption is incorporated herein by reference: </w:t>
      </w:r>
    </w:p>
    <w:p>
      <w:pPr>
        <w:pStyle w:val="TextBody"/>
        <w:bidi w:val="0"/>
        <w:spacing w:before="120" w:after="0"/>
        <w:jc w:val="left"/>
        <w:rPr/>
      </w:pPr>
      <w:r>
        <w:rPr/>
        <w:t>“</w:t>
      </w:r>
      <w:r>
        <w:rPr>
          <w:rFonts w:ascii="Times New Roman" w:hAnsi="Times New Roman"/>
          <w:sz w:val="20"/>
        </w:rPr>
        <w:t xml:space="preserve">SPECIAL FACTORS—Availability of Documents”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i/>
          <w:sz w:val="20"/>
        </w:rPr>
        <w:t>Eligibility for Listing or Trading</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SHEET—Listing of Tempus’ Class A Common Stock and Delisting and Deregistration of Personalis Common Stock”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THE MERGER AGREEMENT—Conditions to the Mergers” </w:t>
      </w:r>
    </w:p>
    <w:p>
      <w:pPr>
        <w:pStyle w:val="TextBody"/>
        <w:bidi w:val="0"/>
        <w:spacing w:before="0" w:after="0"/>
        <w:jc w:val="left"/>
        <w:rPr/>
      </w:pPr>
      <w:r>
        <w:rPr/>
        <w:t>“</w:t>
      </w:r>
      <w:r>
        <w:rPr>
          <w:rFonts w:ascii="Times New Roman" w:hAnsi="Times New Roman"/>
          <w:sz w:val="20"/>
        </w:rPr>
        <w:t xml:space="preserve">DELISTING AND DEREGISTRATION OF PERSONALIS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ITEM 5. PAST CONTACTS, TRANSACTIONS, NEGOTIATIONS AND AGREEMENTS </w:t>
      </w:r>
    </w:p>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1005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 xml:space="preserve">(1) – (2) </w:t>
      </w:r>
      <w:r>
        <w:rPr>
          <w:rFonts w:ascii="Times New Roman" w:hAnsi="Times New Roman"/>
          <w:i/>
          <w:sz w:val="20"/>
        </w:rPr>
        <w:t>Transactions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SPECIAL FACTORS—Interests of Tempus Directors and Officers in the Mergers”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SPECIAL FACTORS—Certain Related Party Agreements between Tempus and Other Filing Parties” </w:t>
      </w:r>
    </w:p>
    <w:p>
      <w:pPr>
        <w:pStyle w:val="TextBody"/>
        <w:bidi w:val="0"/>
        <w:spacing w:before="0" w:after="0"/>
        <w:jc w:val="left"/>
        <w:rPr/>
      </w:pPr>
      <w:r>
        <w:rPr/>
        <w:t>“</w:t>
      </w:r>
      <w:r>
        <w:rPr>
          <w:rFonts w:ascii="Times New Roman" w:hAnsi="Times New Roman"/>
          <w:sz w:val="20"/>
        </w:rPr>
        <w:t xml:space="preserve">IMPORTANT INFORMATION REGARDING PERSONALIS—Prior Sales of Unregistered Securities” </w:t>
      </w:r>
    </w:p>
    <w:p>
      <w:pPr>
        <w:pStyle w:val="TextBody"/>
        <w:bidi w:val="0"/>
        <w:spacing w:before="0" w:after="0"/>
        <w:jc w:val="left"/>
        <w:rPr/>
      </w:pPr>
      <w:r>
        <w:rPr/>
        <w:t>“</w:t>
      </w:r>
      <w:r>
        <w:rPr>
          <w:rFonts w:ascii="Times New Roman" w:hAnsi="Times New Roman"/>
          <w:sz w:val="20"/>
        </w:rPr>
        <w:t xml:space="preserve">IMPORTANT INFORMATION REGARDING PERSONALIS—Past Contacts, Transactions, Negotiations and Agreements” </w:t>
      </w:r>
    </w:p>
    <w:p>
      <w:pPr>
        <w:pStyle w:val="TextBody"/>
        <w:bidi w:val="0"/>
        <w:spacing w:before="240" w:after="0"/>
        <w:jc w:val="left"/>
        <w:rPr>
          <w:rFonts w:ascii="Times New Roman" w:hAnsi="Times New Roman"/>
          <w:sz w:val="20"/>
        </w:rPr>
      </w:pPr>
      <w:r>
        <w:rPr>
          <w:rFonts w:ascii="Times New Roman" w:hAnsi="Times New Roman"/>
          <w:b/>
          <w:sz w:val="20"/>
        </w:rPr>
        <w:t>(b)–(c)</w:t>
      </w:r>
      <w:r>
        <w:rPr>
          <w:rFonts w:ascii="Times New Roman" w:hAnsi="Times New Roman"/>
          <w:sz w:val="20"/>
        </w:rPr>
        <w:t xml:space="preserve"> </w:t>
      </w:r>
      <w:r>
        <w:rPr>
          <w:rFonts w:ascii="Times New Roman" w:hAnsi="Times New Roman"/>
          <w:i/>
          <w:sz w:val="20"/>
        </w:rPr>
        <w:t>Significant Corporate Events; Negotiations or Contacts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FACTORS—Reasons for the Mergers of the Parent Filing Parties; Fairness” </w:t>
      </w:r>
    </w:p>
    <w:p>
      <w:pPr>
        <w:pStyle w:val="TextBody"/>
        <w:bidi w:val="0"/>
        <w:spacing w:before="0" w:after="0"/>
        <w:jc w:val="left"/>
        <w:rPr/>
      </w:pPr>
      <w:r>
        <w:rPr/>
        <w:t>“</w:t>
      </w:r>
      <w:r>
        <w:rPr>
          <w:rFonts w:ascii="Times New Roman" w:hAnsi="Times New Roman"/>
          <w:sz w:val="20"/>
        </w:rPr>
        <w:t xml:space="preserve">SPECIAL FACTORS—Interests of Tempus Directors and Officers in the Mergers”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SPECIAL FACTORS—Certain Related Party Agreements between Tempus and Other Filing Parties” </w:t>
      </w:r>
    </w:p>
    <w:p>
      <w:pPr>
        <w:pStyle w:val="TextBody"/>
        <w:bidi w:val="0"/>
        <w:spacing w:before="0" w:after="0"/>
        <w:jc w:val="left"/>
        <w:rPr/>
      </w:pPr>
      <w:r>
        <w:rPr/>
        <w:t>“</w:t>
      </w:r>
      <w:r>
        <w:rPr>
          <w:rFonts w:ascii="Times New Roman" w:hAnsi="Times New Roman"/>
          <w:sz w:val="20"/>
        </w:rPr>
        <w:t xml:space="preserve">THE MERGER AGREEMENT” </w:t>
      </w:r>
    </w:p>
    <w:p>
      <w:pPr>
        <w:pStyle w:val="TextBody"/>
        <w:bidi w:val="0"/>
        <w:spacing w:before="0" w:after="0"/>
        <w:jc w:val="left"/>
        <w:rPr/>
      </w:pPr>
      <w:r>
        <w:rPr/>
        <w:t>“</w:t>
      </w:r>
      <w:r>
        <w:rPr>
          <w:rFonts w:ascii="Times New Roman" w:hAnsi="Times New Roman"/>
          <w:sz w:val="20"/>
        </w:rPr>
        <w:t xml:space="preserve">IMPORTANT INFORMATION REGARDING PERSONALIS—Prior Sales of Unregistered Securities” </w:t>
      </w:r>
    </w:p>
    <w:p>
      <w:pPr>
        <w:pStyle w:val="TextBody"/>
        <w:bidi w:val="0"/>
        <w:spacing w:before="0" w:after="0"/>
        <w:jc w:val="left"/>
        <w:rPr/>
      </w:pPr>
      <w:r>
        <w:rPr/>
        <w:t>“</w:t>
      </w:r>
      <w:r>
        <w:rPr>
          <w:rFonts w:ascii="Times New Roman" w:hAnsi="Times New Roman"/>
          <w:sz w:val="20"/>
        </w:rPr>
        <w:t xml:space="preserve">IMPORTANT INFORMATION REGARDING PERSONALIS—Past Contacts, Transactions, Negotiations and Agreements” </w:t>
      </w:r>
    </w:p>
    <w:p>
      <w:pPr>
        <w:pStyle w:val="TextBody"/>
        <w:bidi w:val="0"/>
        <w:spacing w:before="0" w:after="0"/>
        <w:jc w:val="left"/>
        <w:rPr/>
      </w:pPr>
      <w:r>
        <w:rPr/>
        <w:t>“</w:t>
      </w:r>
      <w:r>
        <w:rPr>
          <w:rFonts w:ascii="Times New Roman" w:hAnsi="Times New Roman"/>
          <w:sz w:val="20"/>
        </w:rPr>
        <w:t xml:space="preserve">Annex A: Merger Agreement”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i/>
          <w:sz w:val="20"/>
        </w:rPr>
        <w:t>Agreements Involving the Subject Company’s Securities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FACTORS—Interests of Tempus Directors and Officers in the Mergers”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THE MERGER AGREEMENT”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sz w:val="20"/>
        </w:rPr>
        <w:t xml:space="preserve">THE VOTING AGREEMENT” </w:t>
      </w:r>
    </w:p>
    <w:p>
      <w:pPr>
        <w:pStyle w:val="TextBody"/>
        <w:bidi w:val="0"/>
        <w:spacing w:before="0" w:after="0"/>
        <w:jc w:val="left"/>
        <w:rPr/>
      </w:pPr>
      <w:r>
        <w:rPr/>
        <w:t>“</w:t>
      </w:r>
      <w:r>
        <w:rPr>
          <w:rFonts w:ascii="Times New Roman" w:hAnsi="Times New Roman"/>
          <w:sz w:val="20"/>
        </w:rPr>
        <w:t xml:space="preserve">IMPORTANT INFORMATION REGARDING PERSONALIS—Prior Sales of Unregistered Securities” </w:t>
      </w:r>
    </w:p>
    <w:p>
      <w:pPr>
        <w:pStyle w:val="TextBody"/>
        <w:bidi w:val="0"/>
        <w:spacing w:before="0" w:after="0"/>
        <w:jc w:val="left"/>
        <w:rPr/>
      </w:pPr>
      <w:r>
        <w:rPr/>
        <w:t>“</w:t>
      </w:r>
      <w:r>
        <w:rPr>
          <w:rFonts w:ascii="Times New Roman" w:hAnsi="Times New Roman"/>
          <w:sz w:val="20"/>
        </w:rPr>
        <w:t xml:space="preserve">IMPORTANT INFORMATION REGARDING PERSONALIS—Past Contacts, Transactions, Negotiations and Agreements” </w:t>
      </w:r>
    </w:p>
    <w:p>
      <w:pPr>
        <w:pStyle w:val="TextBody"/>
        <w:bidi w:val="0"/>
        <w:spacing w:before="0" w:after="0"/>
        <w:jc w:val="left"/>
        <w:rPr/>
      </w:pPr>
      <w:r>
        <w:rPr/>
        <w:t>“</w:t>
      </w:r>
      <w:r>
        <w:rPr>
          <w:rFonts w:ascii="Times New Roman" w:hAnsi="Times New Roman"/>
          <w:sz w:val="20"/>
        </w:rPr>
        <w:t xml:space="preserve">Annex A: Merger Agreement” </w:t>
      </w:r>
    </w:p>
    <w:p>
      <w:pPr>
        <w:pStyle w:val="TextBody"/>
        <w:bidi w:val="0"/>
        <w:spacing w:before="0" w:after="0"/>
        <w:jc w:val="left"/>
        <w:rPr/>
      </w:pPr>
      <w:r>
        <w:rPr/>
        <w:t>“</w:t>
      </w:r>
      <w:r>
        <w:rPr>
          <w:rFonts w:ascii="Times New Roman" w:hAnsi="Times New Roman"/>
          <w:sz w:val="20"/>
        </w:rPr>
        <w:t xml:space="preserve">Annex F: Voting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6. PURPOSES OF THE TRANSACTION AND PLANS OR PROPOSALS. </w:t>
      </w:r>
    </w:p>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1006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i/>
          <w:sz w:val="20"/>
        </w:rPr>
        <w:t>Use of Securities Acquired</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FACTORS—Reasons for the Mergers of the Parent Filing Parties; Fairness”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FACTORS—Delisting and Deregistration of Personalis Common Stock” </w:t>
      </w:r>
    </w:p>
    <w:p>
      <w:pPr>
        <w:pStyle w:val="TextBody"/>
        <w:bidi w:val="0"/>
        <w:spacing w:before="0" w:after="0"/>
        <w:jc w:val="left"/>
        <w:rPr/>
      </w:pPr>
      <w:r>
        <w:rPr/>
        <w:t>“</w:t>
      </w:r>
      <w:r>
        <w:rPr>
          <w:rFonts w:ascii="Times New Roman" w:hAnsi="Times New Roman"/>
          <w:sz w:val="20"/>
        </w:rPr>
        <w:t xml:space="preserve">THE MERGER AGREEMENT—Merger Consideration; Proration” </w:t>
      </w:r>
    </w:p>
    <w:p>
      <w:pPr>
        <w:pStyle w:val="TextBody"/>
        <w:bidi w:val="0"/>
        <w:spacing w:before="0" w:after="0"/>
        <w:jc w:val="left"/>
        <w:rPr/>
      </w:pPr>
      <w:r>
        <w:rPr/>
        <w:t>“</w:t>
      </w:r>
      <w:r>
        <w:rPr>
          <w:rFonts w:ascii="Times New Roman" w:hAnsi="Times New Roman"/>
          <w:sz w:val="20"/>
        </w:rPr>
        <w:t xml:space="preserve">DELISTING AND DEREGISTRATION OF PERSONALIS COMMON STOCK” </w:t>
      </w:r>
    </w:p>
    <w:p>
      <w:pPr>
        <w:pStyle w:val="TextBody"/>
        <w:bidi w:val="0"/>
        <w:spacing w:before="0" w:after="0"/>
        <w:jc w:val="left"/>
        <w:rPr/>
      </w:pPr>
      <w:r>
        <w:rPr/>
        <w:t>“</w:t>
      </w:r>
      <w:r>
        <w:rPr>
          <w:rFonts w:ascii="Times New Roman" w:hAnsi="Times New Roman"/>
          <w:sz w:val="20"/>
        </w:rPr>
        <w:t xml:space="preserve">Annex A: Merger Agreement”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(1)</w:t>
      </w:r>
      <w:r>
        <w:rPr>
          <w:rFonts w:ascii="Times New Roman" w:hAnsi="Times New Roman"/>
          <w:sz w:val="20"/>
        </w:rPr>
        <w:t xml:space="preserve">  – </w:t>
      </w:r>
      <w:r>
        <w:rPr>
          <w:rFonts w:ascii="Times New Roman" w:hAnsi="Times New Roman"/>
          <w:b/>
          <w:sz w:val="20"/>
        </w:rPr>
        <w:t>(8)</w:t>
      </w:r>
      <w:r>
        <w:rPr>
          <w:rFonts w:ascii="Times New Roman" w:hAnsi="Times New Roman"/>
          <w:sz w:val="20"/>
        </w:rPr>
        <w:t xml:space="preserve"> </w:t>
      </w:r>
      <w:r>
        <w:rPr>
          <w:rFonts w:ascii="Times New Roman" w:hAnsi="Times New Roman"/>
          <w:i/>
          <w:sz w:val="20"/>
        </w:rPr>
        <w:t>Plans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FACTORS—Reasons for the Mergers of the Parent Filing Parties; Fairness” </w:t>
      </w:r>
    </w:p>
    <w:p>
      <w:pPr>
        <w:pStyle w:val="TextBody"/>
        <w:bidi w:val="0"/>
        <w:spacing w:before="0" w:after="0"/>
        <w:jc w:val="left"/>
        <w:rPr/>
      </w:pPr>
      <w:r>
        <w:rPr/>
        <w:t>“</w:t>
      </w:r>
      <w:r>
        <w:rPr>
          <w:rFonts w:ascii="Times New Roman" w:hAnsi="Times New Roman"/>
          <w:sz w:val="20"/>
        </w:rPr>
        <w:t xml:space="preserve">SPECIAL FACTORS—Plans for Personalis After the Mergers”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FACTORS—Governance of Personalis After the Mergers” </w:t>
      </w:r>
    </w:p>
    <w:p>
      <w:pPr>
        <w:pStyle w:val="TextBody"/>
        <w:bidi w:val="0"/>
        <w:spacing w:before="0" w:after="0"/>
        <w:jc w:val="left"/>
        <w:rPr/>
      </w:pPr>
      <w:r>
        <w:rPr/>
        <w:t>“</w:t>
      </w:r>
      <w:r>
        <w:rPr>
          <w:rFonts w:ascii="Times New Roman" w:hAnsi="Times New Roman"/>
          <w:sz w:val="20"/>
        </w:rPr>
        <w:t xml:space="preserve">SPECIAL FACTORS—Interests of Tempus Directors and Officers in the Mergers”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SPECIAL FACTORS—Delisting and Deregistration of Personalis Common Stock” </w:t>
      </w:r>
    </w:p>
    <w:p>
      <w:pPr>
        <w:pStyle w:val="TextBody"/>
        <w:bidi w:val="0"/>
        <w:spacing w:before="0" w:after="0"/>
        <w:jc w:val="left"/>
        <w:rPr/>
      </w:pPr>
      <w:r>
        <w:rPr/>
        <w:t>“</w:t>
      </w:r>
      <w:r>
        <w:rPr>
          <w:rFonts w:ascii="Times New Roman" w:hAnsi="Times New Roman"/>
          <w:sz w:val="20"/>
        </w:rPr>
        <w:t xml:space="preserve">THE MERGER AGREEMENT” </w:t>
      </w:r>
    </w:p>
    <w:p>
      <w:pPr>
        <w:pStyle w:val="TextBody"/>
        <w:bidi w:val="0"/>
        <w:spacing w:before="0" w:after="0"/>
        <w:jc w:val="left"/>
        <w:rPr/>
      </w:pPr>
      <w:r>
        <w:rPr/>
        <w:t>“</w:t>
      </w:r>
      <w:r>
        <w:rPr>
          <w:rFonts w:ascii="Times New Roman" w:hAnsi="Times New Roman"/>
          <w:sz w:val="20"/>
        </w:rPr>
        <w:t xml:space="preserve">DELISTING AND DEREGISTRATION OF PERSONALIS COMMON STOCK” </w:t>
      </w:r>
    </w:p>
    <w:p>
      <w:pPr>
        <w:pStyle w:val="TextBody"/>
        <w:bidi w:val="0"/>
        <w:spacing w:before="0" w:after="0"/>
        <w:jc w:val="left"/>
        <w:rPr/>
      </w:pPr>
      <w:r>
        <w:rPr/>
        <w:t>“</w:t>
      </w:r>
      <w:r>
        <w:rPr>
          <w:rFonts w:ascii="Times New Roman" w:hAnsi="Times New Roman"/>
          <w:sz w:val="20"/>
        </w:rPr>
        <w:t xml:space="preserve">Annex A: Merger Agreement” </w:t>
      </w:r>
    </w:p>
    <w:p>
      <w:pPr>
        <w:pStyle w:val="TextBody"/>
        <w:bidi w:val="0"/>
        <w:spacing w:before="0" w:after="0"/>
        <w:jc w:val="left"/>
        <w:rPr/>
      </w:pPr>
      <w:r>
        <w:rPr/>
        <w:t>“</w:t>
      </w:r>
      <w:r>
        <w:rPr>
          <w:rFonts w:ascii="Times New Roman" w:hAnsi="Times New Roman"/>
          <w:sz w:val="20"/>
        </w:rPr>
        <w:t xml:space="preserve">Annex F: Voting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 PURPOSES, ALTERNATIVES, REASONS AND EFFECTS </w:t>
      </w:r>
    </w:p>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1013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i/>
          <w:sz w:val="20"/>
        </w:rPr>
        <w:t>Purposes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240" w:after="0"/>
        <w:jc w:val="left"/>
        <w:rPr/>
      </w:pPr>
      <w:r>
        <w:rPr/>
        <w:t>“</w:t>
      </w:r>
      <w:r>
        <w:rPr>
          <w:rFonts w:ascii="Times New Roman" w:hAnsi="Times New Roman"/>
          <w:sz w:val="20"/>
        </w:rPr>
        <w:t xml:space="preserve">SPECIAL FACTORS—Reasons for the Mergers of the Parent Filing Parties; Fairness” </w:t>
      </w:r>
    </w:p>
    <w:p>
      <w:pPr>
        <w:pStyle w:val="TextBody"/>
        <w:bidi w:val="0"/>
        <w:spacing w:before="0" w:after="0"/>
        <w:jc w:val="left"/>
        <w:rPr/>
      </w:pPr>
      <w:r>
        <w:rPr/>
        <w:t>“</w:t>
      </w:r>
      <w:r>
        <w:rPr>
          <w:rFonts w:ascii="Times New Roman" w:hAnsi="Times New Roman"/>
          <w:sz w:val="20"/>
        </w:rPr>
        <w:t xml:space="preserve">SPECIAL FACTORS—Plans for Personalis After the Mergers”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FACTORS—Interests of Tempus Directors and Officers in the Mergers”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i/>
          <w:sz w:val="20"/>
        </w:rPr>
        <w:t>Alternatives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FACTORS—Reasons for the Mergers of the Parent Filing Parties; Fairness” </w:t>
      </w:r>
    </w:p>
    <w:p>
      <w:pPr>
        <w:pStyle w:val="TextBody"/>
        <w:bidi w:val="0"/>
        <w:spacing w:before="0" w:after="0"/>
        <w:jc w:val="left"/>
        <w:rPr/>
      </w:pPr>
      <w:r>
        <w:rPr/>
        <w:t>“</w:t>
      </w:r>
      <w:r>
        <w:rPr>
          <w:rFonts w:ascii="Times New Roman" w:hAnsi="Times New Roman"/>
          <w:sz w:val="20"/>
        </w:rPr>
        <w:t xml:space="preserve">SPECIAL FACTORS—Unaudited Prospective Financial Information – Personalis” </w:t>
      </w:r>
    </w:p>
    <w:p>
      <w:pPr>
        <w:pStyle w:val="TextBody"/>
        <w:bidi w:val="0"/>
        <w:spacing w:before="0" w:after="0"/>
        <w:jc w:val="left"/>
        <w:rPr/>
      </w:pPr>
      <w:r>
        <w:rPr/>
        <w:t>“</w:t>
      </w:r>
      <w:r>
        <w:rPr>
          <w:rFonts w:ascii="Times New Roman" w:hAnsi="Times New Roman"/>
          <w:sz w:val="20"/>
        </w:rPr>
        <w:t xml:space="preserve">SPECIAL FACTORS—Unaudited Prospective Financial Information – Tempus”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i/>
          <w:sz w:val="20"/>
        </w:rPr>
        <w:t>Reasons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FACTORS—Reasons for the Mergers of the Parent Filing Parties; Fairness” </w:t>
      </w:r>
    </w:p>
    <w:p>
      <w:pPr>
        <w:pStyle w:val="TextBody"/>
        <w:bidi w:val="0"/>
        <w:spacing w:before="0" w:after="0"/>
        <w:jc w:val="left"/>
        <w:rPr/>
      </w:pPr>
      <w:r>
        <w:rPr/>
        <w:t>“</w:t>
      </w:r>
      <w:r>
        <w:rPr>
          <w:rFonts w:ascii="Times New Roman" w:hAnsi="Times New Roman"/>
          <w:sz w:val="20"/>
        </w:rPr>
        <w:t xml:space="preserve">SPECIAL FACTORS—Unaudited Prospective Financial Information – Personalis” </w:t>
      </w:r>
    </w:p>
    <w:p>
      <w:pPr>
        <w:pStyle w:val="TextBody"/>
        <w:bidi w:val="0"/>
        <w:spacing w:before="0" w:after="0"/>
        <w:jc w:val="left"/>
        <w:rPr/>
      </w:pPr>
      <w:r>
        <w:rPr/>
        <w:t>“</w:t>
      </w:r>
      <w:r>
        <w:rPr>
          <w:rFonts w:ascii="Times New Roman" w:hAnsi="Times New Roman"/>
          <w:sz w:val="20"/>
        </w:rPr>
        <w:t xml:space="preserve">SPECIAL FACTORS—Unaudited Prospective Financial Information – Tempus” </w:t>
      </w:r>
    </w:p>
    <w:p>
      <w:pPr>
        <w:pStyle w:val="TextBody"/>
        <w:bidi w:val="0"/>
        <w:spacing w:before="0" w:after="0"/>
        <w:jc w:val="left"/>
        <w:rPr/>
      </w:pPr>
      <w:r>
        <w:rPr/>
        <w:t>“</w:t>
      </w:r>
      <w:r>
        <w:rPr>
          <w:rFonts w:ascii="Times New Roman" w:hAnsi="Times New Roman"/>
          <w:sz w:val="20"/>
        </w:rPr>
        <w:t xml:space="preserve">SPECIAL FACTORS—Opinions of Personalis’ Financial Advisors” </w:t>
      </w:r>
    </w:p>
    <w:p>
      <w:pPr>
        <w:pStyle w:val="TextBody"/>
        <w:bidi w:val="0"/>
        <w:spacing w:before="0" w:after="0"/>
        <w:jc w:val="left"/>
        <w:rPr/>
      </w:pPr>
      <w:r>
        <w:rPr/>
        <w:t>“</w:t>
      </w:r>
      <w:r>
        <w:rPr>
          <w:rFonts w:ascii="Times New Roman" w:hAnsi="Times New Roman"/>
          <w:sz w:val="20"/>
        </w:rPr>
        <w:t xml:space="preserve">SPECIAL FACTORS—Opinion of Morgan Stanley &amp; Co. LLC” </w:t>
      </w:r>
    </w:p>
    <w:p>
      <w:pPr>
        <w:pStyle w:val="TextBody"/>
        <w:bidi w:val="0"/>
        <w:spacing w:before="0" w:after="0"/>
        <w:jc w:val="left"/>
        <w:rPr/>
      </w:pPr>
      <w:r>
        <w:rPr/>
        <w:t>“</w:t>
      </w:r>
      <w:r>
        <w:rPr>
          <w:rFonts w:ascii="Times New Roman" w:hAnsi="Times New Roman"/>
          <w:sz w:val="20"/>
        </w:rPr>
        <w:t xml:space="preserve">SPECIAL FACTORS—Plans for Personalis After the Mergers”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Annex B: Opinion of Centerview Partners LLC” </w:t>
      </w:r>
    </w:p>
    <w:p>
      <w:pPr>
        <w:pStyle w:val="TextBody"/>
        <w:bidi w:val="0"/>
        <w:spacing w:before="0" w:after="0"/>
        <w:jc w:val="left"/>
        <w:rPr/>
      </w:pPr>
      <w:r>
        <w:rPr/>
        <w:t>“</w:t>
      </w:r>
      <w:r>
        <w:rPr>
          <w:rFonts w:ascii="Times New Roman" w:hAnsi="Times New Roman"/>
          <w:sz w:val="20"/>
        </w:rPr>
        <w:t xml:space="preserve">Annex C: Opinion of TD Securities (USA) LLC” </w:t>
      </w:r>
    </w:p>
    <w:p>
      <w:pPr>
        <w:pStyle w:val="TextBody"/>
        <w:bidi w:val="0"/>
        <w:spacing w:before="0" w:after="0"/>
        <w:jc w:val="left"/>
        <w:rPr/>
      </w:pPr>
      <w:r>
        <w:rPr/>
        <w:t>“</w:t>
      </w:r>
      <w:r>
        <w:rPr>
          <w:rFonts w:ascii="Times New Roman" w:hAnsi="Times New Roman"/>
          <w:sz w:val="20"/>
        </w:rPr>
        <w:t xml:space="preserve">Annex D: Opinion of Morgan Stanley &amp; Co. LLC”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i/>
          <w:sz w:val="20"/>
        </w:rPr>
        <w:t>Effects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FACTORS—Reasons for the Mergers of the Parent Filing Parties; Fairness” </w:t>
      </w:r>
    </w:p>
    <w:p>
      <w:pPr>
        <w:pStyle w:val="TextBody"/>
        <w:bidi w:val="0"/>
        <w:spacing w:before="0" w:after="0"/>
        <w:jc w:val="left"/>
        <w:rPr/>
      </w:pPr>
      <w:r>
        <w:rPr/>
        <w:t>“</w:t>
      </w:r>
      <w:r>
        <w:rPr>
          <w:rFonts w:ascii="Times New Roman" w:hAnsi="Times New Roman"/>
          <w:sz w:val="20"/>
        </w:rPr>
        <w:t xml:space="preserve">SPECIAL FACTORS—Plans for Personalis After the Mergers”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FACTORS—Governance of Personalis After the Mergers”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SPECIAL FACTORS—Interests of Tempus Directors and Officers in the Mergers”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SPECIAL FACTORS—Accounting Treatment of the Mergers” </w:t>
      </w:r>
    </w:p>
    <w:p>
      <w:pPr>
        <w:pStyle w:val="TextBody"/>
        <w:bidi w:val="0"/>
        <w:spacing w:before="0" w:after="0"/>
        <w:jc w:val="left"/>
        <w:rPr/>
      </w:pPr>
      <w:r>
        <w:rPr/>
        <w:t>“</w:t>
      </w:r>
      <w:r>
        <w:rPr>
          <w:rFonts w:ascii="Times New Roman" w:hAnsi="Times New Roman"/>
          <w:sz w:val="20"/>
        </w:rPr>
        <w:t xml:space="preserve">SPECIAL FACTORS—Delisting and Deregistration of Personalis Common Stock” </w:t>
      </w:r>
    </w:p>
    <w:p>
      <w:pPr>
        <w:pStyle w:val="TextBody"/>
        <w:bidi w:val="0"/>
        <w:spacing w:before="0" w:after="0"/>
        <w:jc w:val="left"/>
        <w:rPr/>
      </w:pPr>
      <w:r>
        <w:rPr/>
        <w:t>“</w:t>
      </w:r>
      <w:r>
        <w:rPr>
          <w:rFonts w:ascii="Times New Roman" w:hAnsi="Times New Roman"/>
          <w:sz w:val="20"/>
        </w:rPr>
        <w:t xml:space="preserve">THE MERGER AGREEMENT” </w:t>
      </w:r>
    </w:p>
    <w:p>
      <w:pPr>
        <w:pStyle w:val="TextBody"/>
        <w:bidi w:val="0"/>
        <w:spacing w:before="0" w:after="0"/>
        <w:jc w:val="left"/>
        <w:rPr/>
      </w:pPr>
      <w:r>
        <w:rPr/>
        <w:t>“</w:t>
      </w:r>
      <w:r>
        <w:rPr>
          <w:rFonts w:ascii="Times New Roman" w:hAnsi="Times New Roman"/>
          <w:sz w:val="20"/>
        </w:rPr>
        <w:t xml:space="preserve">IMPORTANT INFORMATION REGARDING PERSONALIS—Costs to Personalis of the Mergers”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sz w:val="20"/>
        </w:rPr>
        <w:t xml:space="preserve">MATERIAL U.S. FEDERAL INCOME TAX CONSEQUENCES OF THE MERGERS” </w:t>
      </w:r>
    </w:p>
    <w:p>
      <w:pPr>
        <w:pStyle w:val="TextBody"/>
        <w:bidi w:val="0"/>
        <w:spacing w:before="0" w:after="0"/>
        <w:jc w:val="left"/>
        <w:rPr/>
      </w:pPr>
      <w:r>
        <w:rPr/>
        <w:t>“</w:t>
      </w:r>
      <w:r>
        <w:rPr>
          <w:rFonts w:ascii="Times New Roman" w:hAnsi="Times New Roman"/>
          <w:sz w:val="20"/>
        </w:rPr>
        <w:t xml:space="preserve">COMPARISON OF STOCKHOLDERS’ RIGHTS” </w:t>
      </w:r>
    </w:p>
    <w:p>
      <w:pPr>
        <w:pStyle w:val="TextBody"/>
        <w:bidi w:val="0"/>
        <w:spacing w:before="0" w:after="0"/>
        <w:jc w:val="left"/>
        <w:rPr/>
      </w:pPr>
      <w:r>
        <w:rPr/>
        <w:t>“</w:t>
      </w:r>
      <w:r>
        <w:rPr>
          <w:rFonts w:ascii="Times New Roman" w:hAnsi="Times New Roman"/>
          <w:sz w:val="20"/>
        </w:rPr>
        <w:t xml:space="preserve">APPRAISAL RIGHTS” </w:t>
      </w:r>
    </w:p>
    <w:p>
      <w:pPr>
        <w:pStyle w:val="TextBody"/>
        <w:bidi w:val="0"/>
        <w:spacing w:before="0" w:after="0"/>
        <w:jc w:val="left"/>
        <w:rPr/>
      </w:pPr>
      <w:r>
        <w:rPr/>
        <w:t>“</w:t>
      </w:r>
      <w:r>
        <w:rPr>
          <w:rFonts w:ascii="Times New Roman" w:hAnsi="Times New Roman"/>
          <w:sz w:val="20"/>
        </w:rPr>
        <w:t xml:space="preserve">DELISTING AND DEREGISTRATION OF PERSONALIS COMMON STOCK” </w:t>
      </w:r>
    </w:p>
    <w:p>
      <w:pPr>
        <w:pStyle w:val="TextBody"/>
        <w:bidi w:val="0"/>
        <w:spacing w:before="0" w:after="0"/>
        <w:jc w:val="left"/>
        <w:rPr/>
      </w:pPr>
      <w:r>
        <w:rPr/>
        <w:t>“</w:t>
      </w:r>
      <w:r>
        <w:rPr>
          <w:rFonts w:ascii="Times New Roman" w:hAnsi="Times New Roman"/>
          <w:sz w:val="20"/>
        </w:rPr>
        <w:t xml:space="preserve">Annex A: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8. FAIRNESS OF THE TRANSACTION </w:t>
      </w:r>
    </w:p>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1014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 </w:t>
      </w:r>
      <w:r>
        <w:rPr>
          <w:rFonts w:ascii="Times New Roman" w:hAnsi="Times New Roman"/>
          <w:b/>
          <w:sz w:val="20"/>
        </w:rPr>
        <w:t xml:space="preserve">(b) </w:t>
      </w:r>
      <w:r>
        <w:rPr>
          <w:rFonts w:ascii="Times New Roman" w:hAnsi="Times New Roman"/>
          <w:i/>
          <w:sz w:val="20"/>
        </w:rPr>
        <w:t>Fairness; Factors Considered in Determining Fairness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FACTORS—Reasons for the Mergers of the Parent Filing Parties; Fairness” </w:t>
      </w:r>
    </w:p>
    <w:p>
      <w:pPr>
        <w:pStyle w:val="TextBody"/>
        <w:bidi w:val="0"/>
        <w:spacing w:before="0" w:after="0"/>
        <w:jc w:val="left"/>
        <w:rPr/>
      </w:pPr>
      <w:r>
        <w:rPr/>
        <w:t>“</w:t>
      </w:r>
      <w:r>
        <w:rPr>
          <w:rFonts w:ascii="Times New Roman" w:hAnsi="Times New Roman"/>
          <w:sz w:val="20"/>
        </w:rPr>
        <w:t xml:space="preserve">SPECIAL FACTORS—Opinions of Personalis’ Financial Advisors” </w:t>
      </w:r>
    </w:p>
    <w:p>
      <w:pPr>
        <w:pStyle w:val="TextBody"/>
        <w:bidi w:val="0"/>
        <w:spacing w:before="0" w:after="0"/>
        <w:jc w:val="left"/>
        <w:rPr/>
      </w:pPr>
      <w:r>
        <w:rPr/>
        <w:t>“</w:t>
      </w:r>
      <w:r>
        <w:rPr>
          <w:rFonts w:ascii="Times New Roman" w:hAnsi="Times New Roman"/>
          <w:sz w:val="20"/>
        </w:rPr>
        <w:t xml:space="preserve">SPECIAL FACTORS—Opinion of Morgan Stanley &amp; Co. LLC” </w:t>
      </w:r>
    </w:p>
    <w:p>
      <w:pPr>
        <w:pStyle w:val="TextBody"/>
        <w:bidi w:val="0"/>
        <w:spacing w:before="0" w:after="0"/>
        <w:jc w:val="left"/>
        <w:rPr/>
      </w:pPr>
      <w:r>
        <w:rPr/>
        <w:t>“</w:t>
      </w:r>
      <w:r>
        <w:rPr>
          <w:rFonts w:ascii="Times New Roman" w:hAnsi="Times New Roman"/>
          <w:sz w:val="20"/>
        </w:rPr>
        <w:t xml:space="preserve">Annex B: Opinion of Centerview Partners LLC” </w:t>
      </w:r>
    </w:p>
    <w:p>
      <w:pPr>
        <w:pStyle w:val="TextBody"/>
        <w:bidi w:val="0"/>
        <w:spacing w:before="0" w:after="0"/>
        <w:jc w:val="left"/>
        <w:rPr/>
      </w:pPr>
      <w:r>
        <w:rPr/>
        <w:t>“</w:t>
      </w:r>
      <w:r>
        <w:rPr>
          <w:rFonts w:ascii="Times New Roman" w:hAnsi="Times New Roman"/>
          <w:sz w:val="20"/>
        </w:rPr>
        <w:t xml:space="preserve">Annex C: Opinion of TD Securities (USA) LLC” </w:t>
      </w:r>
    </w:p>
    <w:p>
      <w:pPr>
        <w:pStyle w:val="TextBody"/>
        <w:bidi w:val="0"/>
        <w:spacing w:before="0" w:after="0"/>
        <w:jc w:val="left"/>
        <w:rPr/>
      </w:pPr>
      <w:r>
        <w:rPr/>
        <w:t>“</w:t>
      </w:r>
      <w:r>
        <w:rPr>
          <w:rFonts w:ascii="Times New Roman" w:hAnsi="Times New Roman"/>
          <w:sz w:val="20"/>
        </w:rPr>
        <w:t xml:space="preserve">Annex D: Opinion of Morgan Stanley &amp; Co. LLC”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i/>
          <w:sz w:val="20"/>
        </w:rPr>
        <w:t>Approval of Security Holders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MEETING OF PERSONALIS STOCKHOLDERS—Required Vote” </w:t>
      </w:r>
    </w:p>
    <w:p>
      <w:pPr>
        <w:pStyle w:val="TextBody"/>
        <w:bidi w:val="0"/>
        <w:spacing w:before="0" w:after="0"/>
        <w:jc w:val="left"/>
        <w:rPr/>
      </w:pPr>
      <w:r>
        <w:rPr/>
        <w:t>“</w:t>
      </w:r>
      <w:r>
        <w:rPr>
          <w:rFonts w:ascii="Times New Roman" w:hAnsi="Times New Roman"/>
          <w:sz w:val="20"/>
        </w:rPr>
        <w:t xml:space="preserve">COMPARISON OF STOCKHOLDERS’ RIGHTS” </w:t>
      </w:r>
    </w:p>
    <w:p>
      <w:pPr>
        <w:pStyle w:val="TextBody"/>
        <w:bidi w:val="0"/>
        <w:spacing w:before="0" w:after="0"/>
        <w:jc w:val="left"/>
        <w:rPr/>
      </w:pPr>
      <w:r>
        <w:rPr/>
        <w:t>“</w:t>
      </w:r>
      <w:r>
        <w:rPr>
          <w:rFonts w:ascii="Times New Roman" w:hAnsi="Times New Roman"/>
          <w:sz w:val="20"/>
        </w:rPr>
        <w:t xml:space="preserve">PROPOSAL 1—THE MERGER PROPOSAL”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i/>
          <w:sz w:val="20"/>
        </w:rPr>
        <w:t>Unaffiliated Representative</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i/>
          <w:sz w:val="20"/>
        </w:rPr>
        <w:t>Approval of Directors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PROPOSAL 1—THE MERGER PROPOSAL”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i/>
          <w:sz w:val="20"/>
        </w:rPr>
        <w:t>Other Offers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360" w:after="0"/>
        <w:jc w:val="left"/>
        <w:rPr>
          <w:rFonts w:ascii="Times New Roman" w:hAnsi="Times New Roman"/>
          <w:b/>
          <w:sz w:val="20"/>
        </w:rPr>
      </w:pPr>
      <w:r>
        <w:rPr>
          <w:rFonts w:ascii="Times New Roman" w:hAnsi="Times New Roman"/>
          <w:b/>
          <w:sz w:val="20"/>
        </w:rPr>
        <w:t xml:space="preserve">ITEM 9. REPORTS, OPINIONS, APPRAISALS AND NEGOTIATIONS </w:t>
      </w:r>
    </w:p>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1015 </w:t>
      </w:r>
    </w:p>
    <w:p>
      <w:pPr>
        <w:pStyle w:val="TextBody"/>
        <w:bidi w:val="0"/>
        <w:spacing w:before="120" w:after="0"/>
        <w:jc w:val="left"/>
        <w:rPr>
          <w:rFonts w:ascii="Times New Roman" w:hAnsi="Times New Roman"/>
          <w:sz w:val="20"/>
        </w:rPr>
      </w:pPr>
      <w:r>
        <w:rPr>
          <w:rFonts w:ascii="Times New Roman" w:hAnsi="Times New Roman"/>
          <w:b/>
          <w:sz w:val="20"/>
        </w:rPr>
        <w:t>(a) – (b)</w:t>
      </w:r>
      <w:r>
        <w:rPr>
          <w:rFonts w:ascii="Times New Roman" w:hAnsi="Times New Roman"/>
          <w:sz w:val="20"/>
        </w:rPr>
        <w:t xml:space="preserve"> </w:t>
      </w:r>
      <w:r>
        <w:rPr>
          <w:rFonts w:ascii="Times New Roman" w:hAnsi="Times New Roman"/>
          <w:i/>
          <w:sz w:val="20"/>
        </w:rPr>
        <w:t>Report, Opinion or Appraisal; Preparer and Summary of the Report, Opinion or Appraisal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discussion materials are filed as Exhibits (c)(4) through (c)(17) hereto and are incorporated herein by reference,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February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February 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May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June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June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June 25,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ix.</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July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July 10,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July 15,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preliminary discussion materials prepared by Centerview Partners LLC and TD Securities (USA) LLC and provided to the Personalis Board, dated July 18,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Discussion materials prepared by Centerview Partners LLC and provided to the Personalis Board, dated July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Discussion materials prepared by TD Securities (USA) LLC and provided to the Personalis Board, dated July 19,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discussion materials prepared by Morgan Stanley &amp; Co. LLC and provided to the Tempus Board, dated July 18, 2026 and July 19, 2026 are filed as Exhibit (c)(18) and Exhibit (c)(19), respectively, hereto and are incorporated herein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FACTORS—Opinions of Personalis’ Financial Advisors” </w:t>
      </w:r>
    </w:p>
    <w:p>
      <w:pPr>
        <w:pStyle w:val="TextBody"/>
        <w:bidi w:val="0"/>
        <w:spacing w:before="0" w:after="0"/>
        <w:jc w:val="left"/>
        <w:rPr/>
      </w:pPr>
      <w:r>
        <w:rPr/>
        <w:t>“</w:t>
      </w:r>
      <w:r>
        <w:rPr>
          <w:rFonts w:ascii="Times New Roman" w:hAnsi="Times New Roman"/>
          <w:sz w:val="20"/>
        </w:rPr>
        <w:t xml:space="preserve">SPECIAL FACTORS—Opinion of Morgan Stanley &amp; Co. LLC” </w:t>
      </w:r>
    </w:p>
    <w:p>
      <w:pPr>
        <w:pStyle w:val="TextBody"/>
        <w:bidi w:val="0"/>
        <w:spacing w:before="0" w:after="0"/>
        <w:jc w:val="left"/>
        <w:rPr/>
      </w:pPr>
      <w:r>
        <w:rPr/>
        <w:t>“</w:t>
      </w:r>
      <w:r>
        <w:rPr>
          <w:rFonts w:ascii="Times New Roman" w:hAnsi="Times New Roman"/>
          <w:sz w:val="20"/>
        </w:rPr>
        <w:t xml:space="preserve">Annex B: Opinion of Centerview Partners LLC” </w:t>
      </w:r>
    </w:p>
    <w:p>
      <w:pPr>
        <w:pStyle w:val="TextBody"/>
        <w:bidi w:val="0"/>
        <w:spacing w:before="0" w:after="0"/>
        <w:jc w:val="left"/>
        <w:rPr/>
      </w:pPr>
      <w:r>
        <w:rPr/>
        <w:t>“</w:t>
      </w:r>
      <w:r>
        <w:rPr>
          <w:rFonts w:ascii="Times New Roman" w:hAnsi="Times New Roman"/>
          <w:sz w:val="20"/>
        </w:rPr>
        <w:t xml:space="preserve">Annex C: Opinion of TD Securities (USA) LLC” </w:t>
      </w:r>
    </w:p>
    <w:p>
      <w:pPr>
        <w:pStyle w:val="TextBody"/>
        <w:bidi w:val="0"/>
        <w:spacing w:before="0" w:after="0"/>
        <w:jc w:val="left"/>
        <w:rPr/>
      </w:pPr>
      <w:r>
        <w:rPr/>
        <w:t>“</w:t>
      </w:r>
      <w:r>
        <w:rPr>
          <w:rFonts w:ascii="Times New Roman" w:hAnsi="Times New Roman"/>
          <w:sz w:val="20"/>
        </w:rPr>
        <w:t xml:space="preserve">Annex D: Opinion of Morgan Stanley &amp; Co. LLC”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i/>
          <w:sz w:val="20"/>
        </w:rPr>
        <w:t>Availability of Documents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SPECIAL FACTORS—Availability of Documents” </w:t>
      </w:r>
    </w:p>
    <w:p>
      <w:pPr>
        <w:pStyle w:val="TextBody"/>
        <w:bidi w:val="0"/>
        <w:spacing w:before="0" w:after="0"/>
        <w:jc w:val="left"/>
        <w:rPr/>
      </w:pPr>
      <w:r>
        <w:rPr/>
        <w:t>“</w:t>
      </w:r>
      <w:r>
        <w:rPr>
          <w:rFonts w:ascii="Times New Roman" w:hAnsi="Times New Roman"/>
          <w:sz w:val="20"/>
        </w:rPr>
        <w:t xml:space="preserve">WHERE YOU CAN FIND MORE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reports, opinions or appraisals referenced in this Item 9 are filed herewith and will be made available for inspection and copying at the principal executive offices of Personalis during its regular business hours by any interested equity security holder of Personalis Common Stock or by any representative who has been so designated in writing upon written request and at the expense of the requesting holder of Personalis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ITEM 10. SOURCE AND AMOUNTS OF FUNDS OR OTHER CONSIDERATION </w:t>
      </w:r>
    </w:p>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1007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 </w:t>
      </w:r>
      <w:r>
        <w:rPr>
          <w:rFonts w:ascii="Times New Roman" w:hAnsi="Times New Roman"/>
          <w:b/>
          <w:sz w:val="20"/>
        </w:rPr>
        <w:t>(b)</w:t>
      </w:r>
      <w:r>
        <w:rPr>
          <w:rFonts w:ascii="Times New Roman" w:hAnsi="Times New Roman"/>
          <w:sz w:val="20"/>
        </w:rPr>
        <w:t xml:space="preserve"> </w:t>
      </w:r>
      <w:r>
        <w:rPr>
          <w:rFonts w:ascii="Times New Roman" w:hAnsi="Times New Roman"/>
          <w:i/>
          <w:sz w:val="20"/>
        </w:rPr>
        <w:t>Source of Funds; Conditions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RISK FACTORS—Risks Related to the Combined Company Upon Completion of the Mergers—The combined company’s debt may limit its financial flexibility and adversely affect its financial condition, liquidity and results of operations.”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FACTORS—Financing of the Mergers” </w:t>
      </w:r>
    </w:p>
    <w:p>
      <w:pPr>
        <w:pStyle w:val="TextBody"/>
        <w:bidi w:val="0"/>
        <w:spacing w:before="0" w:after="0"/>
        <w:jc w:val="left"/>
        <w:rPr/>
      </w:pPr>
      <w:r>
        <w:rPr/>
        <w:t>“</w:t>
      </w:r>
      <w:r>
        <w:rPr>
          <w:rFonts w:ascii="Times New Roman" w:hAnsi="Times New Roman"/>
          <w:sz w:val="20"/>
        </w:rPr>
        <w:t xml:space="preserve">THE MERGER AGREEMENT—Merger Consideration; Proration”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i/>
          <w:sz w:val="20"/>
        </w:rPr>
        <w:t>Expenses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SHEET—Termination Fees and Expenses” </w:t>
      </w:r>
    </w:p>
    <w:p>
      <w:pPr>
        <w:pStyle w:val="TextBody"/>
        <w:bidi w:val="0"/>
        <w:spacing w:before="0" w:after="0"/>
        <w:jc w:val="left"/>
        <w:rPr/>
      </w:pPr>
      <w:r>
        <w:rPr/>
        <w:t>“</w:t>
      </w:r>
      <w:r>
        <w:rPr>
          <w:rFonts w:ascii="Times New Roman" w:hAnsi="Times New Roman"/>
          <w:sz w:val="20"/>
        </w:rPr>
        <w:t xml:space="preserve">RISK FACTORS—Risks Related to the Mergers—Tempus and Personalis may incur substantial transaction-related costs in connection with the Mergers.” </w:t>
      </w:r>
    </w:p>
    <w:p>
      <w:pPr>
        <w:pStyle w:val="TextBody"/>
        <w:bidi w:val="0"/>
        <w:spacing w:before="0" w:after="0"/>
        <w:jc w:val="left"/>
        <w:rPr/>
      </w:pPr>
      <w:r>
        <w:rPr/>
        <w:t>“</w:t>
      </w:r>
      <w:r>
        <w:rPr>
          <w:rFonts w:ascii="Times New Roman" w:hAnsi="Times New Roman"/>
          <w:sz w:val="20"/>
        </w:rPr>
        <w:t xml:space="preserve">THE MERGER AGREEMENT—Expenses” </w:t>
      </w:r>
    </w:p>
    <w:p>
      <w:pPr>
        <w:pStyle w:val="TextBody"/>
        <w:bidi w:val="0"/>
        <w:spacing w:before="0" w:after="0"/>
        <w:jc w:val="left"/>
        <w:rPr/>
      </w:pPr>
      <w:r>
        <w:rPr/>
        <w:t>“</w:t>
      </w:r>
      <w:r>
        <w:rPr>
          <w:rFonts w:ascii="Times New Roman" w:hAnsi="Times New Roman"/>
          <w:sz w:val="20"/>
        </w:rPr>
        <w:t xml:space="preserve">THE MERGER AGREEMENT—Termination Fee” </w:t>
      </w:r>
    </w:p>
    <w:p>
      <w:pPr>
        <w:pStyle w:val="TextBody"/>
        <w:bidi w:val="0"/>
        <w:spacing w:before="0" w:after="0"/>
        <w:jc w:val="left"/>
        <w:rPr/>
      </w:pPr>
      <w:r>
        <w:rPr/>
        <w:t>“</w:t>
      </w:r>
      <w:r>
        <w:rPr>
          <w:rFonts w:ascii="Times New Roman" w:hAnsi="Times New Roman"/>
          <w:sz w:val="20"/>
        </w:rPr>
        <w:t xml:space="preserve">IMPORTANT INFORMATION REGARDING PERSONALIS—Costs to Personalis of the Mergers”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i/>
          <w:sz w:val="20"/>
        </w:rPr>
        <w:t>Borrowed Funds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SPECIAL FACTORS—Financing of the Mergers” </w:t>
      </w:r>
    </w:p>
    <w:p>
      <w:pPr>
        <w:pStyle w:val="TextBody"/>
        <w:bidi w:val="0"/>
        <w:spacing w:before="0" w:after="0"/>
        <w:jc w:val="left"/>
        <w:rPr/>
      </w:pPr>
      <w:r>
        <w:rPr/>
        <w:t>“</w:t>
      </w:r>
      <w:r>
        <w:rPr>
          <w:rFonts w:ascii="Times New Roman" w:hAnsi="Times New Roman"/>
          <w:sz w:val="20"/>
        </w:rPr>
        <w:t xml:space="preserve">RISK FACTORS” </w:t>
      </w:r>
    </w:p>
    <w:p>
      <w:pPr>
        <w:pStyle w:val="TextBody"/>
        <w:bidi w:val="0"/>
        <w:spacing w:before="0" w:after="0"/>
        <w:jc w:val="left"/>
        <w:rPr/>
      </w:pPr>
      <w:r>
        <w:rPr/>
        <w:t>“</w:t>
      </w:r>
      <w:r>
        <w:rPr>
          <w:rFonts w:ascii="Times New Roman" w:hAnsi="Times New Roman"/>
          <w:sz w:val="20"/>
        </w:rPr>
        <w:t xml:space="preserve">THE MERGER AGREEMENT—Merger Consideration; Proration”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11. INTEREST IN SECURITIES OF THE SUBJECT COMPANY </w:t>
      </w:r>
    </w:p>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1008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i/>
          <w:sz w:val="20"/>
        </w:rPr>
        <w:t>Securities Ownership</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SHEET—Parties to the Mergers” </w:t>
      </w:r>
    </w:p>
    <w:p>
      <w:pPr>
        <w:pStyle w:val="TextBody"/>
        <w:bidi w:val="0"/>
        <w:spacing w:before="0" w:after="0"/>
        <w:jc w:val="left"/>
        <w:rPr/>
      </w:pPr>
      <w:r>
        <w:rPr/>
        <w:t>“</w:t>
      </w:r>
      <w:r>
        <w:rPr>
          <w:rFonts w:ascii="Times New Roman" w:hAnsi="Times New Roman"/>
          <w:sz w:val="20"/>
        </w:rPr>
        <w:t xml:space="preserve">PARTIES TO THE MERGERS” </w:t>
      </w:r>
    </w:p>
    <w:p>
      <w:pPr>
        <w:pStyle w:val="TextBody"/>
        <w:bidi w:val="0"/>
        <w:spacing w:before="0" w:after="0"/>
        <w:jc w:val="left"/>
        <w:rPr/>
      </w:pPr>
      <w:r>
        <w:rPr/>
        <w:t>“</w:t>
      </w:r>
      <w:r>
        <w:rPr>
          <w:rFonts w:ascii="Times New Roman" w:hAnsi="Times New Roman"/>
          <w:sz w:val="20"/>
        </w:rPr>
        <w:t xml:space="preserve">THE MERGER AGREEMENT” </w:t>
      </w:r>
    </w:p>
    <w:p>
      <w:pPr>
        <w:pStyle w:val="TextBody"/>
        <w:bidi w:val="0"/>
        <w:spacing w:before="0" w:after="0"/>
        <w:jc w:val="left"/>
        <w:rPr/>
      </w:pPr>
      <w:r>
        <w:rPr/>
        <w:t>“</w:t>
      </w:r>
      <w:r>
        <w:rPr>
          <w:rFonts w:ascii="Times New Roman" w:hAnsi="Times New Roman"/>
          <w:sz w:val="20"/>
        </w:rPr>
        <w:t xml:space="preserve">IMPORTANT INFORMATION REGARDING PERSONALIS—Business and Background of Directors and Executive Officers of Personalis” </w:t>
      </w:r>
    </w:p>
    <w:p>
      <w:pPr>
        <w:pStyle w:val="TextBody"/>
        <w:bidi w:val="0"/>
        <w:spacing w:before="0" w:after="0"/>
        <w:jc w:val="left"/>
        <w:rPr/>
      </w:pPr>
      <w:r>
        <w:rPr/>
        <w:t>“</w:t>
      </w:r>
      <w:r>
        <w:rPr>
          <w:rFonts w:ascii="Times New Roman" w:hAnsi="Times New Roman"/>
          <w:sz w:val="20"/>
        </w:rPr>
        <w:t xml:space="preserve">IMPORTANT INFORMATION REGARDING PERSONALIS—Security Ownership of Certain Beneficial Holders and Management of Personalis” </w:t>
      </w:r>
    </w:p>
    <w:p>
      <w:pPr>
        <w:pStyle w:val="TextBody"/>
        <w:bidi w:val="0"/>
        <w:spacing w:before="0" w:after="0"/>
        <w:jc w:val="left"/>
        <w:rPr/>
      </w:pPr>
      <w:r>
        <w:rPr/>
        <w:t>“</w:t>
      </w:r>
      <w:r>
        <w:rPr>
          <w:rFonts w:ascii="Times New Roman" w:hAnsi="Times New Roman"/>
          <w:sz w:val="20"/>
        </w:rPr>
        <w:t xml:space="preserve">IMPORTANT INFORMATION REGARDING TEMPUS—Security Ownership of Certain Beneficial Holders and Management of Tempus” </w:t>
      </w:r>
    </w:p>
    <w:p>
      <w:pPr>
        <w:pStyle w:val="TextBody"/>
        <w:bidi w:val="0"/>
        <w:spacing w:before="0" w:after="0"/>
        <w:jc w:val="left"/>
        <w:rPr/>
      </w:pPr>
      <w:r>
        <w:rPr/>
        <w:t>“</w:t>
      </w:r>
      <w:r>
        <w:rPr>
          <w:rFonts w:ascii="Times New Roman" w:hAnsi="Times New Roman"/>
          <w:sz w:val="20"/>
        </w:rPr>
        <w:t xml:space="preserve">IMPORTANT INFORMATION REGARDING TEMPUS—Business and Background of Directors and Executive Officers of Tempus” </w:t>
      </w:r>
    </w:p>
    <w:p>
      <w:pPr>
        <w:pStyle w:val="TextBody"/>
        <w:bidi w:val="0"/>
        <w:spacing w:before="0" w:after="0"/>
        <w:jc w:val="left"/>
        <w:rPr/>
      </w:pPr>
      <w:r>
        <w:rPr/>
        <w:t>“</w:t>
      </w:r>
      <w:r>
        <w:rPr>
          <w:rFonts w:ascii="Times New Roman" w:hAnsi="Times New Roman"/>
          <w:sz w:val="20"/>
        </w:rPr>
        <w:t xml:space="preserve">IMPORTANT INFORMATION REGARDING SCHEDULE 13E-3 FILING PARTIES OTHER THAN TEMPUS AND PERSONALIS—Name and Address; Business and Background of Schedule 13E-3 Individual Filing Parties Other Than Tempus and Personalis”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i/>
          <w:sz w:val="20"/>
        </w:rPr>
        <w:t>Securities Transactions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THE MERGER AGREEMENT” </w:t>
      </w:r>
    </w:p>
    <w:p>
      <w:pPr>
        <w:pStyle w:val="TextBody"/>
        <w:bidi w:val="0"/>
        <w:spacing w:before="0" w:after="0"/>
        <w:jc w:val="left"/>
        <w:rPr/>
      </w:pPr>
      <w:r>
        <w:rPr/>
        <w:t>“</w:t>
      </w:r>
      <w:r>
        <w:rPr>
          <w:rFonts w:ascii="Times New Roman" w:hAnsi="Times New Roman"/>
          <w:sz w:val="20"/>
        </w:rPr>
        <w:t xml:space="preserve">THE VOTING AGREEMENT” </w:t>
      </w:r>
    </w:p>
    <w:p>
      <w:pPr>
        <w:pStyle w:val="TextBody"/>
        <w:bidi w:val="0"/>
        <w:spacing w:before="0" w:after="0"/>
        <w:jc w:val="left"/>
        <w:rPr/>
      </w:pPr>
      <w:r>
        <w:rPr/>
        <w:t>“</w:t>
      </w:r>
      <w:r>
        <w:rPr>
          <w:rFonts w:ascii="Times New Roman" w:hAnsi="Times New Roman"/>
          <w:sz w:val="20"/>
        </w:rPr>
        <w:t xml:space="preserve">IMPORTANT INFORMATION REGARDING TEMPUS—Prior Personalis Stock Purchases” </w:t>
      </w:r>
    </w:p>
    <w:p>
      <w:pPr>
        <w:pStyle w:val="TextBody"/>
        <w:bidi w:val="0"/>
        <w:spacing w:before="0" w:after="0"/>
        <w:jc w:val="left"/>
        <w:rPr/>
      </w:pPr>
      <w:r>
        <w:rPr/>
        <w:t>“</w:t>
      </w:r>
      <w:r>
        <w:rPr>
          <w:rFonts w:ascii="Times New Roman" w:hAnsi="Times New Roman"/>
          <w:sz w:val="20"/>
        </w:rPr>
        <w:t xml:space="preserve">IMPORTANT INFORMATION REGARDING SCHEDULE 13E-3 FILING PARTIES OTHER THAN TEMPUS AND PERSONALIS—Prior Personalis Stock Purchases” </w:t>
      </w:r>
    </w:p>
    <w:p>
      <w:pPr>
        <w:pStyle w:val="TextBody"/>
        <w:bidi w:val="0"/>
        <w:spacing w:before="0" w:after="0"/>
        <w:jc w:val="left"/>
        <w:rPr/>
      </w:pPr>
      <w:r>
        <w:rPr/>
        <w:t>“</w:t>
      </w:r>
      <w:r>
        <w:rPr>
          <w:rFonts w:ascii="Times New Roman" w:hAnsi="Times New Roman"/>
          <w:sz w:val="20"/>
        </w:rPr>
        <w:t xml:space="preserve">Annex A: Merger Agreement” </w:t>
      </w:r>
    </w:p>
    <w:p>
      <w:pPr>
        <w:pStyle w:val="TextBody"/>
        <w:bidi w:val="0"/>
        <w:spacing w:before="0" w:after="0"/>
        <w:jc w:val="left"/>
        <w:rPr/>
      </w:pPr>
      <w:r>
        <w:rPr/>
        <w:t>“</w:t>
      </w:r>
      <w:r>
        <w:rPr>
          <w:rFonts w:ascii="Times New Roman" w:hAnsi="Times New Roman"/>
          <w:sz w:val="20"/>
        </w:rPr>
        <w:t xml:space="preserve">Annex F: Voting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12. THE SOLICITATION OR 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1012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i/>
          <w:sz w:val="20"/>
        </w:rPr>
        <w:t>Intent to Tender or Vote in a Going-Private Transaction</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ANSWERS—What is the vote required to approve each proposal at the Personalis Special Meeting?” </w:t>
      </w:r>
    </w:p>
    <w:p>
      <w:pPr>
        <w:pStyle w:val="TextBody"/>
        <w:bidi w:val="0"/>
        <w:spacing w:before="0" w:after="0"/>
        <w:jc w:val="left"/>
        <w:rPr/>
      </w:pPr>
      <w:r>
        <w:rPr/>
        <w:t>“</w:t>
      </w:r>
      <w:r>
        <w:rPr>
          <w:rFonts w:ascii="Times New Roman" w:hAnsi="Times New Roman"/>
          <w:sz w:val="20"/>
        </w:rPr>
        <w:t xml:space="preserve">SPECIAL FACTORS—Intent to Vote” </w:t>
      </w:r>
    </w:p>
    <w:p>
      <w:pPr>
        <w:pStyle w:val="TextBody"/>
        <w:bidi w:val="0"/>
        <w:spacing w:before="0" w:after="0"/>
        <w:jc w:val="left"/>
        <w:rPr/>
      </w:pPr>
      <w:r>
        <w:rPr/>
        <w:t>“</w:t>
      </w:r>
      <w:r>
        <w:rPr>
          <w:rFonts w:ascii="Times New Roman" w:hAnsi="Times New Roman"/>
          <w:sz w:val="20"/>
        </w:rPr>
        <w:t xml:space="preserve">SPECIAL MEETING OF PERSONALIS STOCKHOLDERS—Voting by the Personalis Directors and Executive Officers” </w:t>
      </w:r>
    </w:p>
    <w:p>
      <w:pPr>
        <w:pStyle w:val="TextBody"/>
        <w:bidi w:val="0"/>
        <w:spacing w:before="0" w:after="0"/>
        <w:jc w:val="left"/>
        <w:rPr/>
      </w:pPr>
      <w:r>
        <w:rPr/>
        <w:t>“</w:t>
      </w:r>
      <w:r>
        <w:rPr>
          <w:rFonts w:ascii="Times New Roman" w:hAnsi="Times New Roman"/>
          <w:sz w:val="20"/>
        </w:rPr>
        <w:t xml:space="preserve">THE MERGER AGREEMENT” </w:t>
      </w:r>
    </w:p>
    <w:p>
      <w:pPr>
        <w:pStyle w:val="TextBody"/>
        <w:bidi w:val="0"/>
        <w:spacing w:before="0" w:after="0"/>
        <w:jc w:val="left"/>
        <w:rPr/>
      </w:pPr>
      <w:r>
        <w:rPr/>
        <w:t>“</w:t>
      </w:r>
      <w:r>
        <w:rPr>
          <w:rFonts w:ascii="Times New Roman" w:hAnsi="Times New Roman"/>
          <w:sz w:val="20"/>
        </w:rPr>
        <w:t xml:space="preserve">THE VOTING AGREEMENT”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i/>
          <w:sz w:val="20"/>
        </w:rPr>
        <w:t>Recommendations of Others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ANSWERS—How does the Personalis Board recommend that the Personalis Stockholders vote?”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THE MERGER AGREEMENT—No Change in Board Recommendation; No Entry into Alternative Transactions” </w:t>
      </w:r>
    </w:p>
    <w:p>
      <w:pPr>
        <w:pStyle w:val="TextBody"/>
        <w:bidi w:val="0"/>
        <w:spacing w:before="0" w:after="0"/>
        <w:jc w:val="left"/>
        <w:rPr/>
      </w:pPr>
      <w:r>
        <w:rPr/>
        <w:t>“</w:t>
      </w:r>
      <w:r>
        <w:rPr>
          <w:rFonts w:ascii="Times New Roman" w:hAnsi="Times New Roman"/>
          <w:sz w:val="20"/>
        </w:rPr>
        <w:t xml:space="preserve">PROPOSAL 1—THE MERGER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13. FINANCIAL STATEMENTS </w:t>
      </w:r>
    </w:p>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1010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i/>
          <w:sz w:val="20"/>
        </w:rPr>
        <w:t>Financial Information</w:t>
      </w:r>
      <w:r>
        <w:rPr>
          <w:rFonts w:ascii="Times New Roman" w:hAnsi="Times New Roman"/>
          <w:sz w:val="20"/>
        </w:rPr>
        <w:t xml:space="preserve">. The audited consolidated financial statements of Personalis for the fiscal years ended December 31, 2025 and 2024 are incorporated herein by reference to Personalis’ Annual Report on Form 10-K for the fiscal year ended December 31, 2025, filed on February 26, 2026 (see “Item 8. Financial Statements and Supplementary Data” beginning on page 69). The consolidated financial statements set forth in Item 1 of Personalis’ Quarterly Report on Form 10-Q for the quarterly period ended June 30, 2026, filed on August 4, 2026, are incorporated herein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Proxy Statement/Prospectus under the following captions is incorporated herein by reference: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FACTORS—Unaudited Prospective Financial Information – Personalis” </w:t>
      </w:r>
    </w:p>
    <w:p>
      <w:pPr>
        <w:pStyle w:val="TextBody"/>
        <w:bidi w:val="0"/>
        <w:spacing w:before="0" w:after="0"/>
        <w:jc w:val="left"/>
        <w:rPr/>
      </w:pPr>
      <w:r>
        <w:rPr/>
        <w:t>“</w:t>
      </w:r>
      <w:r>
        <w:rPr>
          <w:rFonts w:ascii="Times New Roman" w:hAnsi="Times New Roman"/>
          <w:sz w:val="20"/>
        </w:rPr>
        <w:t xml:space="preserve">SPECIAL FACTORS—Unaudited Prospective Financial Information – Tempus” </w:t>
      </w:r>
    </w:p>
    <w:p>
      <w:pPr>
        <w:pStyle w:val="TextBody"/>
        <w:bidi w:val="0"/>
        <w:spacing w:before="0" w:after="0"/>
        <w:jc w:val="left"/>
        <w:rPr/>
      </w:pPr>
      <w:r>
        <w:rPr/>
        <w:t>“</w:t>
      </w:r>
      <w:r>
        <w:rPr>
          <w:rFonts w:ascii="Times New Roman" w:hAnsi="Times New Roman"/>
          <w:sz w:val="20"/>
        </w:rPr>
        <w:t xml:space="preserve">IMPORTANT INFORMATION REGARDING PERSONALIS—Book Value per Share” </w:t>
      </w:r>
    </w:p>
    <w:p>
      <w:pPr>
        <w:pStyle w:val="TextBody"/>
        <w:bidi w:val="0"/>
        <w:spacing w:before="0" w:after="0"/>
        <w:jc w:val="left"/>
        <w:rPr/>
      </w:pPr>
      <w:r>
        <w:rPr/>
        <w:t>“</w:t>
      </w:r>
      <w:r>
        <w:rPr>
          <w:rFonts w:ascii="Times New Roman" w:hAnsi="Times New Roman"/>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i/>
          <w:sz w:val="20"/>
        </w:rPr>
        <w:t>Pro Forma Information</w:t>
      </w:r>
      <w:r>
        <w:rPr>
          <w:rFonts w:ascii="Times New Roman" w:hAnsi="Times New Roman"/>
          <w:sz w:val="20"/>
        </w:rPr>
        <w:t xml:space="preserve">. 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14. PERSONS/ASSETS, RETAINED, EMPLOYED, COMPENSATED OR USED </w:t>
      </w:r>
    </w:p>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1009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 </w:t>
      </w:r>
      <w:r>
        <w:rPr>
          <w:rFonts w:ascii="Times New Roman" w:hAnsi="Times New Roman"/>
          <w:b/>
          <w:sz w:val="20"/>
        </w:rPr>
        <w:t>(b)</w:t>
      </w:r>
      <w:r>
        <w:rPr>
          <w:rFonts w:ascii="Times New Roman" w:hAnsi="Times New Roman"/>
          <w:sz w:val="20"/>
        </w:rPr>
        <w:t xml:space="preserve"> </w:t>
      </w:r>
      <w:r>
        <w:rPr>
          <w:rFonts w:ascii="Times New Roman" w:hAnsi="Times New Roman"/>
          <w:i/>
          <w:sz w:val="20"/>
        </w:rPr>
        <w:t>Solicitations or Recommendations; Employees and Corporate Assets</w:t>
      </w:r>
      <w:r>
        <w:rPr>
          <w:rFonts w:ascii="Times New Roman" w:hAnsi="Times New Roman"/>
          <w:sz w:val="20"/>
        </w:rPr>
        <w:t xml:space="preserve">. The information set forth in the Proxy Statement/Prospectus under the following captions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FACTORS—Background of the Mergers” </w:t>
      </w:r>
    </w:p>
    <w:p>
      <w:pPr>
        <w:pStyle w:val="TextBody"/>
        <w:bidi w:val="0"/>
        <w:spacing w:before="0" w:after="0"/>
        <w:jc w:val="left"/>
        <w:rPr/>
      </w:pPr>
      <w:r>
        <w:rPr/>
        <w:t>“</w:t>
      </w:r>
      <w:r>
        <w:rPr>
          <w:rFonts w:ascii="Times New Roman" w:hAnsi="Times New Roman"/>
          <w:sz w:val="20"/>
        </w:rPr>
        <w:t xml:space="preserve">SPECIAL FACTORS—Purpose and Reasons of Personalis for the Mergers; Recommendation of the Personalis Board; Fairness”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SPECIAL MEETING OF PERSONALIS STOCKHOLDERS—General” </w:t>
      </w:r>
    </w:p>
    <w:p>
      <w:pPr>
        <w:pStyle w:val="TextBody"/>
        <w:bidi w:val="0"/>
        <w:spacing w:before="0" w:after="0"/>
        <w:jc w:val="left"/>
        <w:rPr/>
      </w:pPr>
      <w:r>
        <w:rPr/>
        <w:t>“</w:t>
      </w:r>
      <w:r>
        <w:rPr>
          <w:rFonts w:ascii="Times New Roman" w:hAnsi="Times New Roman"/>
          <w:sz w:val="20"/>
        </w:rPr>
        <w:t xml:space="preserve">SPECIAL MEETING OF PERSONALIS STOCKHOLDERS—Solicitations of Proxies” </w:t>
      </w:r>
    </w:p>
    <w:p>
      <w:pPr>
        <w:pStyle w:val="TextBody"/>
        <w:bidi w:val="0"/>
        <w:spacing w:before="360" w:after="0"/>
        <w:jc w:val="left"/>
        <w:rPr>
          <w:rFonts w:ascii="Times New Roman" w:hAnsi="Times New Roman"/>
          <w:b/>
          <w:sz w:val="20"/>
        </w:rPr>
      </w:pPr>
      <w:r>
        <w:rPr>
          <w:rFonts w:ascii="Times New Roman" w:hAnsi="Times New Roman"/>
          <w:b/>
          <w:sz w:val="20"/>
        </w:rPr>
        <w:t xml:space="preserve">ITEM 15. ADDITIONAL INFORMATION </w:t>
      </w:r>
    </w:p>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1011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i/>
          <w:sz w:val="20"/>
        </w:rPr>
        <w:t>Golden Parachute Compensation</w:t>
      </w:r>
      <w:r>
        <w:rPr>
          <w:rFonts w:ascii="Times New Roman" w:hAnsi="Times New Roman"/>
          <w:sz w:val="20"/>
        </w:rPr>
        <w:t xml:space="preserve">. The information set forth in the Proxy Statement/Prospectus under the following caption is incorporated herein by reference. </w:t>
      </w:r>
    </w:p>
    <w:p>
      <w:pPr>
        <w:pStyle w:val="TextBody"/>
        <w:bidi w:val="0"/>
        <w:spacing w:before="120" w:after="0"/>
        <w:jc w:val="left"/>
        <w:rPr/>
      </w:pPr>
      <w:r>
        <w:rPr/>
        <w:t>“</w:t>
      </w:r>
      <w:r>
        <w:rPr>
          <w:rFonts w:ascii="Times New Roman" w:hAnsi="Times New Roman"/>
          <w:sz w:val="20"/>
        </w:rPr>
        <w:t xml:space="preserve">SUMMARY TERM SHEET” </w:t>
      </w:r>
    </w:p>
    <w:p>
      <w:pPr>
        <w:pStyle w:val="TextBody"/>
        <w:bidi w:val="0"/>
        <w:spacing w:before="0" w:after="0"/>
        <w:jc w:val="left"/>
        <w:rPr/>
      </w:pPr>
      <w:r>
        <w:rPr/>
        <w:t>“</w:t>
      </w:r>
      <w:r>
        <w:rPr>
          <w:rFonts w:ascii="Times New Roman" w:hAnsi="Times New Roman"/>
          <w:sz w:val="20"/>
        </w:rPr>
        <w:t xml:space="preserve">QUESTIONS AND ANSWERS” </w:t>
      </w:r>
    </w:p>
    <w:p>
      <w:pPr>
        <w:pStyle w:val="TextBody"/>
        <w:bidi w:val="0"/>
        <w:spacing w:before="0" w:after="0"/>
        <w:jc w:val="left"/>
        <w:rPr/>
      </w:pPr>
      <w:r>
        <w:rPr/>
        <w:t>“</w:t>
      </w:r>
      <w:r>
        <w:rPr>
          <w:rFonts w:ascii="Times New Roman" w:hAnsi="Times New Roman"/>
          <w:sz w:val="20"/>
        </w:rPr>
        <w:t xml:space="preserve">SPECIAL FACTORS—Certain Effects of the Mergers on Personalis” </w:t>
      </w:r>
    </w:p>
    <w:p>
      <w:pPr>
        <w:pStyle w:val="TextBody"/>
        <w:bidi w:val="0"/>
        <w:spacing w:before="0" w:after="0"/>
        <w:jc w:val="left"/>
        <w:rPr/>
      </w:pPr>
      <w:r>
        <w:rPr/>
        <w:t>“</w:t>
      </w:r>
      <w:r>
        <w:rPr>
          <w:rFonts w:ascii="Times New Roman" w:hAnsi="Times New Roman"/>
          <w:sz w:val="20"/>
        </w:rPr>
        <w:t xml:space="preserve">SPECIAL FACTORS—Certain Effects of the Mergers on the Parent Filing Parties” </w:t>
      </w:r>
    </w:p>
    <w:p>
      <w:pPr>
        <w:pStyle w:val="TextBody"/>
        <w:bidi w:val="0"/>
        <w:spacing w:before="0" w:after="0"/>
        <w:jc w:val="left"/>
        <w:rPr/>
      </w:pPr>
      <w:r>
        <w:rPr/>
        <w:t>“</w:t>
      </w:r>
      <w:r>
        <w:rPr>
          <w:rFonts w:ascii="Times New Roman" w:hAnsi="Times New Roman"/>
          <w:sz w:val="20"/>
        </w:rPr>
        <w:t xml:space="preserve">SPECIAL FACTORS—Interests of Tempus Directors and Officers in the Mergers” </w:t>
      </w:r>
    </w:p>
    <w:p>
      <w:pPr>
        <w:pStyle w:val="TextBody"/>
        <w:bidi w:val="0"/>
        <w:spacing w:before="0" w:after="0"/>
        <w:jc w:val="left"/>
        <w:rPr/>
      </w:pPr>
      <w:r>
        <w:rPr/>
        <w:t>“</w:t>
      </w:r>
      <w:r>
        <w:rPr>
          <w:rFonts w:ascii="Times New Roman" w:hAnsi="Times New Roman"/>
          <w:sz w:val="20"/>
        </w:rPr>
        <w:t xml:space="preserve">SPECIAL FACTORS—Interests of Personalis Directors and Officers in the Mergers” </w:t>
      </w:r>
    </w:p>
    <w:p>
      <w:pPr>
        <w:pStyle w:val="TextBody"/>
        <w:bidi w:val="0"/>
        <w:spacing w:before="0" w:after="0"/>
        <w:jc w:val="left"/>
        <w:rPr/>
      </w:pPr>
      <w:r>
        <w:rPr/>
        <w:t>“</w:t>
      </w:r>
      <w:r>
        <w:rPr>
          <w:rFonts w:ascii="Times New Roman" w:hAnsi="Times New Roman"/>
          <w:sz w:val="20"/>
        </w:rPr>
        <w:t xml:space="preserve">THE MERGER AGREEMENT—Effects of the Mergers; Directors and Officers” </w:t>
      </w:r>
    </w:p>
    <w:p>
      <w:pPr>
        <w:pStyle w:val="TextBody"/>
        <w:bidi w:val="0"/>
        <w:spacing w:before="0" w:after="0"/>
        <w:jc w:val="left"/>
        <w:rPr/>
      </w:pPr>
      <w:r>
        <w:rPr/>
        <w:t>“</w:t>
      </w:r>
      <w:r>
        <w:rPr>
          <w:rFonts w:ascii="Times New Roman" w:hAnsi="Times New Roman"/>
          <w:sz w:val="20"/>
        </w:rPr>
        <w:t xml:space="preserve">THE MERGER AGREEMENT—Treatment of Personalis Equity Awards” </w:t>
      </w:r>
    </w:p>
    <w:p>
      <w:pPr>
        <w:pStyle w:val="TextBody"/>
        <w:bidi w:val="0"/>
        <w:spacing w:before="0" w:after="0"/>
        <w:jc w:val="left"/>
        <w:rPr/>
      </w:pPr>
      <w:r>
        <w:rPr/>
        <w:t>“</w:t>
      </w:r>
      <w:r>
        <w:rPr>
          <w:rFonts w:ascii="Times New Roman" w:hAnsi="Times New Roman"/>
          <w:sz w:val="20"/>
        </w:rPr>
        <w:t xml:space="preserve">PROPOSAL 2—NON-BINDING ADVISORY VOTE ON MERGER COMPENSATION PROPOSAL” </w:t>
      </w:r>
    </w:p>
    <w:p>
      <w:pPr>
        <w:pStyle w:val="TextBody"/>
        <w:bidi w:val="0"/>
        <w:spacing w:before="0" w:after="0"/>
        <w:jc w:val="left"/>
        <w:rPr/>
      </w:pPr>
      <w:r>
        <w:rPr/>
        <w:t>“</w:t>
      </w:r>
      <w:r>
        <w:rPr>
          <w:rFonts w:ascii="Times New Roman" w:hAnsi="Times New Roman"/>
          <w:sz w:val="20"/>
        </w:rPr>
        <w:t xml:space="preserve">Annex A: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i/>
          <w:sz w:val="20"/>
        </w:rPr>
        <w:t>Other Material Information</w:t>
      </w:r>
      <w:r>
        <w:rPr>
          <w:rFonts w:ascii="Times New Roman" w:hAnsi="Times New Roman"/>
          <w:sz w:val="20"/>
        </w:rPr>
        <w:t xml:space="preserve">. The information set forth in the Proxy Statement/Prospectus, including all annexes thereto,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Regulation M-A Item 1016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6"/>
        <w:gridCol w:w="598"/>
        <w:gridCol w:w="8411"/>
      </w:tblGrid>
      <w:tr>
        <w:trPr/>
        <w:tc>
          <w:tcPr>
            <w:tcW w:w="1196" w:type="dxa"/>
            <w:tcBorders/>
            <w:vAlign w:val="center"/>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8411" w:type="dxa"/>
            <w:tcBorders/>
            <w:vAlign w:val="center"/>
          </w:tcPr>
          <w:p>
            <w:pPr>
              <w:pStyle w:val="TableContents"/>
              <w:bidi w:val="0"/>
              <w:spacing w:before="0" w:after="283"/>
              <w:jc w:val="left"/>
              <w:rPr>
                <w:sz w:val="4"/>
                <w:szCs w:val="4"/>
              </w:rPr>
            </w:pPr>
            <w:r>
              <w:rPr>
                <w:sz w:val="4"/>
                <w:szCs w:val="4"/>
              </w:rPr>
            </w:r>
          </w:p>
        </w:tc>
      </w:tr>
      <w:tr>
        <w:trPr/>
        <w:tc>
          <w:tcPr>
            <w:tcW w:w="1196" w:type="dxa"/>
            <w:tcBorders/>
            <w:vAlign w:val="bottom"/>
          </w:tcPr>
          <w:p>
            <w:pPr>
              <w:pStyle w:val="TableContents"/>
              <w:bidi w:val="0"/>
              <w:spacing w:before="0" w:after="283"/>
              <w:jc w:val="center"/>
              <w:rPr>
                <w:b/>
              </w:rPr>
            </w:pPr>
            <w:r>
              <w:rPr>
                <w:b/>
              </w:rPr>
              <w:t>Exhibit No.</w:t>
            </w:r>
          </w:p>
        </w:tc>
        <w:tc>
          <w:tcPr>
            <w:tcW w:w="598" w:type="dxa"/>
            <w:tcBorders/>
            <w:vAlign w:val="bottom"/>
          </w:tcPr>
          <w:p>
            <w:pPr>
              <w:pStyle w:val="TableContents"/>
              <w:bidi w:val="0"/>
              <w:spacing w:before="0" w:after="283"/>
              <w:jc w:val="left"/>
              <w:rPr/>
            </w:pPr>
            <w:r>
              <w:rPr/>
              <w:t> </w:t>
            </w:r>
          </w:p>
        </w:tc>
        <w:tc>
          <w:tcPr>
            <w:tcW w:w="8411" w:type="dxa"/>
            <w:tcBorders/>
            <w:vAlign w:val="bottom"/>
          </w:tcPr>
          <w:p>
            <w:pPr>
              <w:pStyle w:val="TableContents"/>
              <w:bidi w:val="0"/>
              <w:spacing w:before="0" w:after="283"/>
              <w:jc w:val="left"/>
              <w:rPr>
                <w:b/>
              </w:rPr>
            </w:pPr>
            <w:r>
              <w:rPr>
                <w:b/>
              </w:rPr>
              <w:t>Description</w:t>
            </w:r>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9009" w:type="dxa"/>
            <w:gridSpan w:val="2"/>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283"/>
              <w:jc w:val="left"/>
              <w:rPr/>
            </w:pPr>
            <w:r>
              <w:rPr/>
              <w:t>(a)(1)*</w:t>
            </w:r>
          </w:p>
        </w:tc>
        <w:tc>
          <w:tcPr>
            <w:tcW w:w="598" w:type="dxa"/>
            <w:tcBorders/>
            <w:vAlign w:val="bottom"/>
          </w:tcPr>
          <w:p>
            <w:pPr>
              <w:pStyle w:val="TableContents"/>
              <w:bidi w:val="0"/>
              <w:spacing w:before="0" w:after="283"/>
              <w:jc w:val="left"/>
              <w:rPr/>
            </w:pPr>
            <w:r>
              <w:rPr/>
              <w:t> </w:t>
            </w:r>
          </w:p>
        </w:tc>
        <w:tc>
          <w:tcPr>
            <w:tcW w:w="8411" w:type="dxa"/>
            <w:tcBorders/>
          </w:tcPr>
          <w:p>
            <w:pPr>
              <w:pStyle w:val="TableContents"/>
              <w:bidi w:val="0"/>
              <w:spacing w:before="0" w:after="283"/>
              <w:jc w:val="left"/>
              <w:rPr/>
            </w:pPr>
            <w:hyperlink r:id="rId2">
              <w:r>
                <w:rPr>
                  <w:rStyle w:val="InternetLink"/>
                </w:rPr>
                <w:t xml:space="preserve">Amended Proxy Statement/Prospectus (incorporated herein by reference to Amendment No.  1 to Tempus AI, Inc.’s Registration Statement on Form S-4 filed with the SEC on October 2, 2026) </w:t>
              </w:r>
            </w:hyperlink>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9009" w:type="dxa"/>
            <w:gridSpan w:val="2"/>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283"/>
              <w:jc w:val="left"/>
              <w:rPr/>
            </w:pPr>
            <w:r>
              <w:rPr/>
              <w:t>(a)(2)*</w:t>
            </w:r>
          </w:p>
        </w:tc>
        <w:tc>
          <w:tcPr>
            <w:tcW w:w="598" w:type="dxa"/>
            <w:tcBorders/>
            <w:vAlign w:val="bottom"/>
          </w:tcPr>
          <w:p>
            <w:pPr>
              <w:pStyle w:val="TableContents"/>
              <w:bidi w:val="0"/>
              <w:spacing w:before="0" w:after="283"/>
              <w:jc w:val="left"/>
              <w:rPr/>
            </w:pPr>
            <w:r>
              <w:rPr/>
              <w:t> </w:t>
            </w:r>
          </w:p>
        </w:tc>
        <w:tc>
          <w:tcPr>
            <w:tcW w:w="8411" w:type="dxa"/>
            <w:tcBorders/>
          </w:tcPr>
          <w:p>
            <w:pPr>
              <w:pStyle w:val="TableContents"/>
              <w:bidi w:val="0"/>
              <w:spacing w:before="0" w:after="283"/>
              <w:jc w:val="left"/>
              <w:rPr/>
            </w:pPr>
            <w:hyperlink r:id="rId3">
              <w:r>
                <w:rPr>
                  <w:rStyle w:val="InternetLink"/>
                </w:rPr>
                <w:t xml:space="preserve">Letter to the Stockholders of Personalis (incorporated herein by reference to the Amended Proxy Statement/Prospectus) </w:t>
              </w:r>
            </w:hyperlink>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9009" w:type="dxa"/>
            <w:gridSpan w:val="2"/>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283"/>
              <w:jc w:val="left"/>
              <w:rPr/>
            </w:pPr>
            <w:r>
              <w:rPr/>
              <w:t>(a)(3)*</w:t>
            </w:r>
          </w:p>
        </w:tc>
        <w:tc>
          <w:tcPr>
            <w:tcW w:w="598" w:type="dxa"/>
            <w:tcBorders/>
            <w:vAlign w:val="bottom"/>
          </w:tcPr>
          <w:p>
            <w:pPr>
              <w:pStyle w:val="TableContents"/>
              <w:bidi w:val="0"/>
              <w:spacing w:before="0" w:after="283"/>
              <w:jc w:val="left"/>
              <w:rPr/>
            </w:pPr>
            <w:r>
              <w:rPr/>
              <w:t> </w:t>
            </w:r>
          </w:p>
        </w:tc>
        <w:tc>
          <w:tcPr>
            <w:tcW w:w="8411" w:type="dxa"/>
            <w:tcBorders/>
          </w:tcPr>
          <w:p>
            <w:pPr>
              <w:pStyle w:val="TableContents"/>
              <w:bidi w:val="0"/>
              <w:spacing w:before="0" w:after="283"/>
              <w:jc w:val="left"/>
              <w:rPr/>
            </w:pPr>
            <w:hyperlink r:id="rId4">
              <w:r>
                <w:rPr>
                  <w:rStyle w:val="InternetLink"/>
                </w:rPr>
                <w:t>Form of Proxy Card and Voting Instructions for the Personalis Special Meeting (incorporated herein by reference to the Amended Proxy Statement/Prospectus)</w:t>
              </w:r>
            </w:hyperlink>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9009" w:type="dxa"/>
            <w:gridSpan w:val="2"/>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283"/>
              <w:jc w:val="left"/>
              <w:rPr/>
            </w:pPr>
            <w:r>
              <w:rPr/>
              <w:t>(a)(4)*</w:t>
            </w:r>
          </w:p>
        </w:tc>
        <w:tc>
          <w:tcPr>
            <w:tcW w:w="598" w:type="dxa"/>
            <w:tcBorders/>
            <w:vAlign w:val="bottom"/>
          </w:tcPr>
          <w:p>
            <w:pPr>
              <w:pStyle w:val="TableContents"/>
              <w:bidi w:val="0"/>
              <w:spacing w:before="0" w:after="283"/>
              <w:jc w:val="left"/>
              <w:rPr/>
            </w:pPr>
            <w:r>
              <w:rPr/>
              <w:t> </w:t>
            </w:r>
          </w:p>
        </w:tc>
        <w:tc>
          <w:tcPr>
            <w:tcW w:w="8411" w:type="dxa"/>
            <w:tcBorders/>
          </w:tcPr>
          <w:p>
            <w:pPr>
              <w:pStyle w:val="TableContents"/>
              <w:bidi w:val="0"/>
              <w:spacing w:before="0" w:after="283"/>
              <w:jc w:val="left"/>
              <w:rPr/>
            </w:pPr>
            <w:hyperlink r:id="rId5">
              <w:r>
                <w:rPr>
                  <w:rStyle w:val="InternetLink"/>
                </w:rPr>
                <w:t>Notice of Special Meeting of Stockholders of Personalis (incorporated herein by reference to the Amended Proxy Statement/Prospectus)</w:t>
              </w:r>
            </w:hyperlink>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9009" w:type="dxa"/>
            <w:gridSpan w:val="2"/>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283"/>
              <w:jc w:val="left"/>
              <w:rPr/>
            </w:pPr>
            <w:r>
              <w:rPr/>
              <w:t>(a)(5)**</w:t>
            </w:r>
          </w:p>
        </w:tc>
        <w:tc>
          <w:tcPr>
            <w:tcW w:w="598" w:type="dxa"/>
            <w:tcBorders/>
            <w:vAlign w:val="bottom"/>
          </w:tcPr>
          <w:p>
            <w:pPr>
              <w:pStyle w:val="TableContents"/>
              <w:bidi w:val="0"/>
              <w:spacing w:before="0" w:after="283"/>
              <w:jc w:val="left"/>
              <w:rPr/>
            </w:pPr>
            <w:r>
              <w:rPr/>
              <w:t> </w:t>
            </w:r>
          </w:p>
        </w:tc>
        <w:tc>
          <w:tcPr>
            <w:tcW w:w="8411" w:type="dxa"/>
            <w:tcBorders/>
          </w:tcPr>
          <w:p>
            <w:pPr>
              <w:pStyle w:val="TableContents"/>
              <w:bidi w:val="0"/>
              <w:spacing w:before="0" w:after="283"/>
              <w:jc w:val="left"/>
              <w:rPr/>
            </w:pPr>
            <w:hyperlink r:id="rId6">
              <w:r>
                <w:rPr>
                  <w:rStyle w:val="InternetLink"/>
                </w:rPr>
                <w:t xml:space="preserve">Joint Press Release of Tempus and Personalis, dated July  20, 2026 (incorporated by reference to Exhibit 99.1 to Personalis’ Current Report on Form 8-K filed with the SEC on July 20, 2026) </w:t>
              </w:r>
            </w:hyperlink>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9009" w:type="dxa"/>
            <w:gridSpan w:val="2"/>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283"/>
              <w:jc w:val="left"/>
              <w:rPr/>
            </w:pPr>
            <w:r>
              <w:rPr/>
              <w:t>(a)(6)**</w:t>
            </w:r>
          </w:p>
        </w:tc>
        <w:tc>
          <w:tcPr>
            <w:tcW w:w="598" w:type="dxa"/>
            <w:tcBorders/>
            <w:vAlign w:val="bottom"/>
          </w:tcPr>
          <w:p>
            <w:pPr>
              <w:pStyle w:val="TableContents"/>
              <w:bidi w:val="0"/>
              <w:spacing w:before="0" w:after="283"/>
              <w:jc w:val="left"/>
              <w:rPr/>
            </w:pPr>
            <w:r>
              <w:rPr/>
              <w:t> </w:t>
            </w:r>
          </w:p>
        </w:tc>
        <w:tc>
          <w:tcPr>
            <w:tcW w:w="8411" w:type="dxa"/>
            <w:tcBorders/>
          </w:tcPr>
          <w:p>
            <w:pPr>
              <w:pStyle w:val="TableContents"/>
              <w:bidi w:val="0"/>
              <w:spacing w:before="0" w:after="283"/>
              <w:jc w:val="left"/>
              <w:rPr/>
            </w:pPr>
            <w:hyperlink r:id="rId7">
              <w:r>
                <w:rPr>
                  <w:rStyle w:val="InternetLink"/>
                </w:rPr>
                <w:t>Investor Presentation of Personalis, dated July  20, 2026 (incorporated by reference to Personalis’ prospectus on Form 425 filed with the SEC on July 20, 2026)</w:t>
              </w:r>
            </w:hyperlink>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9009" w:type="dxa"/>
            <w:gridSpan w:val="2"/>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283"/>
              <w:jc w:val="left"/>
              <w:rPr/>
            </w:pPr>
            <w:r>
              <w:rPr/>
              <w:t>(a)(7)**</w:t>
            </w:r>
          </w:p>
        </w:tc>
        <w:tc>
          <w:tcPr>
            <w:tcW w:w="598" w:type="dxa"/>
            <w:tcBorders/>
            <w:vAlign w:val="bottom"/>
          </w:tcPr>
          <w:p>
            <w:pPr>
              <w:pStyle w:val="TableContents"/>
              <w:bidi w:val="0"/>
              <w:spacing w:before="0" w:after="283"/>
              <w:jc w:val="left"/>
              <w:rPr/>
            </w:pPr>
            <w:r>
              <w:rPr/>
              <w:t> </w:t>
            </w:r>
          </w:p>
        </w:tc>
        <w:tc>
          <w:tcPr>
            <w:tcW w:w="8411" w:type="dxa"/>
            <w:tcBorders/>
          </w:tcPr>
          <w:p>
            <w:pPr>
              <w:pStyle w:val="TableContents"/>
              <w:bidi w:val="0"/>
              <w:spacing w:before="0" w:after="283"/>
              <w:jc w:val="left"/>
              <w:rPr/>
            </w:pPr>
            <w:hyperlink r:id="rId8">
              <w:r>
                <w:rPr>
                  <w:rStyle w:val="InternetLink"/>
                </w:rPr>
                <w:t>Social Media Posts, dated July  20, 2026 (incorporated by reference to Personalis’ prospectus on Form 425 filed with the SEC on July 20, 2026)</w:t>
              </w:r>
            </w:hyperlink>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9009" w:type="dxa"/>
            <w:gridSpan w:val="2"/>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283"/>
              <w:jc w:val="left"/>
              <w:rPr/>
            </w:pPr>
            <w:r>
              <w:rPr/>
              <w:t>(a)(8)**</w:t>
            </w:r>
          </w:p>
        </w:tc>
        <w:tc>
          <w:tcPr>
            <w:tcW w:w="598" w:type="dxa"/>
            <w:tcBorders/>
            <w:vAlign w:val="bottom"/>
          </w:tcPr>
          <w:p>
            <w:pPr>
              <w:pStyle w:val="TableContents"/>
              <w:bidi w:val="0"/>
              <w:spacing w:before="0" w:after="283"/>
              <w:jc w:val="left"/>
              <w:rPr/>
            </w:pPr>
            <w:r>
              <w:rPr/>
              <w:t> </w:t>
            </w:r>
          </w:p>
        </w:tc>
        <w:tc>
          <w:tcPr>
            <w:tcW w:w="8411" w:type="dxa"/>
            <w:tcBorders/>
          </w:tcPr>
          <w:p>
            <w:pPr>
              <w:pStyle w:val="TableContents"/>
              <w:bidi w:val="0"/>
              <w:spacing w:before="0" w:after="283"/>
              <w:jc w:val="left"/>
              <w:rPr/>
            </w:pPr>
            <w:hyperlink r:id="rId9">
              <w:r>
                <w:rPr>
                  <w:rStyle w:val="InternetLink"/>
                </w:rPr>
                <w:t>Investor Call Transcript, dated July  20, 2026 (incorporated by reference to Personalis’ prospectus on Form 425 filed with the SEC on July 20, 2026)</w:t>
              </w:r>
            </w:hyperlink>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9009" w:type="dxa"/>
            <w:gridSpan w:val="2"/>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283"/>
              <w:jc w:val="left"/>
              <w:rPr/>
            </w:pPr>
            <w:r>
              <w:rPr/>
              <w:t>(c)(1)*</w:t>
            </w:r>
          </w:p>
        </w:tc>
        <w:tc>
          <w:tcPr>
            <w:tcW w:w="598" w:type="dxa"/>
            <w:tcBorders/>
            <w:vAlign w:val="bottom"/>
          </w:tcPr>
          <w:p>
            <w:pPr>
              <w:pStyle w:val="TableContents"/>
              <w:bidi w:val="0"/>
              <w:spacing w:before="0" w:after="283"/>
              <w:jc w:val="left"/>
              <w:rPr/>
            </w:pPr>
            <w:r>
              <w:rPr/>
              <w:t> </w:t>
            </w:r>
          </w:p>
        </w:tc>
        <w:tc>
          <w:tcPr>
            <w:tcW w:w="8411" w:type="dxa"/>
            <w:tcBorders/>
          </w:tcPr>
          <w:p>
            <w:pPr>
              <w:pStyle w:val="TableContents"/>
              <w:bidi w:val="0"/>
              <w:spacing w:before="0" w:after="283"/>
              <w:jc w:val="left"/>
              <w:rPr/>
            </w:pPr>
            <w:hyperlink r:id="rId10">
              <w:r>
                <w:rPr>
                  <w:rStyle w:val="InternetLink"/>
                </w:rPr>
                <w:t xml:space="preserve">Opinion of Centerview Partners LLC (incorporated herein by reference to Annex B of the Amended Proxy Statement/Prospectus) </w:t>
              </w:r>
            </w:hyperlink>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9009" w:type="dxa"/>
            <w:gridSpan w:val="2"/>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283"/>
              <w:jc w:val="left"/>
              <w:rPr/>
            </w:pPr>
            <w:r>
              <w:rPr/>
              <w:t>(c)(2)*</w:t>
            </w:r>
          </w:p>
        </w:tc>
        <w:tc>
          <w:tcPr>
            <w:tcW w:w="598" w:type="dxa"/>
            <w:tcBorders/>
            <w:vAlign w:val="bottom"/>
          </w:tcPr>
          <w:p>
            <w:pPr>
              <w:pStyle w:val="TableContents"/>
              <w:bidi w:val="0"/>
              <w:spacing w:before="0" w:after="283"/>
              <w:jc w:val="left"/>
              <w:rPr/>
            </w:pPr>
            <w:r>
              <w:rPr/>
              <w:t> </w:t>
            </w:r>
          </w:p>
        </w:tc>
        <w:tc>
          <w:tcPr>
            <w:tcW w:w="8411" w:type="dxa"/>
            <w:tcBorders/>
          </w:tcPr>
          <w:p>
            <w:pPr>
              <w:pStyle w:val="TableContents"/>
              <w:bidi w:val="0"/>
              <w:spacing w:before="0" w:after="283"/>
              <w:jc w:val="left"/>
              <w:rPr/>
            </w:pPr>
            <w:hyperlink r:id="rId11">
              <w:r>
                <w:rPr>
                  <w:rStyle w:val="InternetLink"/>
                </w:rPr>
                <w:t>Opinion of TD Securities (USA) LLC (incorporated herein by reference to Annex C of the Amended Proxy Statement/Prospectus)</w:t>
              </w:r>
            </w:hyperlink>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9009" w:type="dxa"/>
            <w:gridSpan w:val="2"/>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283"/>
              <w:jc w:val="left"/>
              <w:rPr/>
            </w:pPr>
            <w:r>
              <w:rPr/>
              <w:t>(c)(3)*</w:t>
            </w:r>
          </w:p>
        </w:tc>
        <w:tc>
          <w:tcPr>
            <w:tcW w:w="598" w:type="dxa"/>
            <w:tcBorders/>
            <w:vAlign w:val="bottom"/>
          </w:tcPr>
          <w:p>
            <w:pPr>
              <w:pStyle w:val="TableContents"/>
              <w:bidi w:val="0"/>
              <w:spacing w:before="0" w:after="283"/>
              <w:jc w:val="left"/>
              <w:rPr/>
            </w:pPr>
            <w:r>
              <w:rPr/>
              <w:t> </w:t>
            </w:r>
          </w:p>
        </w:tc>
        <w:tc>
          <w:tcPr>
            <w:tcW w:w="8411" w:type="dxa"/>
            <w:tcBorders/>
          </w:tcPr>
          <w:p>
            <w:pPr>
              <w:pStyle w:val="TableContents"/>
              <w:bidi w:val="0"/>
              <w:spacing w:before="0" w:after="283"/>
              <w:jc w:val="left"/>
              <w:rPr/>
            </w:pPr>
            <w:hyperlink r:id="rId12">
              <w:r>
                <w:rPr>
                  <w:rStyle w:val="InternetLink"/>
                </w:rPr>
                <w:t>Opinion of Morgan Stanley &amp; Co. LLC (incorporated herein by reference to Annex D of the Amended Proxy Statement/Prospectus)</w:t>
              </w:r>
            </w:hyperlink>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9009" w:type="dxa"/>
            <w:gridSpan w:val="2"/>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283"/>
              <w:jc w:val="left"/>
              <w:rPr/>
            </w:pPr>
            <w:r>
              <w:rPr/>
              <w:t>(c)(4)**</w:t>
            </w:r>
          </w:p>
        </w:tc>
        <w:tc>
          <w:tcPr>
            <w:tcW w:w="598" w:type="dxa"/>
            <w:tcBorders/>
            <w:vAlign w:val="bottom"/>
          </w:tcPr>
          <w:p>
            <w:pPr>
              <w:pStyle w:val="TableContents"/>
              <w:bidi w:val="0"/>
              <w:spacing w:before="0" w:after="283"/>
              <w:jc w:val="left"/>
              <w:rPr/>
            </w:pPr>
            <w:r>
              <w:rPr/>
              <w:t> </w:t>
            </w:r>
          </w:p>
        </w:tc>
        <w:tc>
          <w:tcPr>
            <w:tcW w:w="8411" w:type="dxa"/>
            <w:tcBorders/>
          </w:tcPr>
          <w:p>
            <w:pPr>
              <w:pStyle w:val="TableContents"/>
              <w:bidi w:val="0"/>
              <w:spacing w:before="0" w:after="283"/>
              <w:jc w:val="left"/>
              <w:rPr/>
            </w:pPr>
            <w:hyperlink r:id="rId13">
              <w:r>
                <w:rPr>
                  <w:rStyle w:val="InternetLink"/>
                </w:rPr>
                <w:t>Joint preliminary discussion materials prepared by Centerview Partners LLC and TD Securities (USA) LLC and provided to the Personalis Board, dated February 2, 2026</w:t>
              </w:r>
            </w:hyperlink>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9009" w:type="dxa"/>
            <w:gridSpan w:val="2"/>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283"/>
              <w:jc w:val="left"/>
              <w:rPr/>
            </w:pPr>
            <w:r>
              <w:rPr/>
              <w:t>(c)(5)**</w:t>
            </w:r>
          </w:p>
        </w:tc>
        <w:tc>
          <w:tcPr>
            <w:tcW w:w="598" w:type="dxa"/>
            <w:tcBorders/>
            <w:vAlign w:val="bottom"/>
          </w:tcPr>
          <w:p>
            <w:pPr>
              <w:pStyle w:val="TableContents"/>
              <w:bidi w:val="0"/>
              <w:spacing w:before="0" w:after="283"/>
              <w:jc w:val="left"/>
              <w:rPr/>
            </w:pPr>
            <w:r>
              <w:rPr/>
              <w:t> </w:t>
            </w:r>
          </w:p>
        </w:tc>
        <w:tc>
          <w:tcPr>
            <w:tcW w:w="8411" w:type="dxa"/>
            <w:tcBorders/>
          </w:tcPr>
          <w:p>
            <w:pPr>
              <w:pStyle w:val="TableContents"/>
              <w:bidi w:val="0"/>
              <w:spacing w:before="0" w:after="283"/>
              <w:jc w:val="left"/>
              <w:rPr/>
            </w:pPr>
            <w:hyperlink r:id="rId14">
              <w:r>
                <w:rPr>
                  <w:rStyle w:val="InternetLink"/>
                </w:rPr>
                <w:t>Joint preliminary discussion materials prepared by Centerview Partners LLC and TD Securities (USA) LLC and provided to the Personalis Board, dated February 6, 2026</w:t>
              </w:r>
            </w:hyperlink>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9009" w:type="dxa"/>
            <w:gridSpan w:val="2"/>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283"/>
              <w:jc w:val="left"/>
              <w:rPr/>
            </w:pPr>
            <w:r>
              <w:rPr/>
              <w:t>(c)(6)**</w:t>
            </w:r>
          </w:p>
        </w:tc>
        <w:tc>
          <w:tcPr>
            <w:tcW w:w="598" w:type="dxa"/>
            <w:tcBorders/>
            <w:vAlign w:val="bottom"/>
          </w:tcPr>
          <w:p>
            <w:pPr>
              <w:pStyle w:val="TableContents"/>
              <w:bidi w:val="0"/>
              <w:spacing w:before="0" w:after="283"/>
              <w:jc w:val="left"/>
              <w:rPr/>
            </w:pPr>
            <w:r>
              <w:rPr/>
              <w:t> </w:t>
            </w:r>
          </w:p>
        </w:tc>
        <w:tc>
          <w:tcPr>
            <w:tcW w:w="8411" w:type="dxa"/>
            <w:tcBorders/>
          </w:tcPr>
          <w:p>
            <w:pPr>
              <w:pStyle w:val="TableContents"/>
              <w:bidi w:val="0"/>
              <w:spacing w:before="0" w:after="283"/>
              <w:jc w:val="left"/>
              <w:rPr/>
            </w:pPr>
            <w:hyperlink r:id="rId15">
              <w:r>
                <w:rPr>
                  <w:rStyle w:val="InternetLink"/>
                </w:rPr>
                <w:t>Joint preliminary discussion materials prepared by Centerview Partners LLC and TD Securities (USA) LLC and provided to the Personalis Board, dated April 28, 2026</w:t>
              </w:r>
            </w:hyperlink>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9009" w:type="dxa"/>
            <w:gridSpan w:val="2"/>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283"/>
              <w:jc w:val="left"/>
              <w:rPr/>
            </w:pPr>
            <w:r>
              <w:rPr/>
              <w:t>(c)(7)**</w:t>
            </w:r>
          </w:p>
        </w:tc>
        <w:tc>
          <w:tcPr>
            <w:tcW w:w="598" w:type="dxa"/>
            <w:tcBorders/>
            <w:vAlign w:val="bottom"/>
          </w:tcPr>
          <w:p>
            <w:pPr>
              <w:pStyle w:val="TableContents"/>
              <w:bidi w:val="0"/>
              <w:spacing w:before="0" w:after="283"/>
              <w:jc w:val="left"/>
              <w:rPr/>
            </w:pPr>
            <w:r>
              <w:rPr/>
              <w:t> </w:t>
            </w:r>
          </w:p>
        </w:tc>
        <w:tc>
          <w:tcPr>
            <w:tcW w:w="8411" w:type="dxa"/>
            <w:tcBorders/>
          </w:tcPr>
          <w:p>
            <w:pPr>
              <w:pStyle w:val="TableContents"/>
              <w:bidi w:val="0"/>
              <w:spacing w:before="0" w:after="283"/>
              <w:jc w:val="left"/>
              <w:rPr/>
            </w:pPr>
            <w:hyperlink r:id="rId16">
              <w:r>
                <w:rPr>
                  <w:rStyle w:val="InternetLink"/>
                </w:rPr>
                <w:t>Joint preliminary discussion materials prepared by Centerview Partners LLC and TD Securities (USA) LLC and provided to the Personalis Board, dated May 29, 2026</w:t>
              </w:r>
            </w:hyperlink>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9009" w:type="dxa"/>
            <w:gridSpan w:val="2"/>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283"/>
              <w:jc w:val="left"/>
              <w:rPr/>
            </w:pPr>
            <w:r>
              <w:rPr/>
              <w:t>(c)(8)**</w:t>
            </w:r>
          </w:p>
        </w:tc>
        <w:tc>
          <w:tcPr>
            <w:tcW w:w="598" w:type="dxa"/>
            <w:tcBorders/>
            <w:vAlign w:val="bottom"/>
          </w:tcPr>
          <w:p>
            <w:pPr>
              <w:pStyle w:val="TableContents"/>
              <w:bidi w:val="0"/>
              <w:spacing w:before="0" w:after="283"/>
              <w:jc w:val="left"/>
              <w:rPr/>
            </w:pPr>
            <w:r>
              <w:rPr/>
              <w:t> </w:t>
            </w:r>
          </w:p>
        </w:tc>
        <w:tc>
          <w:tcPr>
            <w:tcW w:w="8411" w:type="dxa"/>
            <w:tcBorders/>
          </w:tcPr>
          <w:p>
            <w:pPr>
              <w:pStyle w:val="TableContents"/>
              <w:bidi w:val="0"/>
              <w:spacing w:before="0" w:after="283"/>
              <w:jc w:val="left"/>
              <w:rPr/>
            </w:pPr>
            <w:hyperlink r:id="rId17">
              <w:r>
                <w:rPr>
                  <w:rStyle w:val="InternetLink"/>
                </w:rPr>
                <w:t>Joint preliminary discussion materials prepared by Centerview Partners LLC and TD Securities (USA) LLC and provided to the Personalis Board, dated June 5, 2026</w:t>
              </w:r>
            </w:hyperlink>
          </w:p>
        </w:tc>
      </w:tr>
      <w:tr>
        <w:trPr>
          <w:trHeight w:val="120" w:hRule="atLeast"/>
        </w:trPr>
        <w:tc>
          <w:tcPr>
            <w:tcW w:w="1196" w:type="dxa"/>
            <w:tcBorders/>
            <w:vAlign w:val="center"/>
          </w:tcPr>
          <w:p>
            <w:pPr>
              <w:pStyle w:val="TableContents"/>
              <w:bidi w:val="0"/>
              <w:spacing w:before="0" w:after="283"/>
              <w:jc w:val="left"/>
              <w:rPr>
                <w:sz w:val="4"/>
                <w:szCs w:val="4"/>
              </w:rPr>
            </w:pPr>
            <w:r>
              <w:rPr>
                <w:sz w:val="4"/>
                <w:szCs w:val="4"/>
              </w:rPr>
            </w:r>
          </w:p>
        </w:tc>
        <w:tc>
          <w:tcPr>
            <w:tcW w:w="9009" w:type="dxa"/>
            <w:gridSpan w:val="2"/>
            <w:tcBorders/>
            <w:vAlign w:val="center"/>
          </w:tcPr>
          <w:p>
            <w:pPr>
              <w:pStyle w:val="TableContents"/>
              <w:bidi w:val="0"/>
              <w:spacing w:before="0" w:after="283"/>
              <w:jc w:val="left"/>
              <w:rPr>
                <w:sz w:val="4"/>
                <w:szCs w:val="4"/>
              </w:rPr>
            </w:pPr>
            <w:r>
              <w:rPr>
                <w:sz w:val="4"/>
                <w:szCs w:val="4"/>
              </w:rPr>
            </w:r>
          </w:p>
        </w:tc>
      </w:tr>
      <w:tr>
        <w:trPr/>
        <w:tc>
          <w:tcPr>
            <w:tcW w:w="1196" w:type="dxa"/>
            <w:tcBorders/>
          </w:tcPr>
          <w:p>
            <w:pPr>
              <w:pStyle w:val="TableContents"/>
              <w:bidi w:val="0"/>
              <w:spacing w:before="0" w:after="283"/>
              <w:jc w:val="left"/>
              <w:rPr/>
            </w:pPr>
            <w:r>
              <w:rPr/>
              <w:t>(c)(9)**</w:t>
            </w:r>
          </w:p>
        </w:tc>
        <w:tc>
          <w:tcPr>
            <w:tcW w:w="598" w:type="dxa"/>
            <w:tcBorders/>
            <w:vAlign w:val="bottom"/>
          </w:tcPr>
          <w:p>
            <w:pPr>
              <w:pStyle w:val="TableContents"/>
              <w:bidi w:val="0"/>
              <w:spacing w:before="0" w:after="283"/>
              <w:jc w:val="left"/>
              <w:rPr/>
            </w:pPr>
            <w:r>
              <w:rPr/>
              <w:t> </w:t>
            </w:r>
          </w:p>
        </w:tc>
        <w:tc>
          <w:tcPr>
            <w:tcW w:w="8411" w:type="dxa"/>
            <w:tcBorders/>
          </w:tcPr>
          <w:p>
            <w:pPr>
              <w:pStyle w:val="TableContents"/>
              <w:bidi w:val="0"/>
              <w:spacing w:before="0" w:after="283"/>
              <w:jc w:val="left"/>
              <w:rPr/>
            </w:pPr>
            <w:hyperlink r:id="rId18">
              <w:r>
                <w:rPr>
                  <w:rStyle w:val="InternetLink"/>
                </w:rPr>
                <w:t>Joint preliminary discussion materials prepared by Centerview Partners LLC and TD Securities (USA) LLC and provided to the Personalis Board, dated June 19, 2026</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05"/>
        <w:gridCol w:w="567"/>
        <w:gridCol w:w="8433"/>
      </w:tblGrid>
      <w:tr>
        <w:trPr/>
        <w:tc>
          <w:tcPr>
            <w:tcW w:w="1205" w:type="dxa"/>
            <w:tcBorders/>
            <w:vAlign w:val="center"/>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8433"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bottom"/>
          </w:tcPr>
          <w:p>
            <w:pPr>
              <w:pStyle w:val="TableContents"/>
              <w:bidi w:val="0"/>
              <w:spacing w:before="0" w:after="283"/>
              <w:jc w:val="center"/>
              <w:rPr>
                <w:b/>
              </w:rPr>
            </w:pPr>
            <w:r>
              <w:rPr>
                <w:b/>
              </w:rPr>
              <w:t>Exhibit No.</w:t>
            </w:r>
          </w:p>
        </w:tc>
        <w:tc>
          <w:tcPr>
            <w:tcW w:w="567" w:type="dxa"/>
            <w:tcBorders/>
            <w:vAlign w:val="bottom"/>
          </w:tcPr>
          <w:p>
            <w:pPr>
              <w:pStyle w:val="TableContents"/>
              <w:bidi w:val="0"/>
              <w:spacing w:before="0" w:after="283"/>
              <w:jc w:val="left"/>
              <w:rPr/>
            </w:pPr>
            <w:r>
              <w:rPr/>
              <w:t> </w:t>
            </w:r>
          </w:p>
        </w:tc>
        <w:tc>
          <w:tcPr>
            <w:tcW w:w="8433" w:type="dxa"/>
            <w:tcBorders/>
            <w:vAlign w:val="bottom"/>
          </w:tcPr>
          <w:p>
            <w:pPr>
              <w:pStyle w:val="TableContents"/>
              <w:bidi w:val="0"/>
              <w:spacing w:before="0" w:after="283"/>
              <w:jc w:val="left"/>
              <w:rPr>
                <w:b/>
              </w:rPr>
            </w:pPr>
            <w:r>
              <w:rPr>
                <w:b/>
              </w:rPr>
              <w:t>Description</w:t>
            </w:r>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(c)(10)**</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19">
              <w:r>
                <w:rPr>
                  <w:rStyle w:val="InternetLink"/>
                </w:rPr>
                <w:t>Joint preliminary discussion materials prepared by Centerview Partners LLC and TD Securities (USA) LLC and provided to the Personalis Board, dated June 25, 2026</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(c)(11)**</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20">
              <w:r>
                <w:rPr>
                  <w:rStyle w:val="InternetLink"/>
                </w:rPr>
                <w:t>Joint preliminary discussion materials prepared by Centerview Partners LLC and TD Securities (USA) LLC and provided to the Personalis Board, dated June 30, 2026</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(c)(12)**</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21">
              <w:r>
                <w:rPr>
                  <w:rStyle w:val="InternetLink"/>
                </w:rPr>
                <w:t>Joint preliminary discussion materials prepared by Centerview Partners LLC and TD Securities (USA) LLC and provided to the Personalis Board, dated July 2, 2026</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(c)(13)**</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22">
              <w:r>
                <w:rPr>
                  <w:rStyle w:val="InternetLink"/>
                </w:rPr>
                <w:t>Joint preliminary discussion materials prepared by Centerview Partners LLC and TD Securities (USA) LLC and provided to the Personalis Board, dated July 10, 2026</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(c)(14)**</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23">
              <w:r>
                <w:rPr>
                  <w:rStyle w:val="InternetLink"/>
                </w:rPr>
                <w:t>Joint preliminary discussion materials prepared by Centerview Partners LLC and TD Securities (USA) LLC and provided to the Personalis Board, dated July 15, 2026</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(c)(15)**</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24">
              <w:r>
                <w:rPr>
                  <w:rStyle w:val="InternetLink"/>
                </w:rPr>
                <w:t>Joint preliminary discussion materials prepared by Centerview Partners LLC and TD Securities (USA) LLC and provided to the Personalis Board, dated July 18, 2026</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(c)(16)**</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25">
              <w:r>
                <w:rPr>
                  <w:rStyle w:val="InternetLink"/>
                </w:rPr>
                <w:t>Discussion materials prepared by Centerview Partners LLC and provided to the Personalis Board, dated July 19, 2026</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(c)(17)**</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26">
              <w:r>
                <w:rPr>
                  <w:rStyle w:val="InternetLink"/>
                </w:rPr>
                <w:t>Presentation prepared by TD Securities (USA) LLC and provided to the Personalis Board, dated July 19, 2026</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(c)(18)**</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27">
              <w:r>
                <w:rPr>
                  <w:rStyle w:val="InternetLink"/>
                </w:rPr>
                <w:t>Preliminary Discussion materials prepared by Morgan Stanley &amp; Co. LLC, dated July 18, 2026</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(c)(19)**</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28">
              <w:r>
                <w:rPr>
                  <w:rStyle w:val="InternetLink"/>
                </w:rPr>
                <w:t>Discussion materials prepared by Morgan Stanley &amp; Co. LLC, dated July 19, 2026</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(d)(1)**</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29">
              <w:r>
                <w:rPr>
                  <w:rStyle w:val="InternetLink"/>
                </w:rPr>
                <w:t>Agreement and Plan of Merger, dated as of July  20, 2026, by and among Tempus AI, Inc., Personalis, Inc., Aviary Development, Inc., and Toucan Development, LLC (incorporated by reference herein to Exhibit 2.1 to Personalis’ Current Report on Form 8-K filed with the SEC on July 20, 2026)</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(d)(2)**</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30">
              <w:r>
                <w:rPr>
                  <w:rStyle w:val="InternetLink"/>
                </w:rPr>
                <w:t>Voting Agreement, dated as of July 20, 2026, by and between Personalis, Inc. and Merck Sharp  &amp; Dohme LLC (incorporated by reference herein to Exhibit 10.1 to Personalis’ Current Report on Form 8-K filed with the SEC on July 20, 2026)</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(d)(3)**</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31">
              <w:r>
                <w:rPr>
                  <w:rStyle w:val="InternetLink"/>
                </w:rPr>
                <w:t>Commercialization and Reference Laboratory Agreement, dated November  25, 2023, by and between Personalis, Inc. and Tempus AI, Inc. (incorporated by reference herein to Exhibit 10.1 to Personalis’ Current Report on Form 8-K filed with the SEC on November 28, 2023)</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(d)(4)**</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32">
              <w:r>
                <w:rPr>
                  <w:rStyle w:val="InternetLink"/>
                </w:rPr>
                <w:t>Amendment No. 1 to the Commercialization and Reference Laboratory Agreement, dated August  16, 2024, by and between Personalis, Inc. and Tempus AI, Inc. (incorporated by reference herein to Exhibit 10.1 to Personalis’ Current Report on Form 8-K filed with the SEC on August 16, 2024)</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(d)(5)**</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33">
              <w:r>
                <w:rPr>
                  <w:rStyle w:val="InternetLink"/>
                </w:rPr>
                <w:t>Amendment No. 2 to the Commercialization and Reference Laboratory Agreement, dated September  20, 2024, by and between Personalis, Inc. and Tempus AI, Inc. (incorporated by reference herein to Exhibit 10.2 to Personalis’ Quarterly Report on Form 10-Q filed with the SEC on November 6, 2024)</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(d)(6)**</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34">
              <w:r>
                <w:rPr>
                  <w:rStyle w:val="InternetLink"/>
                </w:rPr>
                <w:t>Amendment No.  3 to the Commercialization and Reference Laboratory Agreement, dated December 13, 2024, by and between Personalis, Inc. and Tempus AI, Inc. (incorporated by reference herein to Exhibit 10.19 to Personalis’ Annual Report on Form 10-K filed with the SEC on February 27, 2025)</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05"/>
        <w:gridCol w:w="567"/>
        <w:gridCol w:w="8433"/>
      </w:tblGrid>
      <w:tr>
        <w:trPr/>
        <w:tc>
          <w:tcPr>
            <w:tcW w:w="1205" w:type="dxa"/>
            <w:tcBorders/>
            <w:vAlign w:val="center"/>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8433"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bottom"/>
          </w:tcPr>
          <w:p>
            <w:pPr>
              <w:pStyle w:val="TableContents"/>
              <w:bidi w:val="0"/>
              <w:spacing w:before="0" w:after="283"/>
              <w:jc w:val="center"/>
              <w:rPr>
                <w:b/>
              </w:rPr>
            </w:pPr>
            <w:r>
              <w:rPr>
                <w:b/>
              </w:rPr>
              <w:t>Exhibit No.</w:t>
            </w:r>
          </w:p>
        </w:tc>
        <w:tc>
          <w:tcPr>
            <w:tcW w:w="567" w:type="dxa"/>
            <w:tcBorders/>
            <w:vAlign w:val="bottom"/>
          </w:tcPr>
          <w:p>
            <w:pPr>
              <w:pStyle w:val="TableContents"/>
              <w:bidi w:val="0"/>
              <w:spacing w:before="0" w:after="283"/>
              <w:jc w:val="left"/>
              <w:rPr/>
            </w:pPr>
            <w:r>
              <w:rPr/>
              <w:t> </w:t>
            </w:r>
          </w:p>
        </w:tc>
        <w:tc>
          <w:tcPr>
            <w:tcW w:w="8433" w:type="dxa"/>
            <w:tcBorders/>
            <w:vAlign w:val="bottom"/>
          </w:tcPr>
          <w:p>
            <w:pPr>
              <w:pStyle w:val="TableContents"/>
              <w:bidi w:val="0"/>
              <w:spacing w:before="0" w:after="283"/>
              <w:jc w:val="left"/>
              <w:rPr>
                <w:b/>
              </w:rPr>
            </w:pPr>
            <w:r>
              <w:rPr>
                <w:b/>
              </w:rPr>
              <w:t>Description</w:t>
            </w:r>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(d)(7)**</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35">
              <w:r>
                <w:rPr>
                  <w:rStyle w:val="InternetLink"/>
                </w:rPr>
                <w:t>Amendment No. 4 to the Commercialization and Reference Laboratory Agreement, dated July  8, 2025, by and between Personalis, Inc. and Tempus AI, Inc. (incorporated by reference herein to Exhibit 10.1 to Personalis’ Quarterly Report on Form 10-Q filed with the SEC on November 4, 2025)</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(d)(8)**</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36">
              <w:r>
                <w:rPr>
                  <w:rStyle w:val="InternetLink"/>
                </w:rPr>
                <w:t>Amendment No. 5 to the Commercialization and Reference Laboratory Agreement, dated September  11, 2025, by and between Personalis, Inc. and Tempus AI, Inc. (incorporated by reference herein to Exhibit 10.2 to Personalis’ Quarterly Report on Form 10-Q filed with the SEC on November 4, 2025)</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(d)(9)**</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37">
              <w:r>
                <w:rPr>
                  <w:rStyle w:val="InternetLink"/>
                </w:rPr>
                <w:t>Investment Agreement, dated August  16, 2024, by and between Personalis, Inc. and Tempus AI, Inc. (incorporated by reference herein to Exhibit 4.1 to Personalis’ Current Report on Form 8-K filed with the SEC on August 16, 2024)</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(f)*</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38">
              <w:r>
                <w:rPr>
                  <w:rStyle w:val="InternetLink"/>
                </w:rPr>
                <w:t>Section 262 of the Delaware General Corporation Law (incorporated by reference to Annex E of the Amended Proxy Statement/Prospectus)</w:t>
              </w:r>
            </w:hyperlink>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(g)</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r>
              <w:rPr/>
              <w:t>None.</w:t>
            </w:r>
          </w:p>
        </w:tc>
      </w:tr>
      <w:tr>
        <w:trPr>
          <w:trHeight w:val="120" w:hRule="atLeast"/>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283"/>
              <w:jc w:val="left"/>
              <w:rPr/>
            </w:pPr>
            <w:r>
              <w:rPr/>
              <w:t>107**</w:t>
            </w:r>
          </w:p>
        </w:tc>
        <w:tc>
          <w:tcPr>
            <w:tcW w:w="567" w:type="dxa"/>
            <w:tcBorders/>
            <w:vAlign w:val="bottom"/>
          </w:tcPr>
          <w:p>
            <w:pPr>
              <w:pStyle w:val="TableContents"/>
              <w:bidi w:val="0"/>
              <w:spacing w:before="0" w:after="283"/>
              <w:jc w:val="left"/>
              <w:rPr/>
            </w:pPr>
            <w:r>
              <w:rPr/>
              <w:t> </w:t>
            </w:r>
          </w:p>
        </w:tc>
        <w:tc>
          <w:tcPr>
            <w:tcW w:w="8433" w:type="dxa"/>
            <w:tcBorders/>
          </w:tcPr>
          <w:p>
            <w:pPr>
              <w:pStyle w:val="TableContents"/>
              <w:bidi w:val="0"/>
              <w:spacing w:before="0" w:after="283"/>
              <w:jc w:val="left"/>
              <w:rPr/>
            </w:pPr>
            <w:hyperlink r:id="rId39">
              <w:r>
                <w:rPr>
                  <w:rStyle w:val="InternetLink"/>
                </w:rPr>
                <w:t>Filing Fee Table.</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with the Rule 13e-3 Transaction Statement on Schedule 13E-3 filed with the SEC on August 31,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120" w:after="0"/>
        <w:jc w:val="left"/>
        <w:rPr>
          <w:rFonts w:ascii="Times New Roman" w:hAnsi="Times New Roman"/>
          <w:sz w:val="20"/>
        </w:rPr>
      </w:pPr>
      <w:r>
        <w:rPr>
          <w:rFonts w:ascii="Times New Roman" w:hAnsi="Times New Roman"/>
          <w:sz w:val="20"/>
        </w:rPr>
        <w:t xml:space="preserve">After due inquiry and to the best of each of the undersigned’s knowledge and belief, each of the undersigned certifies that the information set forth in this statement is true, complete and correct. </w:t>
      </w:r>
    </w:p>
    <w:p>
      <w:pPr>
        <w:pStyle w:val="TextBody"/>
        <w:bidi w:val="0"/>
        <w:spacing w:before="360" w:after="0"/>
        <w:jc w:val="left"/>
        <w:rPr>
          <w:rFonts w:ascii="Times New Roman" w:hAnsi="Times New Roman"/>
          <w:sz w:val="20"/>
        </w:rPr>
      </w:pPr>
      <w:r>
        <w:rPr>
          <w:rFonts w:ascii="Times New Roman" w:hAnsi="Times New Roman"/>
          <w:sz w:val="20"/>
        </w:rPr>
        <w:t xml:space="preserve">Dated as of October 2,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PERSONALIS, INC.</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Hall</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Christopher Hall</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TEMPUS AI, INC.</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James Rogers</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AVIARY DEVELOPMENT, INC.</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James Rogers</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TOUCAN DEVELOPMENT, LLC</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K. Polovin</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Andrew K. Polovin</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ERIC LEFKOFSKY</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Eric Lefkofsky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17115/000119312526412289/d864810ds4a.htm" TargetMode="External"/><Relationship Id="rId3" Type="http://schemas.openxmlformats.org/officeDocument/2006/relationships/hyperlink" Target="http://www.sec.gov/Archives/edgar/data/1717115/000119312526412289/d864810ds4a.htm" TargetMode="External"/><Relationship Id="rId4" Type="http://schemas.openxmlformats.org/officeDocument/2006/relationships/hyperlink" Target="http://www.sec.gov/Archives/edgar/data/1717115/000119312526376895/d864810dex991.htm" TargetMode="External"/><Relationship Id="rId5" Type="http://schemas.openxmlformats.org/officeDocument/2006/relationships/hyperlink" Target="http://www.sec.gov/Archives/edgar/data/1717115/000119312526412289/d864810ds4a.htm" TargetMode="External"/><Relationship Id="rId6" Type="http://schemas.openxmlformats.org/officeDocument/2006/relationships/hyperlink" Target="http://www.sec.gov/Archives/edgar/data/1527753/000119312526308488/d68794dex991.htm" TargetMode="External"/><Relationship Id="rId7" Type="http://schemas.openxmlformats.org/officeDocument/2006/relationships/hyperlink" Target="http://www.sec.gov/Archives/edgar/data/1527753/000119312526309090/d81168d425.htm" TargetMode="External"/><Relationship Id="rId8" Type="http://schemas.openxmlformats.org/officeDocument/2006/relationships/hyperlink" Target="http://www.sec.gov/Archives/edgar/data/1527753/000119312526309093/d133546d425.htm" TargetMode="External"/><Relationship Id="rId9" Type="http://schemas.openxmlformats.org/officeDocument/2006/relationships/hyperlink" Target="http://www.sec.gov/Archives/edgar/data/1527753/000119312526309096/d137064d425.htm" TargetMode="External"/><Relationship Id="rId10" Type="http://schemas.openxmlformats.org/officeDocument/2006/relationships/hyperlink" Target="http://www.sec.gov/Archives/edgar/data/1717115/000119312526412289/d864810ds4a.htm" TargetMode="External"/><Relationship Id="rId11" Type="http://schemas.openxmlformats.org/officeDocument/2006/relationships/hyperlink" Target="http://www.sec.gov/Archives/edgar/data/1717115/000119312526412289/d864810ds4a.htm" TargetMode="External"/><Relationship Id="rId12" Type="http://schemas.openxmlformats.org/officeDocument/2006/relationships/hyperlink" Target="http://www.sec.gov/Archives/edgar/data/1717115/000119312526412289/d864810ds4a.htm" TargetMode="External"/><Relationship Id="rId13" Type="http://schemas.openxmlformats.org/officeDocument/2006/relationships/hyperlink" Target="http://www.sec.gov/Archives/edgar/data/1527753/000119312526377066/d81410dex99c4.htm" TargetMode="External"/><Relationship Id="rId14" Type="http://schemas.openxmlformats.org/officeDocument/2006/relationships/hyperlink" Target="http://www.sec.gov/Archives/edgar/data/1527753/000119312526377066/d81410dex99c5.htm" TargetMode="External"/><Relationship Id="rId15" Type="http://schemas.openxmlformats.org/officeDocument/2006/relationships/hyperlink" Target="http://www.sec.gov/Archives/edgar/data/1527753/000119312526377066/d81410dex99c6.htm" TargetMode="External"/><Relationship Id="rId16" Type="http://schemas.openxmlformats.org/officeDocument/2006/relationships/hyperlink" Target="http://www.sec.gov/Archives/edgar/data/1527753/000119312526377066/d81410dex99c7.htm" TargetMode="External"/><Relationship Id="rId17" Type="http://schemas.openxmlformats.org/officeDocument/2006/relationships/hyperlink" Target="http://www.sec.gov/Archives/edgar/data/1527753/000119312526377066/d81410dex99c8.htm" TargetMode="External"/><Relationship Id="rId18" Type="http://schemas.openxmlformats.org/officeDocument/2006/relationships/hyperlink" Target="http://www.sec.gov/Archives/edgar/data/1527753/000119312526377066/d81410dex99c9.htm" TargetMode="External"/><Relationship Id="rId19" Type="http://schemas.openxmlformats.org/officeDocument/2006/relationships/hyperlink" Target="http://www.sec.gov/Archives/edgar/data/1527753/000119312526377066/d81410dex99c10.htm" TargetMode="External"/><Relationship Id="rId20" Type="http://schemas.openxmlformats.org/officeDocument/2006/relationships/hyperlink" Target="http://www.sec.gov/Archives/edgar/data/1527753/000119312526377066/d81410dex99c11.htm" TargetMode="External"/><Relationship Id="rId21" Type="http://schemas.openxmlformats.org/officeDocument/2006/relationships/hyperlink" Target="http://www.sec.gov/Archives/edgar/data/1527753/000119312526377066/d81410dex99c12.htm" TargetMode="External"/><Relationship Id="rId22" Type="http://schemas.openxmlformats.org/officeDocument/2006/relationships/hyperlink" Target="http://www.sec.gov/Archives/edgar/data/1527753/000119312526377066/d81410dex99c13.htm" TargetMode="External"/><Relationship Id="rId23" Type="http://schemas.openxmlformats.org/officeDocument/2006/relationships/hyperlink" Target="http://www.sec.gov/Archives/edgar/data/1527753/000119312526377066/d81410dex99c14.htm" TargetMode="External"/><Relationship Id="rId24" Type="http://schemas.openxmlformats.org/officeDocument/2006/relationships/hyperlink" Target="http://www.sec.gov/Archives/edgar/data/1527753/000119312526377066/d81410dex99c15.htm" TargetMode="External"/><Relationship Id="rId25" Type="http://schemas.openxmlformats.org/officeDocument/2006/relationships/hyperlink" Target="http://www.sec.gov/Archives/edgar/data/1527753/000119312526377066/d81410dex99c16.htm" TargetMode="External"/><Relationship Id="rId26" Type="http://schemas.openxmlformats.org/officeDocument/2006/relationships/hyperlink" Target="http://www.sec.gov/Archives/edgar/data/1527753/000119312526377066/d81410dex99c17.htm" TargetMode="External"/><Relationship Id="rId27" Type="http://schemas.openxmlformats.org/officeDocument/2006/relationships/hyperlink" Target="http://www.sec.gov/Archives/edgar/data/1527753/000119312526377066/d81410dex99c18.htm" TargetMode="External"/><Relationship Id="rId28" Type="http://schemas.openxmlformats.org/officeDocument/2006/relationships/hyperlink" Target="http://www.sec.gov/Archives/edgar/data/1527753/000119312526377066/d81410dex99c19.htm" TargetMode="External"/><Relationship Id="rId29" Type="http://schemas.openxmlformats.org/officeDocument/2006/relationships/hyperlink" Target="http://www.sec.gov/Archives/edgar/data/1527753/000119312526309101/d64399dex21.htm" TargetMode="External"/><Relationship Id="rId30" Type="http://schemas.openxmlformats.org/officeDocument/2006/relationships/hyperlink" Target="http://www.sec.gov/Archives/edgar/data/1527753/000119312526309101/d64399dex101.htm" TargetMode="External"/><Relationship Id="rId31" Type="http://schemas.openxmlformats.org/officeDocument/2006/relationships/hyperlink" Target="http://www.sec.gov/Archives/edgar/data/1527753/000095017023066458/psnl-ex10_1.htm" TargetMode="External"/><Relationship Id="rId32" Type="http://schemas.openxmlformats.org/officeDocument/2006/relationships/hyperlink" Target="http://www.sec.gov/Archives/edgar/data/1527753/000119312524201697/d836724dex101.htm" TargetMode="External"/><Relationship Id="rId33" Type="http://schemas.openxmlformats.org/officeDocument/2006/relationships/hyperlink" Target="http://www.sec.gov/Archives/edgar/data/1527753/000095017024122290/psnl-ex10_2.htm" TargetMode="External"/><Relationship Id="rId34" Type="http://schemas.openxmlformats.org/officeDocument/2006/relationships/hyperlink" Target="http://www.sec.gov/Archives/edgar/data/1527753/000095017025029221/psnl-ex10_19.htm" TargetMode="External"/><Relationship Id="rId35" Type="http://schemas.openxmlformats.org/officeDocument/2006/relationships/hyperlink" Target="http://www.sec.gov/Archives/edgar/data/1527753/000119312525264708/psnl-ex10_1.htm" TargetMode="External"/><Relationship Id="rId36" Type="http://schemas.openxmlformats.org/officeDocument/2006/relationships/hyperlink" Target="http://www.sec.gov/Archives/edgar/data/1527753/000119312525264708/psnl-ex10_2.htm" TargetMode="External"/><Relationship Id="rId37" Type="http://schemas.openxmlformats.org/officeDocument/2006/relationships/hyperlink" Target="http://www.sec.gov/Archives/edgar/data/1527753/000119312524201697/d836724dex41.htm" TargetMode="External"/><Relationship Id="rId38" Type="http://schemas.openxmlformats.org/officeDocument/2006/relationships/hyperlink" Target="http://www.sec.gov/Archives/edgar/data/1717115/000119312526412289/d864810ds4a.htm" TargetMode="External"/><Relationship Id="rId39" Type="http://schemas.openxmlformats.org/officeDocument/2006/relationships/hyperlink" Target="http://www.sec.gov/Archives/edgar/data/1527753/000119312526377066/d81410dexfilingfees.htm" TargetMode="Externa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5861</Words>
  <Characters>35706</Characters>
  <CharactersWithSpaces>41393</CharactersWithSpaces>
  <Paragraphs>736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13E3/A</dc:title>
</cp:coreProperties>
</file>