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Personalis,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4,000,000.00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3.82 %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Personalis,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6600 Dumbarton Circle, Fremont, CA 94555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4,000,000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3.82%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June 30, 2026, is incorporated by reference to items (5) - (9) and (11) of the cover page of the respective Reporting Person. The amount beneficially owned by each Reporting Person is determined using 104,721,098 shares outstanding as of April 29, 2026, as reported by the issuer on its 10-Q filed with the SEC on May 7,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1359</Words>
  <Characters>7018</Characters>
  <CharactersWithSpaces>8330</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