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8"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130810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3"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162560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7"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CURRENT REPORT</w:t>
      </w:r>
    </w:p>
    <w:p>
      <w:pPr>
        <w:spacing w:after="0" w:line="167"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67"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Date of Report (Date of earliest event reported): May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149225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7" w:lineRule="exact"/>
        <w:rPr>
          <w:sz w:val="24"/>
          <w:szCs w:val="24"/>
          <w:color w:val="auto"/>
        </w:rPr>
      </w:pPr>
    </w:p>
    <w:p>
      <w:pPr>
        <w:jc w:val="center"/>
        <w:ind w:right="120"/>
        <w:spacing w:after="0"/>
        <w:rPr>
          <w:sz w:val="20"/>
          <w:szCs w:val="20"/>
          <w:color w:val="auto"/>
        </w:rPr>
      </w:pPr>
      <w:r>
        <w:rPr>
          <w:rFonts w:ascii="Arial" w:cs="Arial" w:eastAsia="Arial" w:hAnsi="Arial"/>
          <w:sz w:val="43"/>
          <w:szCs w:val="43"/>
          <w:b w:val="1"/>
          <w:bCs w:val="1"/>
          <w:color w:val="auto"/>
        </w:rPr>
        <w:t>Personalis, Inc.</w:t>
      </w:r>
    </w:p>
    <w:p>
      <w:pPr>
        <w:sectPr>
          <w:pgSz w:w="11900" w:h="16838" w:orient="portrait"/>
          <w:cols w:equalWidth="0" w:num="1">
            <w:col w:w="11240"/>
          </w:cols>
          <w:pgMar w:left="320" w:top="1324" w:right="339" w:bottom="1440" w:gutter="0" w:footer="0" w:header="0"/>
        </w:sectPr>
      </w:pPr>
    </w:p>
    <w:p>
      <w:pPr>
        <w:spacing w:after="0" w:line="50" w:lineRule="exact"/>
        <w:rPr>
          <w:sz w:val="24"/>
          <w:szCs w:val="24"/>
          <w:color w:val="auto"/>
        </w:rPr>
      </w:pPr>
    </w:p>
    <w:tbl>
      <w:tblPr>
        <w:tblLayout w:type="fixed"/>
        <w:tblInd w:w="460" w:type="dxa"/>
        <w:tblCellMar>
          <w:top w:w="0" w:type="dxa"/>
          <w:left w:w="0" w:type="dxa"/>
          <w:bottom w:w="0" w:type="dxa"/>
          <w:right w:w="0" w:type="dxa"/>
        </w:tblCellMar>
      </w:tblPr>
      <w:tr>
        <w:trPr>
          <w:trHeight w:val="215"/>
        </w:trPr>
        <w:tc>
          <w:tcPr>
            <w:tcW w:w="3020" w:type="dxa"/>
            <w:vAlign w:val="bottom"/>
          </w:tcPr>
          <w:p>
            <w:pPr>
              <w:spacing w:after="0"/>
              <w:rPr>
                <w:sz w:val="18"/>
                <w:szCs w:val="18"/>
                <w:color w:val="auto"/>
              </w:rPr>
            </w:pPr>
          </w:p>
        </w:tc>
        <w:tc>
          <w:tcPr>
            <w:tcW w:w="4040" w:type="dxa"/>
            <w:vAlign w:val="bottom"/>
            <w:gridSpan w:val="3"/>
          </w:tcPr>
          <w:p>
            <w:pPr>
              <w:jc w:val="center"/>
              <w:ind w:left="119"/>
              <w:spacing w:after="0"/>
              <w:rPr>
                <w:sz w:val="20"/>
                <w:szCs w:val="20"/>
                <w:color w:val="auto"/>
              </w:rPr>
            </w:pPr>
            <w:r>
              <w:rPr>
                <w:rFonts w:ascii="Arial" w:cs="Arial" w:eastAsia="Arial" w:hAnsi="Arial"/>
                <w:sz w:val="16"/>
                <w:szCs w:val="16"/>
                <w:color w:val="auto"/>
              </w:rPr>
              <w:t>(Exact name of Registrant as Specified in Its Charter)</w:t>
            </w:r>
          </w:p>
        </w:tc>
      </w:tr>
      <w:tr>
        <w:trPr>
          <w:trHeight w:val="189"/>
        </w:trPr>
        <w:tc>
          <w:tcPr>
            <w:tcW w:w="30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780" w:type="dxa"/>
            <w:vAlign w:val="bottom"/>
          </w:tcPr>
          <w:p>
            <w:pPr>
              <w:spacing w:after="0"/>
              <w:rPr>
                <w:sz w:val="16"/>
                <w:szCs w:val="16"/>
                <w:color w:val="auto"/>
              </w:rPr>
            </w:pPr>
          </w:p>
        </w:tc>
      </w:tr>
      <w:tr>
        <w:trPr>
          <w:trHeight w:val="357"/>
        </w:trPr>
        <w:tc>
          <w:tcPr>
            <w:tcW w:w="3020" w:type="dxa"/>
            <w:vAlign w:val="bottom"/>
          </w:tcPr>
          <w:p>
            <w:pPr>
              <w:jc w:val="center"/>
              <w:ind w:right="99"/>
              <w:spacing w:after="0"/>
              <w:rPr>
                <w:sz w:val="20"/>
                <w:szCs w:val="20"/>
                <w:color w:val="auto"/>
              </w:rPr>
            </w:pPr>
            <w:r>
              <w:rPr>
                <w:rFonts w:ascii="Arial" w:cs="Arial" w:eastAsia="Arial" w:hAnsi="Arial"/>
                <w:sz w:val="16"/>
                <w:szCs w:val="16"/>
                <w:b w:val="1"/>
                <w:bCs w:val="1"/>
                <w:color w:val="auto"/>
              </w:rPr>
              <w:t>Delaware</w:t>
            </w:r>
          </w:p>
        </w:tc>
        <w:tc>
          <w:tcPr>
            <w:tcW w:w="3260" w:type="dxa"/>
            <w:vAlign w:val="bottom"/>
            <w:gridSpan w:val="2"/>
          </w:tcPr>
          <w:p>
            <w:pPr>
              <w:jc w:val="center"/>
              <w:ind w:left="959"/>
              <w:spacing w:after="0"/>
              <w:rPr>
                <w:sz w:val="20"/>
                <w:szCs w:val="20"/>
                <w:color w:val="auto"/>
              </w:rPr>
            </w:pPr>
            <w:r>
              <w:rPr>
                <w:rFonts w:ascii="Arial" w:cs="Arial" w:eastAsia="Arial" w:hAnsi="Arial"/>
                <w:sz w:val="16"/>
                <w:szCs w:val="16"/>
                <w:b w:val="1"/>
                <w:bCs w:val="1"/>
                <w:color w:val="auto"/>
              </w:rPr>
              <w:t>001-38943</w:t>
            </w:r>
          </w:p>
        </w:tc>
        <w:tc>
          <w:tcPr>
            <w:tcW w:w="780" w:type="dxa"/>
            <w:vAlign w:val="bottom"/>
          </w:tcPr>
          <w:p>
            <w:pPr>
              <w:spacing w:after="0"/>
              <w:rPr>
                <w:sz w:val="24"/>
                <w:szCs w:val="24"/>
                <w:color w:val="auto"/>
              </w:rPr>
            </w:pPr>
          </w:p>
        </w:tc>
      </w:tr>
      <w:tr>
        <w:trPr>
          <w:trHeight w:val="189"/>
        </w:trPr>
        <w:tc>
          <w:tcPr>
            <w:tcW w:w="3020" w:type="dxa"/>
            <w:vAlign w:val="bottom"/>
          </w:tcPr>
          <w:p>
            <w:pPr>
              <w:jc w:val="center"/>
              <w:ind w:right="99"/>
              <w:spacing w:after="0"/>
              <w:rPr>
                <w:sz w:val="20"/>
                <w:szCs w:val="20"/>
                <w:color w:val="auto"/>
              </w:rPr>
            </w:pPr>
            <w:r>
              <w:rPr>
                <w:rFonts w:ascii="Arial" w:cs="Arial" w:eastAsia="Arial" w:hAnsi="Arial"/>
                <w:sz w:val="16"/>
                <w:szCs w:val="16"/>
                <w:color w:val="auto"/>
              </w:rPr>
              <w:t>(State or Other Jurisdiction</w:t>
            </w:r>
          </w:p>
        </w:tc>
        <w:tc>
          <w:tcPr>
            <w:tcW w:w="1020" w:type="dxa"/>
            <w:vAlign w:val="bottom"/>
          </w:tcPr>
          <w:p>
            <w:pPr>
              <w:spacing w:after="0"/>
              <w:rPr>
                <w:sz w:val="16"/>
                <w:szCs w:val="16"/>
                <w:color w:val="auto"/>
              </w:rPr>
            </w:pPr>
          </w:p>
        </w:tc>
        <w:tc>
          <w:tcPr>
            <w:tcW w:w="3020" w:type="dxa"/>
            <w:vAlign w:val="bottom"/>
            <w:gridSpan w:val="2"/>
          </w:tcPr>
          <w:p>
            <w:pPr>
              <w:jc w:val="center"/>
              <w:ind w:right="760"/>
              <w:spacing w:after="0"/>
              <w:rPr>
                <w:sz w:val="20"/>
                <w:szCs w:val="20"/>
                <w:color w:val="auto"/>
              </w:rPr>
            </w:pPr>
            <w:r>
              <w:rPr>
                <w:rFonts w:ascii="Arial" w:cs="Arial" w:eastAsia="Arial" w:hAnsi="Arial"/>
                <w:sz w:val="16"/>
                <w:szCs w:val="16"/>
                <w:color w:val="auto"/>
              </w:rPr>
              <w:t>(Commission</w:t>
            </w:r>
          </w:p>
        </w:tc>
      </w:tr>
      <w:tr>
        <w:trPr>
          <w:trHeight w:val="228"/>
        </w:trPr>
        <w:tc>
          <w:tcPr>
            <w:tcW w:w="3020" w:type="dxa"/>
            <w:vAlign w:val="bottom"/>
          </w:tcPr>
          <w:p>
            <w:pPr>
              <w:jc w:val="center"/>
              <w:ind w:right="119"/>
              <w:spacing w:after="0"/>
              <w:rPr>
                <w:sz w:val="20"/>
                <w:szCs w:val="20"/>
                <w:color w:val="auto"/>
              </w:rPr>
            </w:pPr>
            <w:r>
              <w:rPr>
                <w:rFonts w:ascii="Arial" w:cs="Arial" w:eastAsia="Arial" w:hAnsi="Arial"/>
                <w:sz w:val="16"/>
                <w:szCs w:val="16"/>
                <w:color w:val="auto"/>
              </w:rPr>
              <w:t>of Incorporation)</w:t>
            </w:r>
          </w:p>
        </w:tc>
        <w:tc>
          <w:tcPr>
            <w:tcW w:w="1020" w:type="dxa"/>
            <w:vAlign w:val="bottom"/>
          </w:tcPr>
          <w:p>
            <w:pPr>
              <w:spacing w:after="0"/>
              <w:rPr>
                <w:sz w:val="19"/>
                <w:szCs w:val="19"/>
                <w:color w:val="auto"/>
              </w:rPr>
            </w:pPr>
          </w:p>
        </w:tc>
        <w:tc>
          <w:tcPr>
            <w:tcW w:w="3020" w:type="dxa"/>
            <w:vAlign w:val="bottom"/>
            <w:gridSpan w:val="2"/>
          </w:tcPr>
          <w:p>
            <w:pPr>
              <w:jc w:val="center"/>
              <w:ind w:right="760"/>
              <w:spacing w:after="0"/>
              <w:rPr>
                <w:sz w:val="20"/>
                <w:szCs w:val="20"/>
                <w:color w:val="auto"/>
              </w:rPr>
            </w:pPr>
            <w:r>
              <w:rPr>
                <w:rFonts w:ascii="Arial" w:cs="Arial" w:eastAsia="Arial" w:hAnsi="Arial"/>
                <w:sz w:val="16"/>
                <w:szCs w:val="16"/>
                <w:color w:val="auto"/>
              </w:rPr>
              <w:t>File Number)</w:t>
            </w:r>
          </w:p>
        </w:tc>
      </w:tr>
      <w:tr>
        <w:trPr>
          <w:trHeight w:val="352"/>
        </w:trPr>
        <w:tc>
          <w:tcPr>
            <w:tcW w:w="3020" w:type="dxa"/>
            <w:vAlign w:val="bottom"/>
          </w:tcPr>
          <w:p>
            <w:pPr>
              <w:jc w:val="center"/>
              <w:ind w:right="99"/>
              <w:spacing w:after="0"/>
              <w:rPr>
                <w:sz w:val="20"/>
                <w:szCs w:val="20"/>
                <w:color w:val="auto"/>
              </w:rPr>
            </w:pPr>
            <w:r>
              <w:rPr>
                <w:rFonts w:ascii="Arial" w:cs="Arial" w:eastAsia="Arial" w:hAnsi="Arial"/>
                <w:sz w:val="16"/>
                <w:szCs w:val="16"/>
                <w:b w:val="1"/>
                <w:bCs w:val="1"/>
                <w:color w:val="auto"/>
              </w:rPr>
              <w:t>6600 Dumbarton Circle</w:t>
            </w:r>
          </w:p>
        </w:tc>
        <w:tc>
          <w:tcPr>
            <w:tcW w:w="1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3020" w:type="dxa"/>
            <w:vAlign w:val="bottom"/>
          </w:tcPr>
          <w:p>
            <w:pPr>
              <w:jc w:val="center"/>
              <w:ind w:right="99"/>
              <w:spacing w:after="0"/>
              <w:rPr>
                <w:sz w:val="20"/>
                <w:szCs w:val="20"/>
                <w:color w:val="auto"/>
              </w:rPr>
            </w:pPr>
            <w:r>
              <w:rPr>
                <w:rFonts w:ascii="Arial" w:cs="Arial" w:eastAsia="Arial" w:hAnsi="Arial"/>
                <w:sz w:val="16"/>
                <w:szCs w:val="16"/>
                <w:b w:val="1"/>
                <w:bCs w:val="1"/>
                <w:color w:val="auto"/>
              </w:rPr>
              <w:t>Fremont, California</w:t>
            </w:r>
          </w:p>
        </w:tc>
        <w:tc>
          <w:tcPr>
            <w:tcW w:w="10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5"/>
        </w:trPr>
        <w:tc>
          <w:tcPr>
            <w:tcW w:w="3020" w:type="dxa"/>
            <w:vAlign w:val="bottom"/>
          </w:tcPr>
          <w:p>
            <w:pPr>
              <w:jc w:val="center"/>
              <w:ind w:right="99"/>
              <w:spacing w:after="0"/>
              <w:rPr>
                <w:sz w:val="20"/>
                <w:szCs w:val="20"/>
                <w:color w:val="auto"/>
              </w:rPr>
            </w:pPr>
            <w:r>
              <w:rPr>
                <w:rFonts w:ascii="Arial" w:cs="Arial" w:eastAsia="Arial" w:hAnsi="Arial"/>
                <w:sz w:val="16"/>
                <w:szCs w:val="16"/>
                <w:color w:val="auto"/>
              </w:rPr>
              <w:t>(Address of Principal Executive Offices)</w:t>
            </w:r>
          </w:p>
        </w:tc>
        <w:tc>
          <w:tcPr>
            <w:tcW w:w="10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25"/>
        </w:trPr>
        <w:tc>
          <w:tcPr>
            <w:tcW w:w="3020" w:type="dxa"/>
            <w:vAlign w:val="bottom"/>
          </w:tcPr>
          <w:p>
            <w:pPr>
              <w:spacing w:after="0"/>
              <w:rPr>
                <w:sz w:val="24"/>
                <w:szCs w:val="24"/>
                <w:color w:val="auto"/>
              </w:rPr>
            </w:pPr>
          </w:p>
        </w:tc>
        <w:tc>
          <w:tcPr>
            <w:tcW w:w="3260" w:type="dxa"/>
            <w:vAlign w:val="bottom"/>
            <w:gridSpan w:val="2"/>
          </w:tcPr>
          <w:p>
            <w:pPr>
              <w:jc w:val="center"/>
              <w:ind w:left="899"/>
              <w:spacing w:after="0"/>
              <w:rPr>
                <w:sz w:val="20"/>
                <w:szCs w:val="20"/>
                <w:color w:val="auto"/>
              </w:rPr>
            </w:pPr>
            <w:r>
              <w:rPr>
                <w:rFonts w:ascii="Arial" w:cs="Arial" w:eastAsia="Arial" w:hAnsi="Arial"/>
                <w:sz w:val="16"/>
                <w:szCs w:val="16"/>
                <w:b w:val="1"/>
                <w:bCs w:val="1"/>
                <w:color w:val="auto"/>
              </w:rPr>
              <w:t>(650) 752-1300</w:t>
            </w:r>
          </w:p>
        </w:tc>
        <w:tc>
          <w:tcPr>
            <w:tcW w:w="780" w:type="dxa"/>
            <w:vAlign w:val="bottom"/>
          </w:tcPr>
          <w:p>
            <w:pPr>
              <w:spacing w:after="0"/>
              <w:rPr>
                <w:sz w:val="24"/>
                <w:szCs w:val="24"/>
                <w:color w:val="auto"/>
              </w:rPr>
            </w:pPr>
          </w:p>
        </w:tc>
      </w:tr>
      <w:tr>
        <w:trPr>
          <w:trHeight w:val="215"/>
        </w:trPr>
        <w:tc>
          <w:tcPr>
            <w:tcW w:w="3020" w:type="dxa"/>
            <w:vAlign w:val="bottom"/>
          </w:tcPr>
          <w:p>
            <w:pPr>
              <w:spacing w:after="0"/>
              <w:rPr>
                <w:sz w:val="18"/>
                <w:szCs w:val="18"/>
                <w:color w:val="auto"/>
              </w:rPr>
            </w:pPr>
          </w:p>
        </w:tc>
        <w:tc>
          <w:tcPr>
            <w:tcW w:w="4040" w:type="dxa"/>
            <w:vAlign w:val="bottom"/>
            <w:gridSpan w:val="3"/>
          </w:tcPr>
          <w:p>
            <w:pPr>
              <w:jc w:val="center"/>
              <w:ind w:left="119"/>
              <w:spacing w:after="0"/>
              <w:rPr>
                <w:sz w:val="20"/>
                <w:szCs w:val="20"/>
                <w:color w:val="auto"/>
              </w:rPr>
            </w:pPr>
            <w:r>
              <w:rPr>
                <w:rFonts w:ascii="Arial" w:cs="Arial" w:eastAsia="Arial" w:hAnsi="Arial"/>
                <w:sz w:val="16"/>
                <w:szCs w:val="16"/>
                <w:color w:val="auto"/>
              </w:rPr>
              <w:t>Registrant’s Telephone Number, Including Area Code</w:t>
            </w:r>
          </w:p>
        </w:tc>
      </w:tr>
    </w:tbl>
    <w:p>
      <w:pPr>
        <w:spacing w:after="0" w:line="136" w:lineRule="exact"/>
        <w:rPr>
          <w:sz w:val="24"/>
          <w:szCs w:val="24"/>
          <w:color w:val="auto"/>
        </w:rPr>
      </w:pPr>
    </w:p>
    <w:p>
      <w:pPr>
        <w:jc w:val="center"/>
        <w:ind w:left="3180"/>
        <w:spacing w:after="0"/>
        <w:rPr>
          <w:sz w:val="20"/>
          <w:szCs w:val="20"/>
          <w:color w:val="auto"/>
        </w:rPr>
      </w:pPr>
      <w:r>
        <w:rPr>
          <w:rFonts w:ascii="Arial" w:cs="Arial" w:eastAsia="Arial" w:hAnsi="Arial"/>
          <w:sz w:val="16"/>
          <w:szCs w:val="16"/>
          <w:b w:val="1"/>
          <w:bCs w:val="1"/>
          <w:color w:val="auto"/>
        </w:rPr>
        <w:t>Not Applicable</w:t>
      </w:r>
    </w:p>
    <w:p>
      <w:pPr>
        <w:spacing w:after="0" w:line="21" w:lineRule="exact"/>
        <w:rPr>
          <w:sz w:val="24"/>
          <w:szCs w:val="24"/>
          <w:color w:val="auto"/>
        </w:rPr>
      </w:pPr>
    </w:p>
    <w:p>
      <w:pPr>
        <w:jc w:val="center"/>
        <w:ind w:left="318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130810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1240"/>
        <w:spacing w:after="0"/>
        <w:rPr>
          <w:sz w:val="20"/>
          <w:szCs w:val="20"/>
          <w:color w:val="auto"/>
        </w:rPr>
      </w:pPr>
      <w:r>
        <w:rPr>
          <w:rFonts w:ascii="Arial" w:cs="Arial" w:eastAsia="Arial" w:hAnsi="Arial"/>
          <w:sz w:val="16"/>
          <w:szCs w:val="16"/>
          <w:b w:val="1"/>
          <w:bCs w:val="1"/>
          <w:color w:val="auto"/>
        </w:rPr>
        <w:t>27-5411038</w:t>
      </w:r>
    </w:p>
    <w:p>
      <w:pPr>
        <w:spacing w:after="0" w:line="21"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(IRS Employer</w:t>
      </w:r>
    </w:p>
    <w:p>
      <w:pPr>
        <w:spacing w:after="0" w:line="5"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Identification No.)</w:t>
      </w:r>
    </w:p>
    <w:p>
      <w:pPr>
        <w:spacing w:after="0" w:line="394" w:lineRule="exact"/>
        <w:rPr>
          <w:sz w:val="24"/>
          <w:szCs w:val="24"/>
          <w:color w:val="auto"/>
        </w:rPr>
      </w:pPr>
    </w:p>
    <w:p>
      <w:pPr>
        <w:jc w:val="center"/>
        <w:ind w:right="1240"/>
        <w:spacing w:after="0"/>
        <w:rPr>
          <w:sz w:val="20"/>
          <w:szCs w:val="20"/>
          <w:color w:val="auto"/>
        </w:rPr>
      </w:pPr>
      <w:r>
        <w:rPr>
          <w:rFonts w:ascii="Arial" w:cs="Arial" w:eastAsia="Arial" w:hAnsi="Arial"/>
          <w:sz w:val="16"/>
          <w:szCs w:val="16"/>
          <w:b w:val="1"/>
          <w:bCs w:val="1"/>
          <w:color w:val="auto"/>
        </w:rPr>
        <w:t>94555</w:t>
      </w:r>
    </w:p>
    <w:p>
      <w:pPr>
        <w:spacing w:after="0" w:line="21"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(Zip Code)</w:t>
      </w:r>
    </w:p>
    <w:p>
      <w:pPr>
        <w:spacing w:after="0" w:line="1280" w:lineRule="exact"/>
        <w:rPr>
          <w:sz w:val="24"/>
          <w:szCs w:val="24"/>
          <w:color w:val="auto"/>
        </w:rPr>
      </w:pPr>
    </w:p>
    <w:p>
      <w:pPr>
        <w:sectPr>
          <w:pgSz w:w="11900" w:h="16838" w:orient="portrait"/>
          <w:cols w:equalWidth="0" w:num="2">
            <w:col w:w="8020" w:space="720"/>
            <w:col w:w="2500"/>
          </w:cols>
          <w:pgMar w:left="320" w:top="1324" w:right="339" w:bottom="1440" w:gutter="0" w:footer="0" w:header="0"/>
          <w:type w:val="continuous"/>
        </w:sectPr>
      </w:pPr>
    </w:p>
    <w:p>
      <w:pPr>
        <w:spacing w:after="0" w:line="167" w:lineRule="exact"/>
        <w:rPr>
          <w:sz w:val="24"/>
          <w:szCs w:val="24"/>
          <w:color w:val="auto"/>
        </w:rPr>
      </w:pPr>
    </w:p>
    <w:p>
      <w:pPr>
        <w:ind w:right="30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Instructions A.2. below):</w:t>
      </w:r>
    </w:p>
    <w:p>
      <w:pPr>
        <w:spacing w:after="0" w:line="48" w:lineRule="exact"/>
        <w:rPr>
          <w:sz w:val="24"/>
          <w:szCs w:val="24"/>
          <w:color w:val="auto"/>
        </w:rPr>
      </w:pPr>
    </w:p>
    <w:p>
      <w:pPr>
        <w:ind w:left="880" w:hanging="363"/>
        <w:spacing w:after="0"/>
        <w:tabs>
          <w:tab w:leader="none" w:pos="8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13" w:lineRule="exact"/>
        <w:rPr>
          <w:rFonts w:ascii="MS PGothic" w:cs="MS PGothic" w:eastAsia="MS PGothic" w:hAnsi="MS PGothic"/>
          <w:sz w:val="16"/>
          <w:szCs w:val="16"/>
          <w:color w:val="auto"/>
        </w:rPr>
      </w:pPr>
    </w:p>
    <w:p>
      <w:pPr>
        <w:ind w:left="880" w:hanging="363"/>
        <w:spacing w:after="0"/>
        <w:tabs>
          <w:tab w:leader="none" w:pos="8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13" w:lineRule="exact"/>
        <w:rPr>
          <w:rFonts w:ascii="MS PGothic" w:cs="MS PGothic" w:eastAsia="MS PGothic" w:hAnsi="MS PGothic"/>
          <w:sz w:val="16"/>
          <w:szCs w:val="16"/>
          <w:color w:val="auto"/>
        </w:rPr>
      </w:pPr>
    </w:p>
    <w:p>
      <w:pPr>
        <w:ind w:left="880" w:hanging="363"/>
        <w:spacing w:after="0"/>
        <w:tabs>
          <w:tab w:leader="none" w:pos="8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13" w:lineRule="exact"/>
        <w:rPr>
          <w:rFonts w:ascii="MS PGothic" w:cs="MS PGothic" w:eastAsia="MS PGothic" w:hAnsi="MS PGothic"/>
          <w:sz w:val="16"/>
          <w:szCs w:val="16"/>
          <w:color w:val="auto"/>
        </w:rPr>
      </w:pPr>
    </w:p>
    <w:p>
      <w:pPr>
        <w:ind w:left="880" w:hanging="363"/>
        <w:spacing w:after="0"/>
        <w:tabs>
          <w:tab w:leader="none" w:pos="8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50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325"/>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rPr>
              <w:t>Trading</w:t>
            </w:r>
          </w:p>
        </w:tc>
        <w:tc>
          <w:tcPr>
            <w:tcW w:w="12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03"/>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20" w:type="dxa"/>
            <w:vAlign w:val="bottom"/>
          </w:tcPr>
          <w:p>
            <w:pPr>
              <w:spacing w:after="0"/>
              <w:rPr>
                <w:sz w:val="17"/>
                <w:szCs w:val="17"/>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Symbol(s)</w:t>
            </w:r>
          </w:p>
        </w:tc>
        <w:tc>
          <w:tcPr>
            <w:tcW w:w="120" w:type="dxa"/>
            <w:vAlign w:val="bottom"/>
          </w:tcPr>
          <w:p>
            <w:pPr>
              <w:spacing w:after="0"/>
              <w:rPr>
                <w:sz w:val="17"/>
                <w:szCs w:val="17"/>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8"/>
        </w:trPr>
        <w:tc>
          <w:tcPr>
            <w:tcW w:w="4500" w:type="dxa"/>
            <w:vAlign w:val="bottom"/>
          </w:tcPr>
          <w:p>
            <w:pPr>
              <w:jc w:val="center"/>
              <w:spacing w:after="0"/>
              <w:rPr>
                <w:sz w:val="20"/>
                <w:szCs w:val="20"/>
                <w:color w:val="auto"/>
              </w:rPr>
            </w:pPr>
            <w:r>
              <w:rPr>
                <w:rFonts w:ascii="Arial" w:cs="Arial" w:eastAsia="Arial" w:hAnsi="Arial"/>
                <w:sz w:val="16"/>
                <w:szCs w:val="16"/>
                <w:color w:val="auto"/>
              </w:rPr>
              <w:t>Common Stock, $0.0001 par value per share</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rPr>
              <w:t>PSNL</w:t>
            </w:r>
          </w:p>
        </w:tc>
        <w:tc>
          <w:tcPr>
            <w:tcW w:w="1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bl>
    <w:p>
      <w:pPr>
        <w:spacing w:after="0" w:line="122" w:lineRule="exact"/>
        <w:rPr>
          <w:sz w:val="24"/>
          <w:szCs w:val="24"/>
          <w:color w:val="auto"/>
        </w:rPr>
      </w:pPr>
    </w:p>
    <w:p>
      <w:pPr>
        <w:ind w:right="600"/>
        <w:spacing w:after="0" w:line="2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6" w:lineRule="exact"/>
        <w:rPr>
          <w:sz w:val="24"/>
          <w:szCs w:val="24"/>
          <w:color w:val="auto"/>
        </w:rPr>
      </w:pPr>
    </w:p>
    <w:p>
      <w:pPr>
        <w:ind w:left="5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3" w:lineRule="exact"/>
        <w:rPr>
          <w:sz w:val="24"/>
          <w:szCs w:val="24"/>
          <w:color w:val="auto"/>
        </w:rPr>
      </w:pPr>
    </w:p>
    <w:p>
      <w:pPr>
        <w:ind w:right="12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789305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5.07 Submission of Matters to a Vote of Security Holders.</w:t>
      </w:r>
    </w:p>
    <w:p>
      <w:pPr>
        <w:spacing w:after="0" w:line="221" w:lineRule="exact"/>
        <w:rPr>
          <w:sz w:val="20"/>
          <w:szCs w:val="20"/>
          <w:color w:val="auto"/>
        </w:rPr>
      </w:pPr>
    </w:p>
    <w:p>
      <w:pPr>
        <w:ind w:right="200" w:firstLine="749"/>
        <w:spacing w:after="0" w:line="259" w:lineRule="auto"/>
        <w:rPr>
          <w:sz w:val="20"/>
          <w:szCs w:val="20"/>
          <w:color w:val="auto"/>
        </w:rPr>
      </w:pPr>
      <w:r>
        <w:rPr>
          <w:rFonts w:ascii="Arial" w:cs="Arial" w:eastAsia="Arial" w:hAnsi="Arial"/>
          <w:sz w:val="16"/>
          <w:szCs w:val="16"/>
          <w:color w:val="auto"/>
        </w:rPr>
        <w:t>On May 12, 2026, Personalis, Inc. (the “Company”) virtually held its 2026 annual meeting of stockholders (the “Annual Meeting”). Present at the Annual Meeting virtually or by proxy were the holders of 91,869,300 shares of common stock of the Company, representing 87.76% of the 104,677,900 shares of common stock outstanding as of the close of business on March 17, 2026, the record date for the Annual Meeting, and constituting a quorum for the transaction of business.</w:t>
      </w:r>
    </w:p>
    <w:p>
      <w:pPr>
        <w:spacing w:after="0" w:line="178" w:lineRule="exact"/>
        <w:rPr>
          <w:sz w:val="20"/>
          <w:szCs w:val="20"/>
          <w:color w:val="auto"/>
        </w:rPr>
      </w:pPr>
    </w:p>
    <w:p>
      <w:pPr>
        <w:ind w:right="140" w:firstLine="749"/>
        <w:spacing w:after="0" w:line="259" w:lineRule="auto"/>
        <w:rPr>
          <w:sz w:val="20"/>
          <w:szCs w:val="20"/>
          <w:color w:val="auto"/>
        </w:rPr>
      </w:pPr>
      <w:r>
        <w:rPr>
          <w:rFonts w:ascii="Arial" w:cs="Arial" w:eastAsia="Arial" w:hAnsi="Arial"/>
          <w:sz w:val="16"/>
          <w:szCs w:val="16"/>
          <w:color w:val="auto"/>
        </w:rPr>
        <w:t>At the Annual Meeting, the Company’s stockholders voted on three proposals, each of which is described in more detail in the Company’s definitive proxy statement on Schedule 14A filed with the U.S. Securities and Exchange Commission on April 2, 2026. The following is a brief description of each matter voted upon and the certified results, including the number of votes cast for or against each matter and, if applicable, the number of abstentions and broker non-votes with respect to each matter.</w:t>
      </w:r>
    </w:p>
    <w:p>
      <w:pPr>
        <w:spacing w:after="0" w:line="178" w:lineRule="exact"/>
        <w:rPr>
          <w:sz w:val="20"/>
          <w:szCs w:val="20"/>
          <w:color w:val="auto"/>
        </w:rPr>
      </w:pPr>
    </w:p>
    <w:p>
      <w:pPr>
        <w:ind w:right="80" w:firstLine="749"/>
        <w:spacing w:after="0" w:line="266" w:lineRule="auto"/>
        <w:rPr>
          <w:sz w:val="20"/>
          <w:szCs w:val="20"/>
          <w:color w:val="auto"/>
        </w:rPr>
      </w:pPr>
      <w:r>
        <w:rPr>
          <w:rFonts w:ascii="Arial" w:cs="Arial" w:eastAsia="Arial" w:hAnsi="Arial"/>
          <w:sz w:val="16"/>
          <w:szCs w:val="16"/>
          <w:i w:val="1"/>
          <w:iCs w:val="1"/>
          <w:color w:val="auto"/>
        </w:rPr>
        <w:t>Proposal 1</w:t>
      </w:r>
      <w:r>
        <w:rPr>
          <w:rFonts w:ascii="Arial" w:cs="Arial" w:eastAsia="Arial" w:hAnsi="Arial"/>
          <w:sz w:val="16"/>
          <w:szCs w:val="16"/>
          <w:color w:val="auto"/>
        </w:rPr>
        <w:t>. Stockholders elected each of the two nominees for Class I director to serve until the Company’s 2029 annual meeting of stockholders</w:t>
      </w:r>
      <w:r>
        <w:rPr>
          <w:rFonts w:ascii="Arial" w:cs="Arial" w:eastAsia="Arial" w:hAnsi="Arial"/>
          <w:sz w:val="16"/>
          <w:szCs w:val="16"/>
          <w:i w:val="1"/>
          <w:iCs w:val="1"/>
          <w:color w:val="auto"/>
        </w:rPr>
        <w:t xml:space="preserve"> </w:t>
      </w:r>
      <w:r>
        <w:rPr>
          <w:rFonts w:ascii="Arial" w:cs="Arial" w:eastAsia="Arial" w:hAnsi="Arial"/>
          <w:sz w:val="16"/>
          <w:szCs w:val="16"/>
          <w:color w:val="auto"/>
        </w:rPr>
        <w:t>and until his or her respective successor has been duly elected and qualified or, if sooner, until the director's death, resignation or removal. The voting results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Director Name</w:t>
            </w:r>
          </w:p>
        </w:tc>
        <w:tc>
          <w:tcPr>
            <w:tcW w:w="16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Votes For</w:t>
            </w:r>
          </w:p>
        </w:tc>
        <w:tc>
          <w:tcPr>
            <w:tcW w:w="160" w:type="dxa"/>
            <w:vAlign w:val="bottom"/>
          </w:tcPr>
          <w:p>
            <w:pPr>
              <w:spacing w:after="0"/>
              <w:rPr>
                <w:sz w:val="14"/>
                <w:szCs w:val="14"/>
                <w:color w:val="auto"/>
              </w:rPr>
            </w:pPr>
          </w:p>
        </w:tc>
        <w:tc>
          <w:tcPr>
            <w:tcW w:w="17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Votes Withheld</w:t>
            </w:r>
          </w:p>
        </w:tc>
        <w:tc>
          <w:tcPr>
            <w:tcW w:w="16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Broker Non-Votes</w:t>
            </w:r>
          </w:p>
        </w:tc>
      </w:tr>
      <w:tr>
        <w:trPr>
          <w:trHeight w:val="183"/>
        </w:trPr>
        <w:tc>
          <w:tcPr>
            <w:tcW w:w="56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Olivia K. Bloom</w:t>
            </w:r>
          </w:p>
        </w:tc>
        <w:tc>
          <w:tcPr>
            <w:tcW w:w="1860" w:type="dxa"/>
            <w:vAlign w:val="bottom"/>
            <w:gridSpan w:val="2"/>
            <w:shd w:val="clear" w:color="auto" w:fill="CFF0FC"/>
          </w:tcPr>
          <w:p>
            <w:pPr>
              <w:jc w:val="center"/>
              <w:ind w:left="59"/>
              <w:spacing w:after="0" w:line="183" w:lineRule="exact"/>
              <w:rPr>
                <w:sz w:val="20"/>
                <w:szCs w:val="20"/>
                <w:color w:val="auto"/>
              </w:rPr>
            </w:pPr>
            <w:r>
              <w:rPr>
                <w:rFonts w:ascii="Arial" w:cs="Arial" w:eastAsia="Arial" w:hAnsi="Arial"/>
                <w:sz w:val="16"/>
                <w:szCs w:val="16"/>
                <w:color w:val="auto"/>
                <w:w w:val="99"/>
              </w:rPr>
              <w:t>75,695,538</w:t>
            </w:r>
          </w:p>
        </w:tc>
        <w:tc>
          <w:tcPr>
            <w:tcW w:w="1880" w:type="dxa"/>
            <w:vAlign w:val="bottom"/>
            <w:gridSpan w:val="2"/>
            <w:shd w:val="clear" w:color="auto" w:fill="CFF0FC"/>
          </w:tcPr>
          <w:p>
            <w:pPr>
              <w:jc w:val="right"/>
              <w:ind w:right="508"/>
              <w:spacing w:after="0" w:line="183" w:lineRule="exact"/>
              <w:rPr>
                <w:sz w:val="20"/>
                <w:szCs w:val="20"/>
                <w:color w:val="auto"/>
              </w:rPr>
            </w:pPr>
            <w:r>
              <w:rPr>
                <w:rFonts w:ascii="Arial" w:cs="Arial" w:eastAsia="Arial" w:hAnsi="Arial"/>
                <w:sz w:val="16"/>
                <w:szCs w:val="16"/>
                <w:color w:val="auto"/>
              </w:rPr>
              <w:t>317,559</w:t>
            </w:r>
          </w:p>
        </w:tc>
        <w:tc>
          <w:tcPr>
            <w:tcW w:w="1880" w:type="dxa"/>
            <w:vAlign w:val="bottom"/>
            <w:gridSpan w:val="2"/>
            <w:shd w:val="clear" w:color="auto" w:fill="CFF0FC"/>
          </w:tcPr>
          <w:p>
            <w:pPr>
              <w:jc w:val="center"/>
              <w:ind w:left="59"/>
              <w:spacing w:after="0" w:line="183" w:lineRule="exact"/>
              <w:rPr>
                <w:sz w:val="20"/>
                <w:szCs w:val="20"/>
                <w:color w:val="auto"/>
              </w:rPr>
            </w:pPr>
            <w:r>
              <w:rPr>
                <w:rFonts w:ascii="Arial" w:cs="Arial" w:eastAsia="Arial" w:hAnsi="Arial"/>
                <w:sz w:val="16"/>
                <w:szCs w:val="16"/>
                <w:color w:val="auto"/>
              </w:rPr>
              <w:t>15,856,203</w:t>
            </w:r>
          </w:p>
        </w:tc>
      </w:tr>
      <w:tr>
        <w:trPr>
          <w:trHeight w:val="215"/>
        </w:trPr>
        <w:tc>
          <w:tcPr>
            <w:tcW w:w="5620" w:type="dxa"/>
            <w:vAlign w:val="bottom"/>
          </w:tcPr>
          <w:p>
            <w:pPr>
              <w:spacing w:after="0"/>
              <w:rPr>
                <w:sz w:val="20"/>
                <w:szCs w:val="20"/>
                <w:color w:val="auto"/>
              </w:rPr>
            </w:pPr>
            <w:r>
              <w:rPr>
                <w:rFonts w:ascii="Arial" w:cs="Arial" w:eastAsia="Arial" w:hAnsi="Arial"/>
                <w:sz w:val="16"/>
                <w:szCs w:val="16"/>
                <w:color w:val="auto"/>
              </w:rPr>
              <w:t>Woodrow A. Myers, Jr., M.D.</w:t>
            </w:r>
          </w:p>
        </w:tc>
        <w:tc>
          <w:tcPr>
            <w:tcW w:w="186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68,240,509</w:t>
            </w:r>
          </w:p>
        </w:tc>
        <w:tc>
          <w:tcPr>
            <w:tcW w:w="1880" w:type="dxa"/>
            <w:vAlign w:val="bottom"/>
            <w:gridSpan w:val="2"/>
          </w:tcPr>
          <w:p>
            <w:pPr>
              <w:jc w:val="right"/>
              <w:ind w:right="428"/>
              <w:spacing w:after="0"/>
              <w:rPr>
                <w:sz w:val="20"/>
                <w:szCs w:val="20"/>
                <w:color w:val="auto"/>
              </w:rPr>
            </w:pPr>
            <w:r>
              <w:rPr>
                <w:rFonts w:ascii="Arial" w:cs="Arial" w:eastAsia="Arial" w:hAnsi="Arial"/>
                <w:sz w:val="16"/>
                <w:szCs w:val="16"/>
                <w:color w:val="auto"/>
              </w:rPr>
              <w:t>7,772,588</w:t>
            </w:r>
          </w:p>
        </w:tc>
        <w:tc>
          <w:tcPr>
            <w:tcW w:w="1880" w:type="dxa"/>
            <w:vAlign w:val="bottom"/>
            <w:gridSpan w:val="2"/>
          </w:tcPr>
          <w:p>
            <w:pPr>
              <w:jc w:val="center"/>
              <w:ind w:left="59"/>
              <w:spacing w:after="0"/>
              <w:rPr>
                <w:sz w:val="20"/>
                <w:szCs w:val="20"/>
                <w:color w:val="auto"/>
              </w:rPr>
            </w:pPr>
            <w:r>
              <w:rPr>
                <w:rFonts w:ascii="Arial" w:cs="Arial" w:eastAsia="Arial" w:hAnsi="Arial"/>
                <w:sz w:val="16"/>
                <w:szCs w:val="16"/>
                <w:color w:val="auto"/>
              </w:rPr>
              <w:t>15,856,203</w:t>
            </w:r>
          </w:p>
        </w:tc>
      </w:tr>
    </w:tbl>
    <w:p>
      <w:pPr>
        <w:spacing w:after="0" w:line="176"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Proposal 2</w:t>
      </w:r>
      <w:r>
        <w:rPr>
          <w:rFonts w:ascii="Arial" w:cs="Arial" w:eastAsia="Arial" w:hAnsi="Arial"/>
          <w:sz w:val="16"/>
          <w:szCs w:val="16"/>
          <w:color w:val="auto"/>
        </w:rPr>
        <w:t>. Stockholders ratified the selection by the Audit Committee of the Board of Directors of the Company of BDO USA, P.C. as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Company’s independent registered public accounting firm for the fiscal year ending December 31, 2026. The voting results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Votes For</w:t>
            </w:r>
          </w:p>
        </w:tc>
        <w:tc>
          <w:tcPr>
            <w:tcW w:w="400" w:type="dxa"/>
            <w:vAlign w:val="bottom"/>
          </w:tcPr>
          <w:p>
            <w:pPr>
              <w:spacing w:after="0"/>
              <w:rPr>
                <w:sz w:val="14"/>
                <w:szCs w:val="14"/>
                <w:color w:val="auto"/>
              </w:rPr>
            </w:pPr>
          </w:p>
        </w:tc>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Votes Against</w:t>
            </w:r>
          </w:p>
        </w:tc>
        <w:tc>
          <w:tcPr>
            <w:tcW w:w="380" w:type="dxa"/>
            <w:vAlign w:val="bottom"/>
          </w:tcPr>
          <w:p>
            <w:pPr>
              <w:spacing w:after="0"/>
              <w:rPr>
                <w:sz w:val="14"/>
                <w:szCs w:val="14"/>
                <w:color w:val="auto"/>
              </w:rPr>
            </w:pPr>
          </w:p>
        </w:tc>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Abstentions</w:t>
            </w:r>
          </w:p>
        </w:tc>
      </w:tr>
      <w:tr>
        <w:trPr>
          <w:trHeight w:val="183"/>
        </w:trPr>
        <w:tc>
          <w:tcPr>
            <w:tcW w:w="3500" w:type="dxa"/>
            <w:vAlign w:val="bottom"/>
            <w:shd w:val="clear" w:color="auto" w:fill="CFF0FC"/>
          </w:tcPr>
          <w:p>
            <w:pPr>
              <w:jc w:val="right"/>
              <w:ind w:right="1264"/>
              <w:spacing w:after="0" w:line="183" w:lineRule="exact"/>
              <w:rPr>
                <w:sz w:val="20"/>
                <w:szCs w:val="20"/>
                <w:color w:val="auto"/>
              </w:rPr>
            </w:pPr>
            <w:r>
              <w:rPr>
                <w:rFonts w:ascii="Arial" w:cs="Arial" w:eastAsia="Arial" w:hAnsi="Arial"/>
                <w:sz w:val="16"/>
                <w:szCs w:val="16"/>
                <w:color w:val="auto"/>
              </w:rPr>
              <w:t>91,586,300</w:t>
            </w:r>
          </w:p>
        </w:tc>
        <w:tc>
          <w:tcPr>
            <w:tcW w:w="3880" w:type="dxa"/>
            <w:vAlign w:val="bottom"/>
            <w:gridSpan w:val="2"/>
            <w:shd w:val="clear" w:color="auto" w:fill="CFF0FC"/>
          </w:tcPr>
          <w:p>
            <w:pPr>
              <w:jc w:val="right"/>
              <w:ind w:right="1428"/>
              <w:spacing w:after="0" w:line="183" w:lineRule="exact"/>
              <w:rPr>
                <w:sz w:val="20"/>
                <w:szCs w:val="20"/>
                <w:color w:val="auto"/>
              </w:rPr>
            </w:pPr>
            <w:r>
              <w:rPr>
                <w:rFonts w:ascii="Arial" w:cs="Arial" w:eastAsia="Arial" w:hAnsi="Arial"/>
                <w:sz w:val="16"/>
                <w:szCs w:val="16"/>
                <w:color w:val="auto"/>
              </w:rPr>
              <w:t>34,421</w:t>
            </w:r>
          </w:p>
        </w:tc>
        <w:tc>
          <w:tcPr>
            <w:tcW w:w="3860" w:type="dxa"/>
            <w:vAlign w:val="bottom"/>
            <w:gridSpan w:val="2"/>
            <w:shd w:val="clear" w:color="auto" w:fill="CFF0FC"/>
          </w:tcPr>
          <w:p>
            <w:pPr>
              <w:jc w:val="right"/>
              <w:ind w:right="1368"/>
              <w:spacing w:after="0" w:line="183" w:lineRule="exact"/>
              <w:rPr>
                <w:sz w:val="20"/>
                <w:szCs w:val="20"/>
                <w:color w:val="auto"/>
              </w:rPr>
            </w:pPr>
            <w:r>
              <w:rPr>
                <w:rFonts w:ascii="Arial" w:cs="Arial" w:eastAsia="Arial" w:hAnsi="Arial"/>
                <w:sz w:val="16"/>
                <w:szCs w:val="16"/>
                <w:color w:val="auto"/>
              </w:rPr>
              <w:t>248,579</w:t>
            </w:r>
          </w:p>
        </w:tc>
      </w:tr>
    </w:tbl>
    <w:p>
      <w:pPr>
        <w:spacing w:after="0" w:line="202" w:lineRule="exact"/>
        <w:rPr>
          <w:sz w:val="20"/>
          <w:szCs w:val="20"/>
          <w:color w:val="auto"/>
        </w:rPr>
      </w:pPr>
    </w:p>
    <w:p>
      <w:pPr>
        <w:ind w:right="200" w:firstLine="749"/>
        <w:spacing w:after="0" w:line="286" w:lineRule="auto"/>
        <w:rPr>
          <w:sz w:val="20"/>
          <w:szCs w:val="20"/>
          <w:color w:val="auto"/>
        </w:rPr>
      </w:pPr>
      <w:r>
        <w:rPr>
          <w:rFonts w:ascii="Arial" w:cs="Arial" w:eastAsia="Arial" w:hAnsi="Arial"/>
          <w:sz w:val="16"/>
          <w:szCs w:val="16"/>
          <w:i w:val="1"/>
          <w:iCs w:val="1"/>
          <w:color w:val="auto"/>
        </w:rPr>
        <w:t xml:space="preserve">Proposal 3. </w:t>
      </w:r>
      <w:r>
        <w:rPr>
          <w:rFonts w:ascii="Arial" w:cs="Arial" w:eastAsia="Arial" w:hAnsi="Arial"/>
          <w:sz w:val="16"/>
          <w:szCs w:val="16"/>
          <w:color w:val="auto"/>
        </w:rPr>
        <w:t>Stockholders approved, on a non-binding, advisory basis, the compensation of the Company’s named executive officers. The voting</w:t>
      </w:r>
      <w:r>
        <w:rPr>
          <w:rFonts w:ascii="Arial" w:cs="Arial" w:eastAsia="Arial" w:hAnsi="Arial"/>
          <w:sz w:val="16"/>
          <w:szCs w:val="16"/>
          <w:i w:val="1"/>
          <w:iCs w:val="1"/>
          <w:color w:val="auto"/>
        </w:rPr>
        <w:t xml:space="preserve"> </w:t>
      </w:r>
      <w:r>
        <w:rPr>
          <w:rFonts w:ascii="Arial" w:cs="Arial" w:eastAsia="Arial" w:hAnsi="Arial"/>
          <w:sz w:val="16"/>
          <w:szCs w:val="16"/>
          <w:color w:val="auto"/>
        </w:rPr>
        <w:t>results were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Votes For</w:t>
            </w:r>
          </w:p>
        </w:tc>
        <w:tc>
          <w:tcPr>
            <w:tcW w:w="260" w:type="dxa"/>
            <w:vAlign w:val="bottom"/>
          </w:tcPr>
          <w:p>
            <w:pPr>
              <w:spacing w:after="0"/>
              <w:rPr>
                <w:sz w:val="14"/>
                <w:szCs w:val="14"/>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Votes Against</w:t>
            </w:r>
          </w:p>
        </w:tc>
        <w:tc>
          <w:tcPr>
            <w:tcW w:w="280" w:type="dxa"/>
            <w:vAlign w:val="bottom"/>
          </w:tcPr>
          <w:p>
            <w:pPr>
              <w:spacing w:after="0"/>
              <w:rPr>
                <w:sz w:val="14"/>
                <w:szCs w:val="14"/>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Abstentions</w:t>
            </w:r>
          </w:p>
        </w:tc>
        <w:tc>
          <w:tcPr>
            <w:tcW w:w="280" w:type="dxa"/>
            <w:vAlign w:val="bottom"/>
          </w:tcPr>
          <w:p>
            <w:pPr>
              <w:spacing w:after="0"/>
              <w:rPr>
                <w:sz w:val="14"/>
                <w:szCs w:val="14"/>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Broker Non-Votes</w:t>
            </w:r>
          </w:p>
        </w:tc>
      </w:tr>
      <w:tr>
        <w:trPr>
          <w:trHeight w:val="183"/>
        </w:trPr>
        <w:tc>
          <w:tcPr>
            <w:tcW w:w="2620" w:type="dxa"/>
            <w:vAlign w:val="bottom"/>
            <w:shd w:val="clear" w:color="auto" w:fill="CFF0FC"/>
          </w:tcPr>
          <w:p>
            <w:pPr>
              <w:jc w:val="right"/>
              <w:ind w:right="824"/>
              <w:spacing w:after="0" w:line="183" w:lineRule="exact"/>
              <w:rPr>
                <w:sz w:val="20"/>
                <w:szCs w:val="20"/>
                <w:color w:val="auto"/>
              </w:rPr>
            </w:pPr>
            <w:r>
              <w:rPr>
                <w:rFonts w:ascii="Arial" w:cs="Arial" w:eastAsia="Arial" w:hAnsi="Arial"/>
                <w:sz w:val="16"/>
                <w:szCs w:val="16"/>
                <w:color w:val="auto"/>
              </w:rPr>
              <w:t>75,549,455</w:t>
            </w:r>
          </w:p>
        </w:tc>
        <w:tc>
          <w:tcPr>
            <w:tcW w:w="2860" w:type="dxa"/>
            <w:vAlign w:val="bottom"/>
            <w:gridSpan w:val="2"/>
            <w:shd w:val="clear" w:color="auto" w:fill="CFF0FC"/>
          </w:tcPr>
          <w:p>
            <w:pPr>
              <w:jc w:val="right"/>
              <w:ind w:right="928"/>
              <w:spacing w:after="0" w:line="183" w:lineRule="exact"/>
              <w:rPr>
                <w:sz w:val="20"/>
                <w:szCs w:val="20"/>
                <w:color w:val="auto"/>
              </w:rPr>
            </w:pPr>
            <w:r>
              <w:rPr>
                <w:rFonts w:ascii="Arial" w:cs="Arial" w:eastAsia="Arial" w:hAnsi="Arial"/>
                <w:sz w:val="16"/>
                <w:szCs w:val="16"/>
                <w:color w:val="auto"/>
              </w:rPr>
              <w:t>384,918</w:t>
            </w:r>
          </w:p>
        </w:tc>
        <w:tc>
          <w:tcPr>
            <w:tcW w:w="2880" w:type="dxa"/>
            <w:vAlign w:val="bottom"/>
            <w:gridSpan w:val="2"/>
            <w:shd w:val="clear" w:color="auto" w:fill="CFF0FC"/>
          </w:tcPr>
          <w:p>
            <w:pPr>
              <w:jc w:val="right"/>
              <w:ind w:right="988"/>
              <w:spacing w:after="0" w:line="183" w:lineRule="exact"/>
              <w:rPr>
                <w:sz w:val="20"/>
                <w:szCs w:val="20"/>
                <w:color w:val="auto"/>
              </w:rPr>
            </w:pPr>
            <w:r>
              <w:rPr>
                <w:rFonts w:ascii="Arial" w:cs="Arial" w:eastAsia="Arial" w:hAnsi="Arial"/>
                <w:sz w:val="16"/>
                <w:szCs w:val="16"/>
                <w:color w:val="auto"/>
              </w:rPr>
              <w:t>78,724</w:t>
            </w:r>
          </w:p>
        </w:tc>
        <w:tc>
          <w:tcPr>
            <w:tcW w:w="2880" w:type="dxa"/>
            <w:vAlign w:val="bottom"/>
            <w:gridSpan w:val="2"/>
            <w:shd w:val="clear" w:color="auto" w:fill="CFF0FC"/>
          </w:tcPr>
          <w:p>
            <w:pPr>
              <w:jc w:val="right"/>
              <w:ind w:right="828"/>
              <w:spacing w:after="0" w:line="183" w:lineRule="exact"/>
              <w:rPr>
                <w:sz w:val="20"/>
                <w:szCs w:val="20"/>
                <w:color w:val="auto"/>
              </w:rPr>
            </w:pPr>
            <w:r>
              <w:rPr>
                <w:rFonts w:ascii="Arial" w:cs="Arial" w:eastAsia="Arial" w:hAnsi="Arial"/>
                <w:sz w:val="16"/>
                <w:szCs w:val="16"/>
                <w:color w:val="auto"/>
              </w:rPr>
              <w:t>15,856,203</w:t>
            </w:r>
          </w:p>
        </w:tc>
      </w:tr>
      <w:tr>
        <w:trPr>
          <w:trHeight w:val="1195"/>
        </w:trPr>
        <w:tc>
          <w:tcPr>
            <w:tcW w:w="26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6"/>
          <w:szCs w:val="16"/>
          <w:b w:val="1"/>
          <w:bCs w:val="1"/>
          <w:color w:val="auto"/>
        </w:rPr>
        <w:t>SIGNATURES</w:t>
      </w:r>
    </w:p>
    <w:p>
      <w:pPr>
        <w:spacing w:after="0" w:line="221"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29" w:lineRule="exact"/>
        <w:rPr>
          <w:sz w:val="20"/>
          <w:szCs w:val="20"/>
          <w:color w:val="auto"/>
        </w:rPr>
      </w:pPr>
    </w:p>
    <w:p>
      <w:pPr>
        <w:spacing w:after="0"/>
        <w:tabs>
          <w:tab w:leader="none" w:pos="5780" w:val="left"/>
        </w:tabs>
        <w:rPr>
          <w:sz w:val="20"/>
          <w:szCs w:val="20"/>
          <w:color w:val="auto"/>
        </w:rPr>
      </w:pPr>
      <w:r>
        <w:rPr>
          <w:rFonts w:ascii="Arial" w:cs="Arial" w:eastAsia="Arial" w:hAnsi="Arial"/>
          <w:sz w:val="16"/>
          <w:szCs w:val="16"/>
          <w:color w:val="auto"/>
        </w:rPr>
        <w:t>Date: May 13, 2026</w:t>
      </w:r>
      <w:r>
        <w:rPr>
          <w:sz w:val="20"/>
          <w:szCs w:val="20"/>
          <w:color w:val="auto"/>
        </w:rPr>
        <w:tab/>
      </w:r>
      <w:r>
        <w:rPr>
          <w:rFonts w:ascii="Arial" w:cs="Arial" w:eastAsia="Arial" w:hAnsi="Arial"/>
          <w:sz w:val="16"/>
          <w:szCs w:val="16"/>
          <w:color w:val="auto"/>
        </w:rPr>
        <w:t>Personalis, Inc.</w:t>
      </w:r>
    </w:p>
    <w:p>
      <w:pPr>
        <w:spacing w:after="0" w:line="194"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By: /s/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12065</wp:posOffset>
            </wp:positionV>
            <wp:extent cx="32575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11"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Aaron Tachibana</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Chief Financial Officer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743585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62" w:right="5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2026-05-13T15:59:39Z</dcterms:created>
  <dcterms:modified xsi:type="dcterms:W3CDTF">2026-05-13T15:59:39Z</dcterms:modified>
</cp:coreProperties>
</file>