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8794d8k.htm"/>
      <w:bookmarkStart w:id="1" w:name="ksd687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Personalis,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001-38943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27-5411038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358" w:type="dxa"/>
        <w:jc w:val="left"/>
        <w:tblInd w:w="0" w:type="dxa"/>
        <w:tblLayout w:type="fixed"/>
        <w:tblCellMar>
          <w:top w:w="0" w:type="dxa"/>
          <w:left w:w="0" w:type="dxa"/>
          <w:bottom w:w="0" w:type="dxa"/>
          <w:right w:w="0" w:type="dxa"/>
        </w:tblCellMar>
      </w:tblPr>
      <w:tblGrid>
        <w:gridCol w:w="4070"/>
        <w:gridCol w:w="60"/>
        <w:gridCol w:w="23"/>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6600 Dumbarton Circle</w:t>
            </w:r>
          </w:p>
          <w:p>
            <w:pPr>
              <w:pStyle w:val="TableContents"/>
              <w:bidi w:val="0"/>
              <w:spacing w:before="0" w:after="20"/>
              <w:jc w:val="center"/>
              <w:rPr>
                <w:rFonts w:ascii="Times New Roman" w:hAnsi="Times New Roman"/>
                <w:b/>
                <w:sz w:val="20"/>
              </w:rPr>
            </w:pPr>
            <w:r>
              <w:rPr>
                <w:rFonts w:ascii="Times New Roman" w:hAnsi="Times New Roman"/>
                <w:b/>
                <w:sz w:val="20"/>
              </w:rPr>
              <w:t>Fremont, California</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94555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(650) 752-1300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PSNL</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On July 20, 2026, Personalis, Inc., a Delaware corporation (the “</w:t>
      </w:r>
      <w:r>
        <w:rPr>
          <w:rFonts w:ascii="Times New Roman" w:hAnsi="Times New Roman"/>
          <w:b/>
          <w:i/>
          <w:sz w:val="20"/>
        </w:rPr>
        <w:t>Company</w:t>
      </w:r>
      <w:r>
        <w:rPr>
          <w:rFonts w:ascii="Times New Roman" w:hAnsi="Times New Roman"/>
          <w:sz w:val="20"/>
        </w:rPr>
        <w:t>”) and Tempus AI, Inc., a Nevada corporation (“</w:t>
      </w:r>
      <w:r>
        <w:rPr>
          <w:rFonts w:ascii="Times New Roman" w:hAnsi="Times New Roman"/>
          <w:b/>
          <w:i/>
          <w:sz w:val="20"/>
        </w:rPr>
        <w:t>Tempus</w:t>
      </w:r>
      <w:r>
        <w:rPr>
          <w:rFonts w:ascii="Times New Roman" w:hAnsi="Times New Roman"/>
          <w:sz w:val="20"/>
        </w:rPr>
        <w:t>”) issued a joint press release announcing the proposed acquisition of the Company by Tempus, the full text of which is attached hereto as Exhibit 99.1 and is incorporated herein by reference (the “</w:t>
      </w:r>
      <w:r>
        <w:rPr>
          <w:rFonts w:ascii="Times New Roman" w:hAnsi="Times New Roman"/>
          <w:b/>
          <w:i/>
          <w:sz w:val="20"/>
        </w:rPr>
        <w:t>Press Release</w:t>
      </w:r>
      <w:r>
        <w:rPr>
          <w:rFonts w:ascii="Times New Roman" w:hAnsi="Times New Roman"/>
          <w:sz w:val="20"/>
        </w:rPr>
        <w:t xml:space="preserve">), which includes certain preliminary financial and operational results of the Company for the quarter ended June 30, 2026.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July 20, 2026, the Company and Tempus announced that they entered into an Agreement and Plan of Merger (the “</w:t>
      </w:r>
      <w:r>
        <w:rPr>
          <w:rFonts w:ascii="Times New Roman" w:hAnsi="Times New Roman"/>
          <w:b/>
          <w:i/>
          <w:sz w:val="20"/>
        </w:rPr>
        <w:t>Merger Agreement</w:t>
      </w:r>
      <w:r>
        <w:rPr>
          <w:rFonts w:ascii="Times New Roman" w:hAnsi="Times New Roman"/>
          <w:sz w:val="20"/>
        </w:rPr>
        <w:t>”), by and among the Company, Tempus, Aviary Development, Inc., a Delaware corporation and a direct, wholly-owned subsidiary of Tempus (“</w:t>
      </w:r>
      <w:r>
        <w:rPr>
          <w:rFonts w:ascii="Times New Roman" w:hAnsi="Times New Roman"/>
          <w:b/>
          <w:i/>
          <w:sz w:val="20"/>
        </w:rPr>
        <w:t>Merger Sub I</w:t>
      </w:r>
      <w:r>
        <w:rPr>
          <w:rFonts w:ascii="Times New Roman" w:hAnsi="Times New Roman"/>
          <w:sz w:val="20"/>
        </w:rPr>
        <w:t>”), and Toucan Development, LLC, a Nevada limited liability company and a direct, wholly-owned subsidiary of Tempus (“</w:t>
      </w:r>
      <w:r>
        <w:rPr>
          <w:rFonts w:ascii="Times New Roman" w:hAnsi="Times New Roman"/>
          <w:b/>
          <w:i/>
          <w:sz w:val="20"/>
        </w:rPr>
        <w:t>Merger Sub II</w:t>
      </w:r>
      <w:r>
        <w:rPr>
          <w:rFonts w:ascii="Times New Roman" w:hAnsi="Times New Roman"/>
          <w:sz w:val="20"/>
        </w:rPr>
        <w:t>”), pursuant to which, subject to the terms and conditions of the Merger Agreement, (i) Merger Sub I will merge with and into the Company (the “</w:t>
      </w:r>
      <w:r>
        <w:rPr>
          <w:rFonts w:ascii="Times New Roman" w:hAnsi="Times New Roman"/>
          <w:b/>
          <w:i/>
          <w:sz w:val="20"/>
        </w:rPr>
        <w:t>First Merger</w:t>
      </w:r>
      <w:r>
        <w:rPr>
          <w:rFonts w:ascii="Times New Roman" w:hAnsi="Times New Roman"/>
          <w:sz w:val="20"/>
        </w:rPr>
        <w:t>”), with the Company surviving the First Merger as a direct, wholly-owned subsidiary of Tempus, and (ii) immediately following the First Merger, the Company will merge with and into Merger Sub II (the “</w:t>
      </w:r>
      <w:r>
        <w:rPr>
          <w:rFonts w:ascii="Times New Roman" w:hAnsi="Times New Roman"/>
          <w:b/>
          <w:i/>
          <w:sz w:val="20"/>
        </w:rPr>
        <w:t>Second Merger</w:t>
      </w:r>
      <w:r>
        <w:rPr>
          <w:rFonts w:ascii="Times New Roman" w:hAnsi="Times New Roman"/>
          <w:sz w:val="20"/>
        </w:rPr>
        <w:t xml:space="preserve">”), with Merger Sub II surviving the Second Merger as a direct, wholly-owned subsidiary of Tempus. </w:t>
      </w:r>
    </w:p>
    <w:p>
      <w:pPr>
        <w:pStyle w:val="TextBody"/>
        <w:bidi w:val="0"/>
        <w:spacing w:before="240" w:after="0"/>
        <w:jc w:val="left"/>
        <w:rPr>
          <w:rFonts w:ascii="Times New Roman" w:hAnsi="Times New Roman"/>
          <w:sz w:val="20"/>
        </w:rPr>
      </w:pPr>
      <w:r>
        <w:rPr>
          <w:rFonts w:ascii="Times New Roman" w:hAnsi="Times New Roman"/>
          <w:sz w:val="20"/>
        </w:rPr>
        <w:t>The information provided in Item 2.02 and this Item 7.01, including Exhibit 99.1 of this Current Report in Item 9.01, is “furnished” pursuant to the rules and regulations of the Securities and Exchange Commission (“</w:t>
      </w:r>
      <w:r>
        <w:rPr>
          <w:rFonts w:ascii="Times New Roman" w:hAnsi="Times New Roman"/>
          <w:b/>
          <w:i/>
          <w:sz w:val="20"/>
        </w:rPr>
        <w:t>SEC</w:t>
      </w:r>
      <w:r>
        <w:rPr>
          <w:rFonts w:ascii="Times New Roman" w:hAnsi="Times New Roman"/>
          <w:sz w:val="20"/>
        </w:rPr>
        <w:t>”) and shall not be deemed “filed” for purposes of Section 18 of the Securities Exchange Act of 1934, as amended, or otherwise subject to the liabilities of that section, nor shall it be deemed incorporated by reference in any filing under the Securities Act of 1933, as amended (the “</w:t>
      </w:r>
      <w:r>
        <w:rPr>
          <w:rFonts w:ascii="Times New Roman" w:hAnsi="Times New Roman"/>
          <w:b/>
          <w:i/>
          <w:sz w:val="20"/>
        </w:rPr>
        <w:t>Securities Act</w:t>
      </w:r>
      <w:r>
        <w:rPr>
          <w:rFonts w:ascii="Times New Roman" w:hAnsi="Times New Roman"/>
          <w:sz w:val="20"/>
        </w:rPr>
        <w:t xml:space="preserve">”), except as expressly set forth by specific reference in such a filing.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a proposed business combination transaction between Tempus and the Company. This communication includes forward-looking statements within the meaning of federal securities laws. Forward-looking statements relate to future events and anticipated results of operations, business strategies, the anticipated benefits of the proposed transaction, the anticipated impact of the proposed transaction on the combined company’s business and future financial and operating results, the expected amount and timing of synergies from the proposed transaction, the anticipated closing date for the proposed transaction and other aspects of our operations or operating results. These forward-looking statements generally can be identified by phrases such as “will,” “should,” “expects,” “plans,” “anticipates,” “could,” “intends,” “target,” “projects,” “contemplates,” “believes,” “predicts,” “potential,” “continue,” “foresees,” “forecasts,” “estimates” or other words or phrases of similar import. It is uncertain whether any of the events anticipated by the forward-looking statements will transpire or occur, or if any of them do, what impact they will have on the results of operations and financial condition of the combined company or the price of Tempus’s common shares or the Company’s stock. Therefore, you should not place undue reliance on any such statements and caution must be exercised in relying on forward-looking statements. These forward-looking statements involve certain risks and uncertainties, many of which are beyond the parties’ control, that could cause actual results to differ materially from those indicated in such forward-looking statements, including but not limited to: the possibility that stockholders of the Company may not approve the merger agreement; the risk that a condition to closing of the transaction may not be satisfied (or waived), that either party may terminate the merger agreement or that the closing of the transaction might be delayed or not occur at all; potential adverse reactions or changes to business or employee relationships, including those resulting from the announcement or completion of the transaction; the diversion of management time on transaction-related issues; the response of competitors to the proposed transaction; the ultimate timing, outcome and results of integrating the operations of Tempus and the Company; the effects of the business combination of Tempus and the Company, including the combined company’s future financial condition, results of operations, strategy and plans; regulatory approval and clearances of the transaction; the fact that operating costs and business disruption may be greater than expected following the public announcement or consummation of the transaction; the significant costs associated with the proposed transaction; potential litigation relating to the proposed transaction; restrictions during the pendency of the proposed transaction that may impact the ability of Tempus and/or the Company to pursue certain business opportunities or strategic transactions; the ability of the combined company to realize anticipated synergies in the timeframe expected or at all; changes in capital markets and the ability of the combined company to finance operations in the manner expected; legislative, regulatory and economic developments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affecting the business of Tempus and the Company; general economic and market developments and conditions; the evolving legal, regulatory and tax regimes under which Tempus and the Company operate; unpredictability and severity of catastrophic events, including, but not limited to, acts of terrorism or outbreak of war or hostilities, as well as Tempus’s or the Company’s response to any of the aforementioned factors. These risks, as well as other risks related to the proposed transaction, will be included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Tempus’s and the Company’s respective periodic reports and other filings with the SEC, including the risk factors identified in Tempus’s most recent Quarterly Reports on Form 10-Q and Annual Report on Form 10-K and the Company’s most recent Quarterly Reports on Form 10-Q and Annual Report on Form 10-K. The forward-looking statements included in this communication are made only as of the date hereof. Neither Tempus nor the Company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merger, Tempus will file with the SEC a registration statement on Form S-4 which will include a document that serves as a prospectus of Tempus and a proxy statement of the Company (the “</w:t>
      </w:r>
      <w:r>
        <w:rPr>
          <w:rFonts w:ascii="Times New Roman" w:hAnsi="Times New Roman"/>
          <w:b/>
          <w:i/>
          <w:sz w:val="20"/>
        </w:rPr>
        <w:t>proxy statement/prospectus</w:t>
      </w:r>
      <w:r>
        <w:rPr>
          <w:rFonts w:ascii="Times New Roman" w:hAnsi="Times New Roman"/>
          <w:sz w:val="20"/>
        </w:rPr>
        <w:t>”). Tempus, the Company and certain of their respective affiliates intend to jointly file a transaction statement on Schedule 13E-3 (the “</w:t>
      </w:r>
      <w:r>
        <w:rPr>
          <w:rFonts w:ascii="Times New Roman" w:hAnsi="Times New Roman"/>
          <w:b/>
          <w:i/>
          <w:sz w:val="20"/>
        </w:rPr>
        <w:t>Schedule 13E-3</w:t>
      </w:r>
      <w:r>
        <w:rPr>
          <w:rFonts w:ascii="Times New Roman" w:hAnsi="Times New Roman"/>
          <w:sz w:val="20"/>
        </w:rPr>
        <w:t xml:space="preserve">”) with the SEC. After the registration statement has been declared effective by the SEC, the proxy statement/prospectus will be sent to the stockholders of the Company seeking their approval of the transaction-related proposals. This communication is not a substitute for the registration statement, the proxy statement/prospectus, the Schedule 13E-3 or any other document that the Company or Tempus may file with the SEC with respect to the proposed business combination. INVESTORS AND SECURITY HOLDERS ARE URGED TO READ THE REGISTRATION STATEMENT ON FORM S-4 AND THE RELATED PROXY STATEMENT/PROSPECTUS, THE SCHEDULE 13E-3 AS WELL AS ANY AMENDMENTS OR SUPPLEMENTS TO THOSE DOCUMENTS AND ANY OTHER RELEVANT DOCUMENTS TO BE FILED WITH THE SEC IN CONNECTION WITH THE PROPOSED MERGER, WHEN THEY BECOME AVAILABLE, BECAUSE THEY WILL CONTAIN IMPORTANT INFORMATION ABOUT TEMPUS, THE COMPANY AND THE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may obtain copies of these documents free of charge through the website maintained by the SEC at www.sec.gov or from Tempus at its website, www.tempus.com, or from the Company at its website, www.personalis.com. Documents filed with the SEC by Tempus will be available free of charge by accessing Tempus’s website at https://investors.Tempus.com/financials/sec-filings, under the heading SEC Filings, or, alternatively, by contacting Tempus’s Corporate Secretary at Tempus AI, Inc., 600 West Chicago Avenue, Suite 510, Chicago, Illinois 60654, and documents filed with the SEC by the Company will be available free of charge by accessing the Company’s website at www.personalis.com under the heading Investor or, alternatively, by contacting the Company’s Investor Relations department at investors@personalis.com.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Tempus and the Company and certain of their respective directors and executive officers and other members of management and employees may be deemed to be participants in the solicitation of proxies from the stockholders of the Company and Tempus in respect of the proposed merger under the rules of the SEC. Information regarding the Company’s directors and certain of its executive officers, including a description of their direct or indirect interests, by security holdings or otherwise, can be found under the captions “</w:t>
      </w:r>
      <w:r>
        <w:rPr>
          <w:rFonts w:ascii="Times New Roman" w:hAnsi="Times New Roman"/>
          <w:i/>
          <w:sz w:val="20"/>
        </w:rPr>
        <w:t>Security Ownership of Certain Beneficial Owners and Management</w:t>
      </w:r>
      <w:r>
        <w:rPr>
          <w:rFonts w:ascii="Times New Roman" w:hAnsi="Times New Roman"/>
          <w:sz w:val="20"/>
        </w:rPr>
        <w:t>,”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Director Compensation</w:t>
      </w:r>
      <w:r>
        <w:rPr>
          <w:rFonts w:ascii="Times New Roman" w:hAnsi="Times New Roman"/>
          <w:sz w:val="20"/>
        </w:rPr>
        <w:t xml:space="preserve">” contained in the Company’s definitive proxy statement on Schedule 14A for the Company’s 2026 annual meeting of stockholders, which was filed with the SEC on April 2, 2026. To the extent holdings of the Company’s securities by its directors or executive officers have changed since the applicable “as of” date described in its 2026 proxy statement, such changes have been or will be reflected on Initial Statements of Beneficial Ownership on Form 3 or Statements of Beneficial Ownership on Form 4 filed with the SEC, including (i) the Form 4 filed by Dr. Myers on May 14, 2026; (ii) the Form 4 filed by Ms. Bloom on May 14, 2026; (iii) the Form 4 filed by Ms. Shoff on May 14, 2026; (iv) the Form 4 filed by Dr. Widder on May 14, 2026;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Form 4 filed by Mr. Bowman on May 14, 2026; (vi) the Form 4 filed by Ms. Eastham on May 14, 2026 and the Amended Form 4 filed by Ms. Eastham on June 11, 2026; (vii) the Form 4s filed by Mr. Tachibana on May 29, 2026, June 5, 2026, June 26, 2026 and June 29, 2026; (viii) the Form 4 filed by Dr. Chen on July 15, 2026; and (ix) the Form 4s filed by Mr. Hall on May 29, 2026, June 26, 2026 and July 9, 2026. Other information regarding the participants in the proxy solicitation and a description of their direct and indirect interests, by security holdings or otherwise, will be contained in the proxy statement/prospectus and other relevant materials to be filed with the SEC regarding the proposed merger when they become available. Investors should read the proxy statement/prospectus carefully when it becomes available before making any voting or investment decisions. You may obtain free copies of these documents from the Company or Tempus using the sources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620"/>
        <w:gridCol w:w="120"/>
        <w:gridCol w:w="93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center"/>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hyperlink w:anchor="d68794dex991.htm">
              <w:r>
                <w:rPr>
                  <w:rStyle w:val="InternetLink"/>
                </w:rPr>
                <w:t xml:space="preserve">Joint Press Release issued by Tempus and the Company, dated July 20, 2026 (furnished herewith)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4883" w:type="dxa"/>
        <w:jc w:val="left"/>
        <w:tblInd w:w="0" w:type="dxa"/>
        <w:tblLayout w:type="fixed"/>
        <w:tblCellMar>
          <w:top w:w="0" w:type="dxa"/>
          <w:left w:w="0" w:type="dxa"/>
          <w:bottom w:w="0" w:type="dxa"/>
          <w:right w:w="0" w:type="dxa"/>
        </w:tblCellMar>
      </w:tblPr>
      <w:tblGrid>
        <w:gridCol w:w="2015"/>
        <w:gridCol w:w="60"/>
        <w:gridCol w:w="23"/>
        <w:gridCol w:w="60"/>
        <w:gridCol w:w="365"/>
        <w:gridCol w:w="60"/>
        <w:gridCol w:w="230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pPr>
            <w:r>
              <w:rPr/>
              <w:t>Personalis,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Hall</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Christopher Hall</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68794dex991.htm"/>
      <w:bookmarkStart w:id="3" w:name="ksd68794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Tempus to Acquire Personalis, More Tightly Integrating Molecular Residual Disease (MRD) into Its AI-Enabled Precision Oncology Platform </w:t>
      </w:r>
    </w:p>
    <w:p>
      <w:pPr>
        <w:pStyle w:val="TextBody"/>
        <w:bidi w:val="0"/>
        <w:spacing w:before="240" w:after="0"/>
        <w:jc w:val="left"/>
        <w:rPr>
          <w:rFonts w:ascii="Times New Roman" w:hAnsi="Times New Roman"/>
          <w:i/>
          <w:sz w:val="20"/>
        </w:rPr>
      </w:pPr>
      <w:r>
        <w:rPr>
          <w:rFonts w:ascii="Times New Roman" w:hAnsi="Times New Roman"/>
          <w:i/>
          <w:sz w:val="20"/>
        </w:rPr>
        <w:t xml:space="preserve">Acquisition brings together Personalis’ MRD technology with Tempus’ commercial scale, multimodal data and AI platform to advance cancer monitoring, deepen insights and accelerate growth </w:t>
      </w:r>
    </w:p>
    <w:p>
      <w:pPr>
        <w:pStyle w:val="TextBody"/>
        <w:bidi w:val="0"/>
        <w:spacing w:before="240" w:after="0"/>
        <w:jc w:val="left"/>
        <w:rPr>
          <w:rFonts w:ascii="Times New Roman" w:hAnsi="Times New Roman"/>
          <w:i/>
          <w:sz w:val="20"/>
        </w:rPr>
      </w:pPr>
      <w:r>
        <w:rPr>
          <w:rFonts w:ascii="Times New Roman" w:hAnsi="Times New Roman"/>
          <w:i/>
          <w:sz w:val="20"/>
        </w:rPr>
        <w:t xml:space="preserve">Expands Tempus’ reach across the cancer care continuum and accelerates access to industry-leading technology within the rapidly emerging MRD market, a $20 billion opportunity </w:t>
      </w:r>
    </w:p>
    <w:p>
      <w:pPr>
        <w:pStyle w:val="TextBody"/>
        <w:bidi w:val="0"/>
        <w:spacing w:before="240" w:after="0"/>
        <w:jc w:val="left"/>
        <w:rPr>
          <w:rFonts w:ascii="Times New Roman" w:hAnsi="Times New Roman"/>
          <w:sz w:val="20"/>
        </w:rPr>
      </w:pPr>
      <w:r>
        <w:rPr>
          <w:rFonts w:ascii="Times New Roman" w:hAnsi="Times New Roman"/>
          <w:b/>
          <w:sz w:val="20"/>
        </w:rPr>
        <w:t xml:space="preserve">FREMONT, Calif., July 20, 2026 — </w:t>
      </w:r>
      <w:r>
        <w:rPr>
          <w:rFonts w:ascii="Times New Roman" w:hAnsi="Times New Roman"/>
          <w:sz w:val="20"/>
        </w:rPr>
        <w:t xml:space="preserve">Personalis, Inc. (Nasdaq: PSNL), a leader in advanced genomics for precision oncology, today announced that it has entered into a definitive agreement to be acquired by Tempus AI, Inc. (NASDAQ: TEM), a technology company leading the adoption of AI to advance precision medicine and patient care. The acquisition will expand Tempus capabilities in minimal residual disease (MRD) and enhance its ability to support patients from diagnosis and treatment selection, to recurrence and monitoring.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Personalis shareholders will receive consideration of $16.25 per share of common stock, representing a total enterprise value of $1.5 billion, net </w:t>
      </w:r>
    </w:p>
    <w:p>
      <w:pPr>
        <w:pStyle w:val="TextBody"/>
        <w:bidi w:val="0"/>
        <w:spacing w:before="0" w:after="0"/>
        <w:jc w:val="left"/>
        <w:rPr>
          <w:rFonts w:ascii="Times New Roman" w:hAnsi="Times New Roman"/>
          <w:sz w:val="20"/>
        </w:rPr>
      </w:pPr>
      <w:r>
        <w:rPr>
          <w:rFonts w:ascii="Times New Roman" w:hAnsi="Times New Roman"/>
          <w:sz w:val="20"/>
        </w:rPr>
        <w:t xml:space="preserve">of Tempus’ existing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complementary acquisition builds on the companies’ existing partnership, established in November 2023, through which Tempus invested in Personalis and commercializes the company’s NeXT Personal® MRD test. It brings together Tempus’ multimodal data platform, AI capabilities and precision oncology portfolio with Personalis’ industry-leading tumor-informed MRD technology to expand access to longitudinal monitoring, create new opportunities to advance biomarker discovery and enhance personalized cancer care. </w:t>
      </w:r>
    </w:p>
    <w:p>
      <w:pPr>
        <w:pStyle w:val="TextBody"/>
        <w:bidi w:val="0"/>
        <w:spacing w:before="240" w:after="0"/>
        <w:jc w:val="left"/>
        <w:rPr/>
      </w:pPr>
      <w:r>
        <w:rPr/>
        <w:t>“</w:t>
      </w:r>
      <w:r>
        <w:rPr>
          <w:rFonts w:ascii="Times New Roman" w:hAnsi="Times New Roman"/>
          <w:sz w:val="20"/>
        </w:rPr>
        <w:t xml:space="preserve">MRD is a large and rapidly growing market with the potential to truly transform how cancer patients are monitored, helping clinicians make faster and more informed decisions when cancer recurs,” said Eric Lefkofsky, CEO of Tempus. “Through our existing collaboration with Personalis, we have already demonstrated the strength of combining highly sensitive MRD technology with our commercial infrastructure. With clinical adoption and reimbursement momentum building, we are collectively well positioned to capture this opportunity, which makes this acquisition particularly exciting.” </w:t>
      </w:r>
    </w:p>
    <w:p>
      <w:pPr>
        <w:pStyle w:val="TextBody"/>
        <w:bidi w:val="0"/>
        <w:spacing w:before="240" w:after="0"/>
        <w:jc w:val="left"/>
        <w:rPr>
          <w:rFonts w:ascii="Times New Roman" w:hAnsi="Times New Roman"/>
          <w:sz w:val="20"/>
        </w:rPr>
      </w:pPr>
      <w:r>
        <w:rPr>
          <w:rFonts w:ascii="Times New Roman" w:hAnsi="Times New Roman"/>
          <w:sz w:val="20"/>
        </w:rPr>
        <w:t xml:space="preserve">With approximately 2.1 million new cancer diagnoses expected in the U.S. this year1 and more people living longer after a cancer diagnosis, the need for long-term monitoring is critical and continues to grow. Personalis’ ultrasensitive MRD tests are uniquely positioned to support this essential need. NeXT Personal has industry-leading sensitivity for detecting small traces of circulating tumor DNA, enabling tracking of cancer treatment response, detection of residual cancer and early detection of recurrence. With Medicare coverage in three indications and additional coverage anticipated, Personalis continues to demonstrate leadership in monitoring treatment response and cancer recurrence.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https://www.cancer.org/content/dam/cancer-org/research/cancer-facts-and-statistics/annual-cancer-facts-and-figures/2026/2026-cancer-facts-and-figures.pdf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rPr>
        <w:t xml:space="preserve">We believe this transaction represents an exciting next chapter for Personalis,” said Chris Hall, CEO of Personalis. “Combining with Tempus gives us the scale, complementary capabilities and resources to accelerate innovation and deliver even greater value to patients, clinicians and biopharma partners. After conducting an exhaustive process, we are confident Tempus’ offer provides the most value to our shareholders and the fastest path to bringing Personalis’ industry-leading tests to patients suffering from cancer.”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Tempus will acquire all outstanding shares of Personalis not already owned by Tempus at a price of $16.25 per common share, representing a 6% premium to Friday’s closing price and a 28% premium to unaffected 30-day VWAP. Consideration will be structured as a 100% stock transaction with Tempus having the option to elect payment in cash at Tempus’ discretion, capped at 50% of the consideration paid. Personalis shareholders will receive a floating exchange ratio of Tempus AI common stock for each share of Personalis common stock they own at closing, subject to a maximum exchange ratio of 0.3356, which shall be finalized closer to the closing of the transaction. Cash consideration will be financed with cash on hand and borrowings under the Company’s then existing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closing is expected in late 2026 or early 2027, and is subject to Personalis’ shareholder approval, as well as receipt of applicable regulatory approvals and other customary closing conditions. The transaction was approved by both companies’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Personalis delivered preliminary revenue in Q2 of $22.4 million. In the quarter, they delivered 10,384 clinical tests, representing a 33% increase in test volumes quarter over quarter. </w:t>
      </w:r>
    </w:p>
    <w:p>
      <w:pPr>
        <w:pStyle w:val="TextBody"/>
        <w:bidi w:val="0"/>
        <w:spacing w:before="360" w:after="0"/>
        <w:jc w:val="left"/>
        <w:rPr>
          <w:rFonts w:ascii="Times New Roman" w:hAnsi="Times New Roman"/>
          <w:b/>
          <w:sz w:val="20"/>
        </w:rPr>
      </w:pPr>
      <w:r>
        <w:rPr>
          <w:rFonts w:ascii="Times New Roman" w:hAnsi="Times New Roman"/>
          <w:b/>
          <w:sz w:val="20"/>
        </w:rPr>
        <w:t xml:space="preserve">Tempus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Tempus will host a special conference call and live audio webcast at 9:00 a.m. ET to provide an overview of the transaction. The call will be led by Tempus Founder and CEO, Eric Lefkofsky and Chief Financial Officer, Jim Rogers. </w:t>
      </w:r>
    </w:p>
    <w:p>
      <w:pPr>
        <w:pStyle w:val="TextBody"/>
        <w:bidi w:val="0"/>
        <w:spacing w:before="240" w:after="0"/>
        <w:jc w:val="left"/>
        <w:rPr>
          <w:rFonts w:ascii="Times New Roman" w:hAnsi="Times New Roman"/>
          <w:sz w:val="20"/>
        </w:rPr>
      </w:pPr>
      <w:r>
        <w:rPr>
          <w:rFonts w:ascii="Times New Roman" w:hAnsi="Times New Roman"/>
          <w:sz w:val="20"/>
        </w:rPr>
        <w:t xml:space="preserve">The live audio webcast will be accessible through the “Events” section of the Tempus Investor Relations website or by clicking </w:t>
      </w:r>
      <w:r>
        <w:rPr>
          <w:rFonts w:ascii="Times New Roman" w:hAnsi="Times New Roman"/>
          <w:sz w:val="20"/>
          <w:u w:val="single"/>
        </w:rPr>
        <w:t>here</w:t>
      </w:r>
      <w:r>
        <w:rPr>
          <w:rFonts w:ascii="Times New Roman" w:hAnsi="Times New Roman"/>
          <w:sz w:val="20"/>
        </w:rPr>
        <w:t xml:space="preserve">. Alternatively, the call can be accessed via the following: </w:t>
      </w:r>
    </w:p>
    <w:p>
      <w:pPr>
        <w:pStyle w:val="TextBody"/>
        <w:bidi w:val="0"/>
        <w:spacing w:before="240" w:after="0"/>
        <w:jc w:val="left"/>
        <w:rPr>
          <w:rFonts w:ascii="Times New Roman" w:hAnsi="Times New Roman"/>
          <w:sz w:val="20"/>
        </w:rPr>
      </w:pPr>
      <w:r>
        <w:rPr>
          <w:rFonts w:ascii="Times New Roman" w:hAnsi="Times New Roman"/>
          <w:sz w:val="20"/>
        </w:rPr>
        <w:t xml:space="preserve">Conference ID: 9813595 </w:t>
      </w:r>
    </w:p>
    <w:p>
      <w:pPr>
        <w:pStyle w:val="TextBody"/>
        <w:bidi w:val="0"/>
        <w:spacing w:before="0" w:after="0"/>
        <w:jc w:val="left"/>
        <w:rPr>
          <w:rFonts w:ascii="Times New Roman" w:hAnsi="Times New Roman"/>
          <w:sz w:val="20"/>
        </w:rPr>
      </w:pPr>
      <w:r>
        <w:rPr>
          <w:rFonts w:ascii="Times New Roman" w:hAnsi="Times New Roman"/>
          <w:sz w:val="20"/>
        </w:rPr>
        <w:t xml:space="preserve">United States - New York: (646) 307-1963 </w:t>
      </w:r>
    </w:p>
    <w:p>
      <w:pPr>
        <w:pStyle w:val="TextBody"/>
        <w:bidi w:val="0"/>
        <w:spacing w:before="0" w:after="0"/>
        <w:jc w:val="left"/>
        <w:rPr>
          <w:rFonts w:ascii="Times New Roman" w:hAnsi="Times New Roman"/>
          <w:sz w:val="20"/>
        </w:rPr>
      </w:pPr>
      <w:r>
        <w:rPr>
          <w:rFonts w:ascii="Times New Roman" w:hAnsi="Times New Roman"/>
          <w:sz w:val="20"/>
        </w:rPr>
        <w:t xml:space="preserve">USA &amp; Canada - Toll-Free: (800) 715-9871 </w:t>
      </w:r>
    </w:p>
    <w:p>
      <w:pPr>
        <w:pStyle w:val="TextBody"/>
        <w:bidi w:val="0"/>
        <w:spacing w:before="240" w:after="0"/>
        <w:jc w:val="left"/>
        <w:rPr>
          <w:rFonts w:ascii="Times New Roman" w:hAnsi="Times New Roman"/>
          <w:sz w:val="20"/>
        </w:rPr>
      </w:pPr>
      <w:r>
        <w:rPr>
          <w:rFonts w:ascii="Times New Roman" w:hAnsi="Times New Roman"/>
          <w:sz w:val="20"/>
        </w:rPr>
        <w:t xml:space="preserve">For those unable to listen to the live broadcast, a recording will be available on the website following the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an investor presentation relating to the transaction has been posted to the Tempus Investor Relations website at investor.tempus.com.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Tempus </w:t>
      </w:r>
    </w:p>
    <w:p>
      <w:pPr>
        <w:pStyle w:val="TextBody"/>
        <w:bidi w:val="0"/>
        <w:spacing w:before="120" w:after="0"/>
        <w:jc w:val="left"/>
        <w:rPr>
          <w:rFonts w:ascii="Times New Roman" w:hAnsi="Times New Roman"/>
          <w:sz w:val="20"/>
        </w:rPr>
      </w:pPr>
      <w:r>
        <w:rPr>
          <w:rFonts w:ascii="Times New Roman" w:hAnsi="Times New Roman"/>
          <w:sz w:val="20"/>
        </w:rPr>
        <w:t xml:space="preserve">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w:t>
      </w:r>
      <w:r>
        <w:rPr>
          <w:rFonts w:ascii="Times New Roman" w:hAnsi="Times New Roman"/>
          <w:sz w:val="20"/>
          <w:u w:val="single"/>
        </w:rPr>
        <w:t>tempus.com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Personalis, Inc. </w:t>
      </w:r>
    </w:p>
    <w:p>
      <w:pPr>
        <w:pStyle w:val="TextBody"/>
        <w:bidi w:val="0"/>
        <w:spacing w:before="120" w:after="0"/>
        <w:jc w:val="left"/>
        <w:rPr>
          <w:rFonts w:ascii="Times New Roman" w:hAnsi="Times New Roman"/>
          <w:sz w:val="20"/>
        </w:rPr>
      </w:pPr>
      <w:r>
        <w:rPr>
          <w:rFonts w:ascii="Times New Roman" w:hAnsi="Times New Roman"/>
          <w:sz w:val="20"/>
        </w:rPr>
        <w:t xml:space="preserve">At Personalis, we are transforming the active management of cancer through breakthrough personalized testing. We aim to drive a new paradigm for cancer management, guiding care throughout the patient journey. Our highly sensitive assays combine tumor-and-normal profiling with proprietary algorithms to deliver advanced insights even as cancer evolves over time. Our products are designed to detect minimal residual disease (MRD) and recurrence at the earliest timepoints, enable selection of targeted therapies based on ultra-comprehensive genomic profiling, and enhance biomarker strategy for drug development. Personalis is based in Fremont, California. To learn more, visit www.personalis.com and connect with us on LinkedIn and X (Twitter).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the current views of Tempus AI, Inc. (“Tempus”) and/or Personalis, Inc. (“Personalis”) about future events. These forward-looking statements include, but are not limited to, statements regarding the proposed transaction between Personalis and Tempus,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w:t>
      </w:r>
    </w:p>
    <w:p>
      <w:pPr>
        <w:pStyle w:val="TextBody"/>
        <w:bidi w:val="0"/>
        <w:spacing w:before="240" w:after="0"/>
        <w:jc w:val="left"/>
        <w:rPr>
          <w:rFonts w:ascii="Times New Roman" w:hAnsi="Times New Roman"/>
          <w:sz w:val="20"/>
        </w:rPr>
      </w:pPr>
      <w:r>
        <w:rPr>
          <w:rFonts w:ascii="Times New Roman" w:hAnsi="Times New Roman"/>
          <w:sz w:val="20"/>
        </w:rPr>
        <w:t xml:space="preserve">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shareholders may not adopt the merger agreement, the risk that Personalis or Tempus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proposed transaction, the risk that any announcements relating to the proposed transaction could have adverse effects on the market price of Personalis’ common stock or Tempus’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Personalis and/or Tempus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Personalis’ and Tempus’ Annual Reports on Form 10-K for the year ended December 31, 2025 and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All such factors are difficult to predict and are beyond Personalis’ and Tempus’ control. Additional risks or uncertainties that are not currently known to Personalis or Tempus, that Personalis or Tempus currently deem to be immaterial, or that could apply to any company could also cause actual outcomes and results to differ materially from those included in the forward-looking statements in this communication. Personalis and Tempus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 Personalis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5289</Words>
  <Characters>29939</Characters>
  <CharactersWithSpaces>35224</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