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90519.xml.htm"/>
      <w:bookmarkStart w:id="1" w:name="ksform405142026_0905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WIDDER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PERSONALIS,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6600 DUMBARTON CIRCLE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Personalis, Inc.</w:t>
              </w:r>
            </w:hyperlink>
            <w:r>
              <w:rPr/>
              <w:t xml:space="preserve"> [ </w:t>
            </w:r>
            <w:r>
              <w:rPr>
                <w:rFonts w:ascii="Times;serif" w:hAnsi="Times;serif"/>
                <w:color w:val="0000FF"/>
                <w:sz w:val="24"/>
                <w:shd w:fill="FFFFFF" w:val="clear"/>
              </w:rPr>
              <w:t>PSNL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6,250</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is represented by a restricted stock unit ("RSU"). Each RSU represents a contingent right to receive one share of the Issuer's common stock upon settlement. 100% of the shares subject to the RSU shall vest on the earlier of the one-year anniversary of the grant date or the day prior to the Company's next annual meeting of stockholders occurring after the grant date, subject to the reporting person's Continuous Service (as defined in the Company's 2019 Equity Incentive Plan (the "2019 Plan")) through the vesting date. In the event of a Change in Control (as defined in the 2019 Plan), the shares underlying the RSU shall vest immediately prior to the effectiveness of such Change in Control.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100% of the shares subject to the option shall vest on the earlier of the one-year anniversary of the grant date or the day prior to the Company's next annual meeting of stockholders occurring after the grant date, subject to the reporting person's Continuous Service (as defined in the 2019 Plan) through the vesting date. In the event of a Change in Control (as defined in the 2019 Plan), the shares underlying the option shall vest and become exercisable immediately prior to the effectiveness of such Change in Control.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Tachibana,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65168" TargetMode="External"/><Relationship Id="rId5" Type="http://schemas.openxmlformats.org/officeDocument/2006/relationships/hyperlink" Target="http://www.sec.gov/cgi-bin/browse-edgar?action=getcompany&amp;CIK=00015277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4156</Characters>
  <CharactersWithSpaces>4872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